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3"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UNITED STATES</w:t>
      </w:r>
    </w:p>
    <w:p>
      <w:pPr>
        <w:spacing w:after="0" w:line="56"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SECURITIES AND EXCHANGE COMMISSION</w:t>
      </w:r>
    </w:p>
    <w:p>
      <w:pPr>
        <w:spacing w:after="0" w:line="13"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1411605</wp:posOffset>
            </wp:positionH>
            <wp:positionV relativeFrom="paragraph">
              <wp:posOffset>160655</wp:posOffset>
            </wp:positionV>
            <wp:extent cx="443357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4433570" cy="8890"/>
                    </a:xfrm>
                    <a:prstGeom prst="rect">
                      <a:avLst/>
                    </a:prstGeom>
                    <a:noFill/>
                  </pic:spPr>
                </pic:pic>
              </a:graphicData>
            </a:graphic>
          </wp:anchor>
        </w:drawing>
      </w:r>
    </w:p>
    <w:p>
      <w:pPr>
        <w:spacing w:after="0" w:line="313"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1419860</wp:posOffset>
            </wp:positionH>
            <wp:positionV relativeFrom="paragraph">
              <wp:posOffset>230505</wp:posOffset>
            </wp:positionV>
            <wp:extent cx="440817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440817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56"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46" w:lineRule="exact"/>
        <w:rPr>
          <w:sz w:val="24"/>
          <w:szCs w:val="24"/>
          <w:color w:val="auto"/>
        </w:rPr>
      </w:pPr>
    </w:p>
    <w:p>
      <w:pPr>
        <w:ind w:left="720" w:hanging="685"/>
        <w:spacing w:after="0"/>
        <w:tabs>
          <w:tab w:leader="none" w:pos="720" w:val="left"/>
        </w:tabs>
        <w:numPr>
          <w:ilvl w:val="0"/>
          <w:numId w:val="1"/>
        </w:numPr>
        <w:rPr>
          <w:rFonts w:ascii="MS PGothic" w:cs="MS PGothic" w:eastAsia="MS PGothic" w:hAnsi="MS PGothic"/>
          <w:sz w:val="40"/>
          <w:szCs w:val="40"/>
          <w:color w:val="auto"/>
          <w:vertAlign w:val="subscript"/>
        </w:rPr>
      </w:pPr>
      <w:r>
        <w:rPr>
          <w:rFonts w:ascii="Arial" w:cs="Arial" w:eastAsia="Arial" w:hAnsi="Arial"/>
          <w:sz w:val="20"/>
          <w:szCs w:val="20"/>
          <w:b w:val="1"/>
          <w:bCs w:val="1"/>
          <w:color w:val="auto"/>
        </w:rPr>
        <w:t>QUARTERLY REPORT PURSUANT TO SECTION 13 OR 15(d) OF THE SECURITIES EXCHANGE ACT OF 1934</w:t>
      </w:r>
    </w:p>
    <w:p>
      <w:pPr>
        <w:spacing w:after="0" w:line="97" w:lineRule="exact"/>
        <w:rPr>
          <w:sz w:val="24"/>
          <w:szCs w:val="24"/>
          <w:color w:val="auto"/>
        </w:rPr>
      </w:pPr>
    </w:p>
    <w:p>
      <w:pPr>
        <w:jc w:val="center"/>
        <w:ind w:right="-39"/>
        <w:spacing w:after="0"/>
        <w:rPr>
          <w:sz w:val="20"/>
          <w:szCs w:val="20"/>
          <w:color w:val="auto"/>
        </w:rPr>
      </w:pPr>
      <w:r>
        <w:rPr>
          <w:rFonts w:ascii="Arial" w:cs="Arial" w:eastAsia="Arial" w:hAnsi="Arial"/>
          <w:sz w:val="20"/>
          <w:szCs w:val="20"/>
          <w:b w:val="1"/>
          <w:bCs w:val="1"/>
          <w:color w:val="auto"/>
        </w:rPr>
        <w:t>For the quarterly period ended September 30, 2017</w:t>
      </w:r>
    </w:p>
    <w:p>
      <w:pPr>
        <w:spacing w:after="0" w:line="60"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OR</w:t>
      </w:r>
    </w:p>
    <w:p>
      <w:pPr>
        <w:spacing w:after="0" w:line="164" w:lineRule="exact"/>
        <w:rPr>
          <w:sz w:val="24"/>
          <w:szCs w:val="24"/>
          <w:color w:val="auto"/>
        </w:rPr>
      </w:pPr>
    </w:p>
    <w:p>
      <w:pPr>
        <w:ind w:left="720" w:hanging="685"/>
        <w:spacing w:after="0"/>
        <w:tabs>
          <w:tab w:leader="none" w:pos="720" w:val="left"/>
        </w:tabs>
        <w:numPr>
          <w:ilvl w:val="0"/>
          <w:numId w:val="2"/>
        </w:numPr>
        <w:rPr>
          <w:rFonts w:ascii="MS PGothic" w:cs="MS PGothic" w:eastAsia="MS PGothic" w:hAnsi="MS PGothic"/>
          <w:sz w:val="22"/>
          <w:szCs w:val="22"/>
          <w:color w:val="auto"/>
        </w:rPr>
      </w:pPr>
      <w:r>
        <w:rPr>
          <w:rFonts w:ascii="Arial" w:cs="Arial" w:eastAsia="Arial" w:hAnsi="Arial"/>
          <w:sz w:val="20"/>
          <w:szCs w:val="20"/>
          <w:b w:val="1"/>
          <w:bCs w:val="1"/>
          <w:color w:val="auto"/>
        </w:rPr>
        <w:t>TRANSITION REPORT PURSUANT TO SECTION 13 OR 15(d) OF THE SECURITIES EXCHANGE ACT OF 1934</w:t>
      </w:r>
    </w:p>
    <w:p>
      <w:pPr>
        <w:spacing w:after="0" w:line="83" w:lineRule="exact"/>
        <w:rPr>
          <w:sz w:val="24"/>
          <w:szCs w:val="24"/>
          <w:color w:val="auto"/>
        </w:rPr>
      </w:pPr>
    </w:p>
    <w:p>
      <w:pPr>
        <w:ind w:left="3720"/>
        <w:spacing w:after="0"/>
        <w:tabs>
          <w:tab w:leader="none" w:pos="688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6"/>
          <w:szCs w:val="16"/>
          <w:b w:val="1"/>
          <w:bCs w:val="1"/>
          <w:color w:val="auto"/>
        </w:rPr>
        <w:t>to</w:t>
      </w:r>
    </w:p>
    <w:p>
      <w:pPr>
        <w:spacing w:after="0" w:line="9"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Commission file number: 001-31719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1385570</wp:posOffset>
            </wp:positionH>
            <wp:positionV relativeFrom="paragraph">
              <wp:posOffset>212090</wp:posOffset>
            </wp:positionV>
            <wp:extent cx="44767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4476750" cy="8890"/>
                    </a:xfrm>
                    <a:prstGeom prst="rect">
                      <a:avLst/>
                    </a:prstGeom>
                    <a:noFill/>
                  </pic:spPr>
                </pic:pic>
              </a:graphicData>
            </a:graphic>
          </wp:anchor>
        </w:drawing>
        <w:drawing>
          <wp:anchor simplePos="0" relativeHeight="251657728" behindDoc="1" locked="0" layoutInCell="0" allowOverlap="1">
            <wp:simplePos x="0" y="0"/>
            <wp:positionH relativeFrom="column">
              <wp:posOffset>2500630</wp:posOffset>
            </wp:positionH>
            <wp:positionV relativeFrom="paragraph">
              <wp:posOffset>426720</wp:posOffset>
            </wp:positionV>
            <wp:extent cx="2263775" cy="78867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263775" cy="78867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60"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MOLINA HEALTHCARE, INC.</w:t>
      </w:r>
    </w:p>
    <w:p>
      <w:pPr>
        <w:spacing w:after="0" w:line="52"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1385570</wp:posOffset>
            </wp:positionH>
            <wp:positionV relativeFrom="paragraph">
              <wp:posOffset>212090</wp:posOffset>
            </wp:positionV>
            <wp:extent cx="44767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447675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86" w:lineRule="exact"/>
        <w:rPr>
          <w:sz w:val="24"/>
          <w:szCs w:val="24"/>
          <w:color w:val="auto"/>
        </w:rPr>
      </w:pPr>
    </w:p>
    <w:tbl>
      <w:tblPr>
        <w:tblLayout w:type="fixed"/>
        <w:tblInd w:w="720" w:type="dxa"/>
        <w:tblCellMar>
          <w:top w:w="0" w:type="dxa"/>
          <w:left w:w="0" w:type="dxa"/>
          <w:bottom w:w="0" w:type="dxa"/>
          <w:right w:w="0" w:type="dxa"/>
        </w:tblCellMar>
      </w:tblPr>
      <w:tr>
        <w:trPr>
          <w:trHeight w:val="229"/>
        </w:trPr>
        <w:tc>
          <w:tcPr>
            <w:tcW w:w="4220" w:type="dxa"/>
            <w:vAlign w:val="bottom"/>
          </w:tcPr>
          <w:p>
            <w:pPr>
              <w:jc w:val="center"/>
              <w:ind w:right="83"/>
              <w:spacing w:after="0"/>
              <w:rPr>
                <w:sz w:val="20"/>
                <w:szCs w:val="20"/>
                <w:color w:val="auto"/>
              </w:rPr>
            </w:pPr>
            <w:r>
              <w:rPr>
                <w:rFonts w:ascii="Arial" w:cs="Arial" w:eastAsia="Arial" w:hAnsi="Arial"/>
                <w:sz w:val="16"/>
                <w:szCs w:val="16"/>
                <w:b w:val="1"/>
                <w:bCs w:val="1"/>
                <w:color w:val="auto"/>
                <w:w w:val="99"/>
              </w:rPr>
              <w:t>Delaware</w:t>
            </w:r>
          </w:p>
        </w:tc>
        <w:tc>
          <w:tcPr>
            <w:tcW w:w="4640" w:type="dxa"/>
            <w:vAlign w:val="bottom"/>
          </w:tcPr>
          <w:p>
            <w:pPr>
              <w:jc w:val="right"/>
              <w:ind w:right="681"/>
              <w:spacing w:after="0"/>
              <w:rPr>
                <w:sz w:val="20"/>
                <w:szCs w:val="20"/>
                <w:color w:val="auto"/>
              </w:rPr>
            </w:pPr>
            <w:r>
              <w:rPr>
                <w:rFonts w:ascii="Arial" w:cs="Arial" w:eastAsia="Arial" w:hAnsi="Arial"/>
                <w:sz w:val="16"/>
                <w:szCs w:val="16"/>
                <w:b w:val="1"/>
                <w:bCs w:val="1"/>
                <w:color w:val="auto"/>
              </w:rPr>
              <w:t>13-4204626</w:t>
            </w:r>
          </w:p>
        </w:tc>
      </w:tr>
      <w:tr>
        <w:trPr>
          <w:trHeight w:val="222"/>
        </w:trPr>
        <w:tc>
          <w:tcPr>
            <w:tcW w:w="4220" w:type="dxa"/>
            <w:vAlign w:val="bottom"/>
          </w:tcPr>
          <w:p>
            <w:pPr>
              <w:jc w:val="center"/>
              <w:ind w:right="83"/>
              <w:spacing w:after="0"/>
              <w:rPr>
                <w:sz w:val="20"/>
                <w:szCs w:val="20"/>
                <w:color w:val="auto"/>
              </w:rPr>
            </w:pPr>
            <w:r>
              <w:rPr>
                <w:rFonts w:ascii="Arial" w:cs="Arial" w:eastAsia="Arial" w:hAnsi="Arial"/>
                <w:sz w:val="14"/>
                <w:szCs w:val="14"/>
                <w:b w:val="1"/>
                <w:bCs w:val="1"/>
                <w:color w:val="auto"/>
              </w:rPr>
              <w:t>(State or other jurisdiction of incorporation or organization)</w:t>
            </w:r>
          </w:p>
        </w:tc>
        <w:tc>
          <w:tcPr>
            <w:tcW w:w="4640" w:type="dxa"/>
            <w:vAlign w:val="bottom"/>
          </w:tcPr>
          <w:p>
            <w:pPr>
              <w:jc w:val="center"/>
              <w:ind w:left="2201"/>
              <w:spacing w:after="0"/>
              <w:rPr>
                <w:sz w:val="20"/>
                <w:szCs w:val="20"/>
                <w:color w:val="auto"/>
              </w:rPr>
            </w:pPr>
            <w:r>
              <w:rPr>
                <w:rFonts w:ascii="Arial" w:cs="Arial" w:eastAsia="Arial" w:hAnsi="Arial"/>
                <w:sz w:val="14"/>
                <w:szCs w:val="14"/>
                <w:b w:val="1"/>
                <w:bCs w:val="1"/>
                <w:color w:val="auto"/>
              </w:rPr>
              <w:t>(I.R.S. Employer Identification No.)</w:t>
            </w:r>
          </w:p>
        </w:tc>
      </w:tr>
      <w:tr>
        <w:trPr>
          <w:trHeight w:val="320"/>
        </w:trPr>
        <w:tc>
          <w:tcPr>
            <w:tcW w:w="4220" w:type="dxa"/>
            <w:vAlign w:val="bottom"/>
          </w:tcPr>
          <w:p>
            <w:pPr>
              <w:jc w:val="center"/>
              <w:ind w:right="83"/>
              <w:spacing w:after="0"/>
              <w:rPr>
                <w:sz w:val="20"/>
                <w:szCs w:val="20"/>
                <w:color w:val="auto"/>
              </w:rPr>
            </w:pPr>
            <w:r>
              <w:rPr>
                <w:rFonts w:ascii="Arial" w:cs="Arial" w:eastAsia="Arial" w:hAnsi="Arial"/>
                <w:sz w:val="16"/>
                <w:szCs w:val="16"/>
                <w:b w:val="1"/>
                <w:bCs w:val="1"/>
                <w:color w:val="auto"/>
              </w:rPr>
              <w:t>200 Oceangate, Suite 100</w:t>
            </w:r>
          </w:p>
        </w:tc>
        <w:tc>
          <w:tcPr>
            <w:tcW w:w="4640" w:type="dxa"/>
            <w:vAlign w:val="bottom"/>
          </w:tcPr>
          <w:p>
            <w:pPr>
              <w:spacing w:after="0"/>
              <w:rPr>
                <w:sz w:val="24"/>
                <w:szCs w:val="24"/>
                <w:color w:val="auto"/>
              </w:rPr>
            </w:pPr>
          </w:p>
        </w:tc>
      </w:tr>
      <w:tr>
        <w:trPr>
          <w:trHeight w:val="229"/>
        </w:trPr>
        <w:tc>
          <w:tcPr>
            <w:tcW w:w="4220" w:type="dxa"/>
            <w:vAlign w:val="bottom"/>
          </w:tcPr>
          <w:p>
            <w:pPr>
              <w:jc w:val="center"/>
              <w:ind w:right="83"/>
              <w:spacing w:after="0"/>
              <w:rPr>
                <w:sz w:val="20"/>
                <w:szCs w:val="20"/>
                <w:color w:val="auto"/>
              </w:rPr>
            </w:pPr>
            <w:r>
              <w:rPr>
                <w:rFonts w:ascii="Arial" w:cs="Arial" w:eastAsia="Arial" w:hAnsi="Arial"/>
                <w:sz w:val="16"/>
                <w:szCs w:val="16"/>
                <w:b w:val="1"/>
                <w:bCs w:val="1"/>
                <w:color w:val="auto"/>
              </w:rPr>
              <w:t>Long Beach, California</w:t>
            </w:r>
          </w:p>
        </w:tc>
        <w:tc>
          <w:tcPr>
            <w:tcW w:w="4640" w:type="dxa"/>
            <w:vAlign w:val="bottom"/>
          </w:tcPr>
          <w:p>
            <w:pPr>
              <w:jc w:val="right"/>
              <w:ind w:right="881"/>
              <w:spacing w:after="0"/>
              <w:rPr>
                <w:sz w:val="20"/>
                <w:szCs w:val="20"/>
                <w:color w:val="auto"/>
              </w:rPr>
            </w:pPr>
            <w:r>
              <w:rPr>
                <w:rFonts w:ascii="Arial" w:cs="Arial" w:eastAsia="Arial" w:hAnsi="Arial"/>
                <w:sz w:val="16"/>
                <w:szCs w:val="16"/>
                <w:b w:val="1"/>
                <w:bCs w:val="1"/>
                <w:color w:val="auto"/>
              </w:rPr>
              <w:t>90802</w:t>
            </w:r>
          </w:p>
        </w:tc>
      </w:tr>
      <w:tr>
        <w:trPr>
          <w:trHeight w:val="199"/>
        </w:trPr>
        <w:tc>
          <w:tcPr>
            <w:tcW w:w="4220" w:type="dxa"/>
            <w:vAlign w:val="bottom"/>
          </w:tcPr>
          <w:p>
            <w:pPr>
              <w:jc w:val="center"/>
              <w:ind w:right="83"/>
              <w:spacing w:after="0"/>
              <w:rPr>
                <w:sz w:val="20"/>
                <w:szCs w:val="20"/>
                <w:color w:val="auto"/>
              </w:rPr>
            </w:pPr>
            <w:r>
              <w:rPr>
                <w:rFonts w:ascii="Arial" w:cs="Arial" w:eastAsia="Arial" w:hAnsi="Arial"/>
                <w:sz w:val="14"/>
                <w:szCs w:val="14"/>
                <w:b w:val="1"/>
                <w:bCs w:val="1"/>
                <w:color w:val="auto"/>
              </w:rPr>
              <w:t>(Address of principal executive offices)</w:t>
            </w:r>
          </w:p>
        </w:tc>
        <w:tc>
          <w:tcPr>
            <w:tcW w:w="4640" w:type="dxa"/>
            <w:vAlign w:val="bottom"/>
          </w:tcPr>
          <w:p>
            <w:pPr>
              <w:jc w:val="center"/>
              <w:ind w:left="2201"/>
              <w:spacing w:after="0"/>
              <w:rPr>
                <w:sz w:val="20"/>
                <w:szCs w:val="20"/>
                <w:color w:val="auto"/>
              </w:rPr>
            </w:pPr>
            <w:r>
              <w:rPr>
                <w:rFonts w:ascii="Arial" w:cs="Arial" w:eastAsia="Arial" w:hAnsi="Arial"/>
                <w:sz w:val="14"/>
                <w:szCs w:val="14"/>
                <w:b w:val="1"/>
                <w:bCs w:val="1"/>
                <w:color w:val="auto"/>
              </w:rPr>
              <w:t>(Zip Code)</w:t>
            </w:r>
          </w:p>
        </w:tc>
      </w:tr>
      <w:tr>
        <w:trPr>
          <w:trHeight w:val="246"/>
        </w:trPr>
        <w:tc>
          <w:tcPr>
            <w:tcW w:w="4220" w:type="dxa"/>
            <w:vAlign w:val="bottom"/>
          </w:tcPr>
          <w:p>
            <w:pPr>
              <w:spacing w:after="0"/>
              <w:rPr>
                <w:sz w:val="21"/>
                <w:szCs w:val="21"/>
                <w:color w:val="auto"/>
              </w:rPr>
            </w:pPr>
          </w:p>
        </w:tc>
        <w:tc>
          <w:tcPr>
            <w:tcW w:w="4640" w:type="dxa"/>
            <w:vAlign w:val="bottom"/>
          </w:tcPr>
          <w:p>
            <w:pPr>
              <w:jc w:val="right"/>
              <w:ind w:right="3181"/>
              <w:spacing w:after="0"/>
              <w:rPr>
                <w:sz w:val="20"/>
                <w:szCs w:val="20"/>
                <w:color w:val="auto"/>
              </w:rPr>
            </w:pPr>
            <w:r>
              <w:rPr>
                <w:rFonts w:ascii="Arial" w:cs="Arial" w:eastAsia="Arial" w:hAnsi="Arial"/>
                <w:sz w:val="18"/>
                <w:szCs w:val="18"/>
                <w:b w:val="1"/>
                <w:bCs w:val="1"/>
                <w:color w:val="auto"/>
              </w:rPr>
              <w:t>(562) 435-3666</w:t>
            </w:r>
          </w:p>
        </w:tc>
      </w:tr>
    </w:tbl>
    <w:p>
      <w:pPr>
        <w:jc w:val="center"/>
        <w:ind w:right="-39"/>
        <w:spacing w:after="0"/>
        <w:rPr>
          <w:sz w:val="20"/>
          <w:szCs w:val="20"/>
          <w:color w:val="auto"/>
        </w:rPr>
      </w:pPr>
      <w:r>
        <w:rPr>
          <w:rFonts w:ascii="Arial" w:cs="Arial" w:eastAsia="Arial" w:hAnsi="Arial"/>
          <w:sz w:val="14"/>
          <w:szCs w:val="14"/>
          <w:b w:val="1"/>
          <w:bCs w:val="1"/>
          <w:color w:val="auto"/>
        </w:rPr>
        <w:t>(Registrant’s telephone number, including area code)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1385570</wp:posOffset>
            </wp:positionH>
            <wp:positionV relativeFrom="paragraph">
              <wp:posOffset>160655</wp:posOffset>
            </wp:positionV>
            <wp:extent cx="44767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4476750" cy="8890"/>
                    </a:xfrm>
                    <a:prstGeom prst="rect">
                      <a:avLst/>
                    </a:prstGeom>
                    <a:noFill/>
                  </pic:spPr>
                </pic:pic>
              </a:graphicData>
            </a:graphic>
          </wp:anchor>
        </w:drawing>
      </w:r>
    </w:p>
    <w:p>
      <w:pPr>
        <w:spacing w:after="0" w:line="278" w:lineRule="exact"/>
        <w:rPr>
          <w:sz w:val="24"/>
          <w:szCs w:val="24"/>
          <w:color w:val="auto"/>
        </w:rPr>
      </w:pPr>
    </w:p>
    <w:p>
      <w:pPr>
        <w:ind w:right="40"/>
        <w:spacing w:after="0" w:line="231"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1" w:lineRule="exact"/>
        <w:rPr>
          <w:sz w:val="24"/>
          <w:szCs w:val="24"/>
          <w:color w:val="auto"/>
        </w:rPr>
      </w:pPr>
    </w:p>
    <w:p>
      <w:pPr>
        <w:ind w:right="140"/>
        <w:spacing w:after="0" w:line="231"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1" w:lineRule="exact"/>
        <w:rPr>
          <w:sz w:val="24"/>
          <w:szCs w:val="24"/>
          <w:color w:val="auto"/>
        </w:rPr>
      </w:pPr>
    </w:p>
    <w:p>
      <w:pPr>
        <w:ind w:right="120"/>
        <w:spacing w:after="0" w:line="271"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146" w:lineRule="exact"/>
        <w:rPr>
          <w:sz w:val="24"/>
          <w:szCs w:val="24"/>
          <w:color w:val="auto"/>
        </w:rPr>
      </w:pPr>
    </w:p>
    <w:tbl>
      <w:tblPr>
        <w:tblLayout w:type="fixed"/>
        <w:tblInd w:w="40" w:type="dxa"/>
        <w:tblCellMar>
          <w:top w:w="0" w:type="dxa"/>
          <w:left w:w="0" w:type="dxa"/>
          <w:bottom w:w="0" w:type="dxa"/>
          <w:right w:w="0" w:type="dxa"/>
        </w:tblCellMar>
      </w:tblPr>
      <w:tr>
        <w:trPr>
          <w:trHeight w:val="308"/>
        </w:trPr>
        <w:tc>
          <w:tcPr>
            <w:tcW w:w="1880" w:type="dxa"/>
            <w:vAlign w:val="bottom"/>
          </w:tcPr>
          <w:p>
            <w:pPr>
              <w:spacing w:after="0"/>
              <w:rPr>
                <w:sz w:val="20"/>
                <w:szCs w:val="20"/>
                <w:color w:val="auto"/>
              </w:rPr>
            </w:pPr>
            <w:r>
              <w:rPr>
                <w:rFonts w:ascii="Arial" w:cs="Arial" w:eastAsia="Arial" w:hAnsi="Arial"/>
                <w:sz w:val="16"/>
                <w:szCs w:val="16"/>
                <w:color w:val="auto"/>
              </w:rPr>
              <w:t>Large accelerated filer</w:t>
            </w:r>
          </w:p>
        </w:tc>
        <w:tc>
          <w:tcPr>
            <w:tcW w:w="4480" w:type="dxa"/>
            <w:vAlign w:val="bottom"/>
          </w:tcPr>
          <w:p>
            <w:pPr>
              <w:ind w:left="280"/>
              <w:spacing w:after="0" w:line="161" w:lineRule="exact"/>
              <w:rPr>
                <w:sz w:val="20"/>
                <w:szCs w:val="20"/>
                <w:color w:val="auto"/>
              </w:rPr>
            </w:pPr>
            <w:r>
              <w:rPr>
                <w:rFonts w:ascii="MS PGothic" w:cs="MS PGothic" w:eastAsia="MS PGothic" w:hAnsi="MS PGothic"/>
                <w:sz w:val="16"/>
                <w:szCs w:val="16"/>
                <w:color w:val="auto"/>
              </w:rPr>
              <w:t>☒</w:t>
            </w:r>
          </w:p>
        </w:tc>
        <w:tc>
          <w:tcPr>
            <w:tcW w:w="3760" w:type="dxa"/>
            <w:vAlign w:val="bottom"/>
          </w:tcPr>
          <w:p>
            <w:pPr>
              <w:ind w:left="720"/>
              <w:spacing w:after="0"/>
              <w:rPr>
                <w:sz w:val="20"/>
                <w:szCs w:val="20"/>
                <w:color w:val="auto"/>
              </w:rPr>
            </w:pPr>
            <w:r>
              <w:rPr>
                <w:rFonts w:ascii="Arial" w:cs="Arial" w:eastAsia="Arial" w:hAnsi="Arial"/>
                <w:sz w:val="16"/>
                <w:szCs w:val="16"/>
                <w:color w:val="auto"/>
              </w:rPr>
              <w:t>Accelerated filer</w:t>
            </w:r>
          </w:p>
        </w:tc>
        <w:tc>
          <w:tcPr>
            <w:tcW w:w="1220" w:type="dxa"/>
            <w:vAlign w:val="bottom"/>
          </w:tcPr>
          <w:p>
            <w:pPr>
              <w:ind w:left="108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432"/>
        </w:trPr>
        <w:tc>
          <w:tcPr>
            <w:tcW w:w="1880" w:type="dxa"/>
            <w:vAlign w:val="bottom"/>
          </w:tcPr>
          <w:p>
            <w:pPr>
              <w:spacing w:after="0"/>
              <w:rPr>
                <w:sz w:val="20"/>
                <w:szCs w:val="20"/>
                <w:color w:val="auto"/>
              </w:rPr>
            </w:pPr>
            <w:r>
              <w:rPr>
                <w:rFonts w:ascii="Arial" w:cs="Arial" w:eastAsia="Arial" w:hAnsi="Arial"/>
                <w:sz w:val="16"/>
                <w:szCs w:val="16"/>
                <w:color w:val="auto"/>
              </w:rPr>
              <w:t>Non-accelerated filer</w:t>
            </w:r>
          </w:p>
        </w:tc>
        <w:tc>
          <w:tcPr>
            <w:tcW w:w="4480" w:type="dxa"/>
            <w:vAlign w:val="bottom"/>
          </w:tcPr>
          <w:p>
            <w:pPr>
              <w:ind w:left="280"/>
              <w:spacing w:after="0" w:line="184" w:lineRule="exact"/>
              <w:rPr>
                <w:sz w:val="20"/>
                <w:szCs w:val="20"/>
                <w:color w:val="auto"/>
              </w:rPr>
            </w:pPr>
            <w:r>
              <w:rPr>
                <w:rFonts w:ascii="MS PGothic" w:cs="MS PGothic" w:eastAsia="MS PGothic" w:hAnsi="MS PGothic"/>
                <w:sz w:val="16"/>
                <w:szCs w:val="16"/>
                <w:color w:val="auto"/>
              </w:rPr>
              <w:t>☐</w:t>
            </w:r>
            <w:r>
              <w:rPr>
                <w:rFonts w:ascii="Arial" w:cs="Arial" w:eastAsia="Arial" w:hAnsi="Arial"/>
                <w:sz w:val="16"/>
                <w:szCs w:val="16"/>
                <w:color w:val="auto"/>
              </w:rPr>
              <w:t xml:space="preserve"> (Do not check if a smaller reporting company)</w:t>
            </w:r>
          </w:p>
        </w:tc>
        <w:tc>
          <w:tcPr>
            <w:tcW w:w="3760" w:type="dxa"/>
            <w:vAlign w:val="bottom"/>
          </w:tcPr>
          <w:p>
            <w:pPr>
              <w:ind w:left="720"/>
              <w:spacing w:after="0"/>
              <w:rPr>
                <w:sz w:val="20"/>
                <w:szCs w:val="20"/>
                <w:color w:val="auto"/>
              </w:rPr>
            </w:pPr>
            <w:r>
              <w:rPr>
                <w:rFonts w:ascii="Arial" w:cs="Arial" w:eastAsia="Arial" w:hAnsi="Arial"/>
                <w:sz w:val="16"/>
                <w:szCs w:val="16"/>
                <w:color w:val="auto"/>
              </w:rPr>
              <w:t>Smaller reporting company</w:t>
            </w:r>
          </w:p>
        </w:tc>
        <w:tc>
          <w:tcPr>
            <w:tcW w:w="1220" w:type="dxa"/>
            <w:vAlign w:val="bottom"/>
          </w:tcPr>
          <w:p>
            <w:pPr>
              <w:ind w:left="108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311"/>
        </w:trPr>
        <w:tc>
          <w:tcPr>
            <w:tcW w:w="1880" w:type="dxa"/>
            <w:vAlign w:val="bottom"/>
          </w:tcPr>
          <w:p>
            <w:pPr>
              <w:spacing w:after="0"/>
              <w:rPr>
                <w:sz w:val="24"/>
                <w:szCs w:val="24"/>
                <w:color w:val="auto"/>
              </w:rPr>
            </w:pPr>
          </w:p>
        </w:tc>
        <w:tc>
          <w:tcPr>
            <w:tcW w:w="4480" w:type="dxa"/>
            <w:vAlign w:val="bottom"/>
          </w:tcPr>
          <w:p>
            <w:pPr>
              <w:spacing w:after="0"/>
              <w:rPr>
                <w:sz w:val="24"/>
                <w:szCs w:val="24"/>
                <w:color w:val="auto"/>
              </w:rPr>
            </w:pPr>
          </w:p>
        </w:tc>
        <w:tc>
          <w:tcPr>
            <w:tcW w:w="3760" w:type="dxa"/>
            <w:vAlign w:val="bottom"/>
          </w:tcPr>
          <w:p>
            <w:pPr>
              <w:ind w:left="720"/>
              <w:spacing w:after="0"/>
              <w:rPr>
                <w:sz w:val="20"/>
                <w:szCs w:val="20"/>
                <w:color w:val="auto"/>
              </w:rPr>
            </w:pPr>
            <w:r>
              <w:rPr>
                <w:rFonts w:ascii="Arial" w:cs="Arial" w:eastAsia="Arial" w:hAnsi="Arial"/>
                <w:sz w:val="16"/>
                <w:szCs w:val="16"/>
                <w:color w:val="auto"/>
              </w:rPr>
              <w:t>Emerging growth company</w:t>
            </w:r>
          </w:p>
        </w:tc>
        <w:tc>
          <w:tcPr>
            <w:tcW w:w="1220" w:type="dxa"/>
            <w:vAlign w:val="bottom"/>
          </w:tcPr>
          <w:p>
            <w:pPr>
              <w:ind w:left="1080"/>
              <w:spacing w:after="0" w:line="161" w:lineRule="exact"/>
              <w:rPr>
                <w:sz w:val="20"/>
                <w:szCs w:val="20"/>
                <w:color w:val="auto"/>
              </w:rPr>
            </w:pPr>
            <w:r>
              <w:rPr>
                <w:rFonts w:ascii="MS PGothic" w:cs="MS PGothic" w:eastAsia="MS PGothic" w:hAnsi="MS PGothic"/>
                <w:sz w:val="16"/>
                <w:szCs w:val="16"/>
                <w:color w:val="auto"/>
                <w:w w:val="74"/>
              </w:rPr>
              <w:t>☐</w:t>
            </w:r>
          </w:p>
        </w:tc>
      </w:tr>
    </w:tbl>
    <w:p>
      <w:pPr>
        <w:spacing w:after="0" w:line="200" w:lineRule="exact"/>
        <w:rPr>
          <w:sz w:val="24"/>
          <w:szCs w:val="24"/>
          <w:color w:val="auto"/>
        </w:rPr>
      </w:pPr>
    </w:p>
    <w:p>
      <w:pPr>
        <w:sectPr>
          <w:pgSz w:w="11900" w:h="16838" w:orient="portrait"/>
          <w:cols w:equalWidth="0" w:num="1">
            <w:col w:w="11380"/>
          </w:cols>
          <w:pgMar w:left="240" w:top="225" w:right="279" w:bottom="743" w:gutter="0" w:footer="0" w:header="0"/>
        </w:sectPr>
      </w:pPr>
    </w:p>
    <w:p>
      <w:pPr>
        <w:spacing w:after="0" w:line="89" w:lineRule="exact"/>
        <w:rPr>
          <w:sz w:val="24"/>
          <w:szCs w:val="24"/>
          <w:color w:val="auto"/>
        </w:rPr>
      </w:pPr>
    </w:p>
    <w:p>
      <w:pPr>
        <w:ind w:left="40"/>
        <w:spacing w:after="0" w:line="276" w:lineRule="auto"/>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Section13(a) of the Exchange Act.</w:t>
      </w:r>
    </w:p>
    <w:p>
      <w:pPr>
        <w:spacing w:after="0" w:line="199" w:lineRule="exact"/>
        <w:rPr>
          <w:sz w:val="24"/>
          <w:szCs w:val="24"/>
          <w:color w:val="auto"/>
        </w:rPr>
      </w:pPr>
    </w:p>
    <w:p>
      <w:pPr>
        <w:ind w:right="2060"/>
        <w:spacing w:after="0" w:line="292"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br w:type="column"/>
      </w:r>
    </w:p>
    <w:p>
      <w:pPr>
        <w:spacing w:after="0" w:line="390" w:lineRule="exact"/>
        <w:rPr>
          <w:sz w:val="24"/>
          <w:szCs w:val="24"/>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808" w:lineRule="exact"/>
        <w:rPr>
          <w:sz w:val="24"/>
          <w:szCs w:val="24"/>
          <w:color w:val="auto"/>
        </w:rPr>
      </w:pPr>
    </w:p>
    <w:p>
      <w:pPr>
        <w:sectPr>
          <w:pgSz w:w="11900" w:h="16838" w:orient="portrait"/>
          <w:cols w:equalWidth="0" w:num="2">
            <w:col w:w="11060" w:space="180"/>
            <w:col w:w="140"/>
          </w:cols>
          <w:pgMar w:left="240" w:top="225" w:right="279" w:bottom="743" w:gutter="0" w:footer="0" w:header="0"/>
          <w:type w:val="continuous"/>
        </w:sectPr>
      </w:pPr>
    </w:p>
    <w:p>
      <w:pPr>
        <w:spacing w:after="0"/>
        <w:rPr>
          <w:sz w:val="20"/>
          <w:szCs w:val="20"/>
          <w:color w:val="auto"/>
        </w:rPr>
      </w:pPr>
      <w:r>
        <w:rPr>
          <w:rFonts w:ascii="Arial" w:cs="Arial" w:eastAsia="Arial" w:hAnsi="Arial"/>
          <w:sz w:val="18"/>
          <w:szCs w:val="18"/>
          <w:color w:val="auto"/>
        </w:rPr>
        <w:t>The number of shares of the issuer’s Common Stock, $0.001 par value, outstanding as of October 27, 2017, was approximately 57,094,000.</w:t>
      </w:r>
    </w:p>
    <w:p>
      <w:pPr>
        <w:sectPr>
          <w:pgSz w:w="11900" w:h="16838" w:orient="portrait"/>
          <w:cols w:equalWidth="0" w:num="1">
            <w:col w:w="11380"/>
          </w:cols>
          <w:pgMar w:left="240" w:top="225" w:right="279" w:bottom="743" w:gutter="0" w:footer="0" w:header="0"/>
          <w:type w:val="continuous"/>
        </w:sectPr>
      </w:pPr>
    </w:p>
    <w:bookmarkStart w:id="1" w:name="page2"/>
    <w:bookmarkEnd w:id="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8" w:lineRule="exact"/>
        <w:rPr>
          <w:sz w:val="20"/>
          <w:szCs w:val="20"/>
          <w:color w:val="auto"/>
        </w:rPr>
      </w:pPr>
    </w:p>
    <w:p>
      <w:pPr>
        <w:spacing w:after="0"/>
        <w:rPr>
          <w:sz w:val="20"/>
          <w:szCs w:val="20"/>
          <w:color w:val="auto"/>
        </w:rPr>
      </w:pPr>
      <w:r>
        <w:rPr>
          <w:rFonts w:ascii="Arial" w:cs="Arial" w:eastAsia="Arial" w:hAnsi="Arial"/>
          <w:sz w:val="36"/>
          <w:szCs w:val="36"/>
          <w:b w:val="1"/>
          <w:bCs w:val="1"/>
          <w:color w:val="0F7C7F"/>
        </w:rPr>
        <w:t>MOLINA HEALTHCARE, INC. FORM 10-Q</w:t>
      </w:r>
    </w:p>
    <w:p>
      <w:pPr>
        <w:spacing w:after="0" w:line="60" w:lineRule="exact"/>
        <w:rPr>
          <w:sz w:val="20"/>
          <w:szCs w:val="20"/>
          <w:color w:val="auto"/>
        </w:rPr>
      </w:pPr>
    </w:p>
    <w:p>
      <w:pPr>
        <w:spacing w:after="0"/>
        <w:rPr>
          <w:sz w:val="20"/>
          <w:szCs w:val="20"/>
          <w:color w:val="auto"/>
        </w:rPr>
      </w:pPr>
      <w:r>
        <w:rPr>
          <w:rFonts w:ascii="Arial" w:cs="Arial" w:eastAsia="Arial" w:hAnsi="Arial"/>
          <w:sz w:val="32"/>
          <w:szCs w:val="32"/>
          <w:b w:val="1"/>
          <w:bCs w:val="1"/>
          <w:color w:val="ACACAC"/>
        </w:rPr>
        <w:t>FOR THE QUARTERLY PERIOD ENDED September 30, 2017</w:t>
      </w:r>
    </w:p>
    <w:p>
      <w:pPr>
        <w:spacing w:after="0" w:line="342" w:lineRule="exact"/>
        <w:rPr>
          <w:sz w:val="20"/>
          <w:szCs w:val="20"/>
          <w:color w:val="auto"/>
        </w:rPr>
      </w:pPr>
    </w:p>
    <w:p>
      <w:pPr>
        <w:spacing w:after="0"/>
        <w:rPr>
          <w:sz w:val="20"/>
          <w:szCs w:val="20"/>
          <w:color w:val="auto"/>
        </w:rPr>
      </w:pPr>
      <w:r>
        <w:rPr>
          <w:rFonts w:ascii="Arial" w:cs="Arial" w:eastAsia="Arial" w:hAnsi="Arial"/>
          <w:sz w:val="32"/>
          <w:szCs w:val="32"/>
          <w:b w:val="1"/>
          <w:bCs w:val="1"/>
          <w:color w:val="ACACAC"/>
        </w:rPr>
        <w:t>TABLE OF CONTENTS</w:t>
      </w:r>
    </w:p>
    <w:p>
      <w:pPr>
        <w:spacing w:after="0" w:line="328" w:lineRule="exact"/>
        <w:rPr>
          <w:sz w:val="20"/>
          <w:szCs w:val="20"/>
          <w:color w:val="auto"/>
        </w:rPr>
      </w:pPr>
    </w:p>
    <w:tbl>
      <w:tblPr>
        <w:tblLayout w:type="fixed"/>
        <w:tblInd w:w="40" w:type="dxa"/>
        <w:tblCellMar>
          <w:top w:w="0" w:type="dxa"/>
          <w:left w:w="0" w:type="dxa"/>
          <w:bottom w:w="0" w:type="dxa"/>
          <w:right w:w="0" w:type="dxa"/>
        </w:tblCellMar>
      </w:tblPr>
      <w:tr>
        <w:trPr>
          <w:trHeight w:val="184"/>
        </w:trPr>
        <w:tc>
          <w:tcPr>
            <w:tcW w:w="5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580" w:type="dxa"/>
            <w:vAlign w:val="bottom"/>
          </w:tcPr>
          <w:p>
            <w:pPr>
              <w:spacing w:after="0"/>
              <w:rPr>
                <w:sz w:val="16"/>
                <w:szCs w:val="16"/>
                <w:color w:val="auto"/>
              </w:rPr>
            </w:pPr>
          </w:p>
        </w:tc>
        <w:tc>
          <w:tcPr>
            <w:tcW w:w="2000" w:type="dxa"/>
            <w:vAlign w:val="bottom"/>
          </w:tcPr>
          <w:p>
            <w:pPr>
              <w:spacing w:after="0"/>
              <w:rPr>
                <w:sz w:val="16"/>
                <w:szCs w:val="16"/>
                <w:color w:val="auto"/>
              </w:rPr>
            </w:pPr>
          </w:p>
        </w:tc>
        <w:tc>
          <w:tcPr>
            <w:tcW w:w="4600" w:type="dxa"/>
            <w:vAlign w:val="bottom"/>
          </w:tcPr>
          <w:p>
            <w:pPr>
              <w:spacing w:after="0"/>
              <w:rPr>
                <w:sz w:val="16"/>
                <w:szCs w:val="16"/>
                <w:color w:val="auto"/>
              </w:rPr>
            </w:pPr>
          </w:p>
        </w:tc>
        <w:tc>
          <w:tcPr>
            <w:tcW w:w="400" w:type="dxa"/>
            <w:vAlign w:val="bottom"/>
            <w:tcBorders>
              <w:bottom w:val="single" w:sz="8" w:color="0F7C7F"/>
            </w:tcBorders>
            <w:gridSpan w:val="3"/>
          </w:tcPr>
          <w:p>
            <w:pPr>
              <w:jc w:val="right"/>
              <w:spacing w:after="0"/>
              <w:rPr>
                <w:sz w:val="20"/>
                <w:szCs w:val="20"/>
                <w:color w:val="auto"/>
              </w:rPr>
            </w:pPr>
            <w:r>
              <w:rPr>
                <w:rFonts w:ascii="Arial" w:cs="Arial" w:eastAsia="Arial" w:hAnsi="Arial"/>
                <w:sz w:val="16"/>
                <w:szCs w:val="16"/>
                <w:b w:val="1"/>
                <w:bCs w:val="1"/>
                <w:color w:val="0F7C7F"/>
                <w:w w:val="99"/>
              </w:rPr>
              <w:t>Page</w:t>
            </w:r>
          </w:p>
        </w:tc>
      </w:tr>
      <w:tr>
        <w:trPr>
          <w:trHeight w:val="223"/>
        </w:trPr>
        <w:tc>
          <w:tcPr>
            <w:tcW w:w="10960" w:type="dxa"/>
            <w:vAlign w:val="bottom"/>
            <w:gridSpan w:val="9"/>
          </w:tcPr>
          <w:p>
            <w:pPr>
              <w:spacing w:after="0"/>
              <w:rPr>
                <w:rFonts w:ascii="Arial" w:cs="Arial" w:eastAsia="Arial" w:hAnsi="Arial"/>
                <w:sz w:val="16"/>
                <w:szCs w:val="16"/>
                <w:color w:val="0F7C7F"/>
              </w:rPr>
            </w:pPr>
            <w:hyperlink w:anchor="page3">
              <w:r>
                <w:rPr>
                  <w:rFonts w:ascii="Arial" w:cs="Arial" w:eastAsia="Arial" w:hAnsi="Arial"/>
                  <w:sz w:val="16"/>
                  <w:szCs w:val="16"/>
                  <w:color w:val="0F7C7F"/>
                </w:rPr>
                <w:t>Financial Statements</w:t>
              </w:r>
            </w:hyperlink>
          </w:p>
        </w:tc>
        <w:tc>
          <w:tcPr>
            <w:tcW w:w="400" w:type="dxa"/>
            <w:vAlign w:val="bottom"/>
            <w:gridSpan w:val="3"/>
          </w:tcPr>
          <w:p>
            <w:pPr>
              <w:jc w:val="right"/>
              <w:spacing w:after="0"/>
              <w:rPr>
                <w:rFonts w:ascii="Arial" w:cs="Arial" w:eastAsia="Arial" w:hAnsi="Arial"/>
                <w:sz w:val="16"/>
                <w:szCs w:val="16"/>
                <w:color w:val="0F7C7F"/>
              </w:rPr>
            </w:pPr>
            <w:hyperlink w:anchor="page3">
              <w:r>
                <w:rPr>
                  <w:rFonts w:ascii="Arial" w:cs="Arial" w:eastAsia="Arial" w:hAnsi="Arial"/>
                  <w:sz w:val="16"/>
                  <w:szCs w:val="16"/>
                  <w:color w:val="0F7C7F"/>
                </w:rPr>
                <w:t>3</w:t>
              </w:r>
            </w:hyperlink>
          </w:p>
        </w:tc>
      </w:tr>
      <w:tr>
        <w:trPr>
          <w:trHeight w:val="20"/>
        </w:trPr>
        <w:tc>
          <w:tcPr>
            <w:tcW w:w="560" w:type="dxa"/>
            <w:vAlign w:val="bottom"/>
            <w:shd w:val="clear" w:color="auto" w:fill="0F7C7F"/>
          </w:tcPr>
          <w:p>
            <w:pPr>
              <w:spacing w:after="0" w:line="20" w:lineRule="exact"/>
              <w:rPr>
                <w:sz w:val="1"/>
                <w:szCs w:val="1"/>
                <w:color w:val="auto"/>
              </w:rPr>
            </w:pPr>
          </w:p>
        </w:tc>
        <w:tc>
          <w:tcPr>
            <w:tcW w:w="200" w:type="dxa"/>
            <w:vAlign w:val="bottom"/>
            <w:shd w:val="clear" w:color="auto" w:fill="0F7C7F"/>
          </w:tcPr>
          <w:p>
            <w:pPr>
              <w:spacing w:after="0" w:line="20" w:lineRule="exact"/>
              <w:rPr>
                <w:sz w:val="1"/>
                <w:szCs w:val="1"/>
                <w:color w:val="auto"/>
              </w:rPr>
            </w:pPr>
          </w:p>
        </w:tc>
        <w:tc>
          <w:tcPr>
            <w:tcW w:w="140" w:type="dxa"/>
            <w:vAlign w:val="bottom"/>
            <w:shd w:val="clear" w:color="auto" w:fill="0F7C7F"/>
          </w:tcPr>
          <w:p>
            <w:pPr>
              <w:spacing w:after="0" w:line="20" w:lineRule="exact"/>
              <w:rPr>
                <w:sz w:val="1"/>
                <w:szCs w:val="1"/>
                <w:color w:val="auto"/>
              </w:rPr>
            </w:pPr>
          </w:p>
        </w:tc>
        <w:tc>
          <w:tcPr>
            <w:tcW w:w="440" w:type="dxa"/>
            <w:vAlign w:val="bottom"/>
            <w:shd w:val="clear" w:color="auto" w:fill="0F7C7F"/>
          </w:tcPr>
          <w:p>
            <w:pPr>
              <w:spacing w:after="0" w:line="20" w:lineRule="exact"/>
              <w:rPr>
                <w:sz w:val="1"/>
                <w:szCs w:val="1"/>
                <w:color w:val="auto"/>
              </w:rPr>
            </w:pPr>
          </w:p>
        </w:tc>
        <w:tc>
          <w:tcPr>
            <w:tcW w:w="160" w:type="dxa"/>
            <w:vAlign w:val="bottom"/>
            <w:shd w:val="clear" w:color="auto" w:fill="0F7C7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46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F7C7F"/>
          </w:tcPr>
          <w:p>
            <w:pPr>
              <w:spacing w:after="0" w:line="20" w:lineRule="exact"/>
              <w:rPr>
                <w:sz w:val="1"/>
                <w:szCs w:val="1"/>
                <w:color w:val="auto"/>
              </w:rPr>
            </w:pPr>
          </w:p>
        </w:tc>
      </w:tr>
      <w:tr>
        <w:trPr>
          <w:trHeight w:val="223"/>
        </w:trPr>
        <w:tc>
          <w:tcPr>
            <w:tcW w:w="10960" w:type="dxa"/>
            <w:vAlign w:val="bottom"/>
            <w:gridSpan w:val="9"/>
          </w:tcPr>
          <w:p>
            <w:pPr>
              <w:spacing w:after="0"/>
              <w:rPr>
                <w:rFonts w:ascii="Arial" w:cs="Arial" w:eastAsia="Arial" w:hAnsi="Arial"/>
                <w:sz w:val="16"/>
                <w:szCs w:val="16"/>
                <w:color w:val="0F7C7F"/>
              </w:rPr>
            </w:pPr>
            <w:hyperlink w:anchor="page39">
              <w:r>
                <w:rPr>
                  <w:rFonts w:ascii="Arial" w:cs="Arial" w:eastAsia="Arial" w:hAnsi="Arial"/>
                  <w:sz w:val="16"/>
                  <w:szCs w:val="16"/>
                  <w:color w:val="0F7C7F"/>
                </w:rPr>
                <w:t>Management’s Discussion and Analysis of Financial Condition and Results of Operations</w:t>
              </w:r>
            </w:hyperlink>
          </w:p>
        </w:tc>
        <w:tc>
          <w:tcPr>
            <w:tcW w:w="400" w:type="dxa"/>
            <w:vAlign w:val="bottom"/>
            <w:gridSpan w:val="3"/>
          </w:tcPr>
          <w:p>
            <w:pPr>
              <w:jc w:val="right"/>
              <w:spacing w:after="0"/>
              <w:rPr>
                <w:rFonts w:ascii="Arial" w:cs="Arial" w:eastAsia="Arial" w:hAnsi="Arial"/>
                <w:sz w:val="16"/>
                <w:szCs w:val="16"/>
                <w:color w:val="0F7C7F"/>
              </w:rPr>
            </w:pPr>
            <w:hyperlink w:anchor="page39">
              <w:r>
                <w:rPr>
                  <w:rFonts w:ascii="Arial" w:cs="Arial" w:eastAsia="Arial" w:hAnsi="Arial"/>
                  <w:sz w:val="16"/>
                  <w:szCs w:val="16"/>
                  <w:color w:val="0F7C7F"/>
                </w:rPr>
                <w:t>39</w:t>
              </w:r>
            </w:hyperlink>
          </w:p>
        </w:tc>
      </w:tr>
      <w:tr>
        <w:trPr>
          <w:trHeight w:val="20"/>
        </w:trPr>
        <w:tc>
          <w:tcPr>
            <w:tcW w:w="560" w:type="dxa"/>
            <w:vAlign w:val="bottom"/>
            <w:shd w:val="clear" w:color="auto" w:fill="0F7C7F"/>
          </w:tcPr>
          <w:p>
            <w:pPr>
              <w:spacing w:after="0" w:line="20" w:lineRule="exact"/>
              <w:rPr>
                <w:sz w:val="1"/>
                <w:szCs w:val="1"/>
                <w:color w:val="auto"/>
              </w:rPr>
            </w:pPr>
          </w:p>
        </w:tc>
        <w:tc>
          <w:tcPr>
            <w:tcW w:w="200" w:type="dxa"/>
            <w:vAlign w:val="bottom"/>
            <w:shd w:val="clear" w:color="auto" w:fill="0F7C7F"/>
          </w:tcPr>
          <w:p>
            <w:pPr>
              <w:spacing w:after="0" w:line="20" w:lineRule="exact"/>
              <w:rPr>
                <w:sz w:val="1"/>
                <w:szCs w:val="1"/>
                <w:color w:val="auto"/>
              </w:rPr>
            </w:pPr>
          </w:p>
        </w:tc>
        <w:tc>
          <w:tcPr>
            <w:tcW w:w="140" w:type="dxa"/>
            <w:vAlign w:val="bottom"/>
            <w:shd w:val="clear" w:color="auto" w:fill="0F7C7F"/>
          </w:tcPr>
          <w:p>
            <w:pPr>
              <w:spacing w:after="0" w:line="20" w:lineRule="exact"/>
              <w:rPr>
                <w:sz w:val="1"/>
                <w:szCs w:val="1"/>
                <w:color w:val="auto"/>
              </w:rPr>
            </w:pPr>
          </w:p>
        </w:tc>
        <w:tc>
          <w:tcPr>
            <w:tcW w:w="440" w:type="dxa"/>
            <w:vAlign w:val="bottom"/>
            <w:shd w:val="clear" w:color="auto" w:fill="0F7C7F"/>
          </w:tcPr>
          <w:p>
            <w:pPr>
              <w:spacing w:after="0" w:line="20" w:lineRule="exact"/>
              <w:rPr>
                <w:sz w:val="1"/>
                <w:szCs w:val="1"/>
                <w:color w:val="auto"/>
              </w:rPr>
            </w:pPr>
          </w:p>
        </w:tc>
        <w:tc>
          <w:tcPr>
            <w:tcW w:w="440" w:type="dxa"/>
            <w:vAlign w:val="bottom"/>
            <w:gridSpan w:val="2"/>
            <w:shd w:val="clear" w:color="auto" w:fill="0F7C7F"/>
          </w:tcPr>
          <w:p>
            <w:pPr>
              <w:spacing w:after="0" w:line="20" w:lineRule="exact"/>
              <w:rPr>
                <w:sz w:val="1"/>
                <w:szCs w:val="1"/>
                <w:color w:val="auto"/>
              </w:rPr>
            </w:pPr>
          </w:p>
        </w:tc>
        <w:tc>
          <w:tcPr>
            <w:tcW w:w="2580" w:type="dxa"/>
            <w:vAlign w:val="bottom"/>
            <w:shd w:val="clear" w:color="auto" w:fill="0F7C7F"/>
          </w:tcPr>
          <w:p>
            <w:pPr>
              <w:spacing w:after="0" w:line="20" w:lineRule="exact"/>
              <w:rPr>
                <w:sz w:val="1"/>
                <w:szCs w:val="1"/>
                <w:color w:val="auto"/>
              </w:rPr>
            </w:pPr>
          </w:p>
        </w:tc>
        <w:tc>
          <w:tcPr>
            <w:tcW w:w="2000" w:type="dxa"/>
            <w:vAlign w:val="bottom"/>
            <w:shd w:val="clear" w:color="auto" w:fill="0F7C7F"/>
          </w:tcPr>
          <w:p>
            <w:pPr>
              <w:spacing w:after="0" w:line="20" w:lineRule="exact"/>
              <w:rPr>
                <w:sz w:val="1"/>
                <w:szCs w:val="1"/>
                <w:color w:val="auto"/>
              </w:rPr>
            </w:pPr>
          </w:p>
        </w:tc>
        <w:tc>
          <w:tcPr>
            <w:tcW w:w="46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gridSpan w:val="2"/>
            <w:shd w:val="clear" w:color="auto" w:fill="0F7C7F"/>
          </w:tcPr>
          <w:p>
            <w:pPr>
              <w:spacing w:after="0" w:line="20" w:lineRule="exact"/>
              <w:rPr>
                <w:sz w:val="1"/>
                <w:szCs w:val="1"/>
                <w:color w:val="auto"/>
              </w:rPr>
            </w:pPr>
          </w:p>
        </w:tc>
      </w:tr>
      <w:tr>
        <w:trPr>
          <w:trHeight w:val="223"/>
        </w:trPr>
        <w:tc>
          <w:tcPr>
            <w:tcW w:w="6360" w:type="dxa"/>
            <w:vAlign w:val="bottom"/>
            <w:gridSpan w:val="8"/>
          </w:tcPr>
          <w:p>
            <w:pPr>
              <w:spacing w:after="0"/>
              <w:rPr>
                <w:rFonts w:ascii="Arial" w:cs="Arial" w:eastAsia="Arial" w:hAnsi="Arial"/>
                <w:sz w:val="16"/>
                <w:szCs w:val="16"/>
                <w:color w:val="0F7C7F"/>
              </w:rPr>
            </w:pPr>
            <w:hyperlink w:anchor="page63">
              <w:r>
                <w:rPr>
                  <w:rFonts w:ascii="Arial" w:cs="Arial" w:eastAsia="Arial" w:hAnsi="Arial"/>
                  <w:sz w:val="16"/>
                  <w:szCs w:val="16"/>
                  <w:color w:val="0F7C7F"/>
                </w:rPr>
                <w:t>Controls and Procedures</w:t>
              </w:r>
            </w:hyperlink>
          </w:p>
        </w:tc>
        <w:tc>
          <w:tcPr>
            <w:tcW w:w="4600" w:type="dxa"/>
            <w:vAlign w:val="bottom"/>
          </w:tcPr>
          <w:p>
            <w:pPr>
              <w:spacing w:after="0"/>
              <w:rPr>
                <w:sz w:val="19"/>
                <w:szCs w:val="19"/>
                <w:color w:val="auto"/>
              </w:rPr>
            </w:pPr>
          </w:p>
        </w:tc>
        <w:tc>
          <w:tcPr>
            <w:tcW w:w="400" w:type="dxa"/>
            <w:vAlign w:val="bottom"/>
            <w:gridSpan w:val="3"/>
          </w:tcPr>
          <w:p>
            <w:pPr>
              <w:jc w:val="right"/>
              <w:spacing w:after="0"/>
              <w:rPr>
                <w:rFonts w:ascii="Arial" w:cs="Arial" w:eastAsia="Arial" w:hAnsi="Arial"/>
                <w:sz w:val="16"/>
                <w:szCs w:val="16"/>
                <w:color w:val="0F7C7F"/>
              </w:rPr>
            </w:pPr>
            <w:hyperlink w:anchor="page63">
              <w:r>
                <w:rPr>
                  <w:rFonts w:ascii="Arial" w:cs="Arial" w:eastAsia="Arial" w:hAnsi="Arial"/>
                  <w:sz w:val="16"/>
                  <w:szCs w:val="16"/>
                  <w:color w:val="0F7C7F"/>
                </w:rPr>
                <w:t>63</w:t>
              </w:r>
            </w:hyperlink>
          </w:p>
        </w:tc>
      </w:tr>
      <w:tr>
        <w:trPr>
          <w:trHeight w:val="20"/>
        </w:trPr>
        <w:tc>
          <w:tcPr>
            <w:tcW w:w="560" w:type="dxa"/>
            <w:vAlign w:val="bottom"/>
            <w:shd w:val="clear" w:color="auto" w:fill="0F7C7F"/>
          </w:tcPr>
          <w:p>
            <w:pPr>
              <w:spacing w:after="0" w:line="20" w:lineRule="exact"/>
              <w:rPr>
                <w:sz w:val="1"/>
                <w:szCs w:val="1"/>
                <w:color w:val="auto"/>
              </w:rPr>
            </w:pPr>
          </w:p>
        </w:tc>
        <w:tc>
          <w:tcPr>
            <w:tcW w:w="200" w:type="dxa"/>
            <w:vAlign w:val="bottom"/>
            <w:shd w:val="clear" w:color="auto" w:fill="0F7C7F"/>
          </w:tcPr>
          <w:p>
            <w:pPr>
              <w:spacing w:after="0" w:line="20" w:lineRule="exact"/>
              <w:rPr>
                <w:sz w:val="1"/>
                <w:szCs w:val="1"/>
                <w:color w:val="auto"/>
              </w:rPr>
            </w:pPr>
          </w:p>
        </w:tc>
        <w:tc>
          <w:tcPr>
            <w:tcW w:w="140" w:type="dxa"/>
            <w:vAlign w:val="bottom"/>
            <w:shd w:val="clear" w:color="auto" w:fill="0F7C7F"/>
          </w:tcPr>
          <w:p>
            <w:pPr>
              <w:spacing w:after="0" w:line="20" w:lineRule="exact"/>
              <w:rPr>
                <w:sz w:val="1"/>
                <w:szCs w:val="1"/>
                <w:color w:val="auto"/>
              </w:rPr>
            </w:pPr>
          </w:p>
        </w:tc>
        <w:tc>
          <w:tcPr>
            <w:tcW w:w="440" w:type="dxa"/>
            <w:vAlign w:val="bottom"/>
            <w:shd w:val="clear" w:color="auto" w:fill="0F7C7F"/>
          </w:tcPr>
          <w:p>
            <w:pPr>
              <w:spacing w:after="0" w:line="20" w:lineRule="exact"/>
              <w:rPr>
                <w:sz w:val="1"/>
                <w:szCs w:val="1"/>
                <w:color w:val="auto"/>
              </w:rPr>
            </w:pPr>
          </w:p>
        </w:tc>
        <w:tc>
          <w:tcPr>
            <w:tcW w:w="440" w:type="dxa"/>
            <w:vAlign w:val="bottom"/>
            <w:gridSpan w:val="2"/>
            <w:shd w:val="clear" w:color="auto" w:fill="0F7C7F"/>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660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gridSpan w:val="2"/>
            <w:shd w:val="clear" w:color="auto" w:fill="0F7C7F"/>
          </w:tcPr>
          <w:p>
            <w:pPr>
              <w:spacing w:after="0" w:line="20" w:lineRule="exact"/>
              <w:rPr>
                <w:sz w:val="1"/>
                <w:szCs w:val="1"/>
                <w:color w:val="auto"/>
              </w:rPr>
            </w:pPr>
          </w:p>
        </w:tc>
      </w:tr>
      <w:tr>
        <w:trPr>
          <w:trHeight w:val="223"/>
        </w:trPr>
        <w:tc>
          <w:tcPr>
            <w:tcW w:w="1340" w:type="dxa"/>
            <w:vAlign w:val="bottom"/>
            <w:gridSpan w:val="4"/>
          </w:tcPr>
          <w:p>
            <w:pPr>
              <w:spacing w:after="0"/>
              <w:rPr>
                <w:rFonts w:ascii="Arial" w:cs="Arial" w:eastAsia="Arial" w:hAnsi="Arial"/>
                <w:sz w:val="16"/>
                <w:szCs w:val="16"/>
                <w:color w:val="0F7C7F"/>
                <w:w w:val="99"/>
              </w:rPr>
            </w:pPr>
            <w:hyperlink w:anchor="page65">
              <w:r>
                <w:rPr>
                  <w:rFonts w:ascii="Arial" w:cs="Arial" w:eastAsia="Arial" w:hAnsi="Arial"/>
                  <w:sz w:val="16"/>
                  <w:szCs w:val="16"/>
                  <w:color w:val="0F7C7F"/>
                  <w:w w:val="99"/>
                </w:rPr>
                <w:t>Legal Proceedings</w:t>
              </w:r>
            </w:hyperlink>
          </w:p>
        </w:tc>
        <w:tc>
          <w:tcPr>
            <w:tcW w:w="440" w:type="dxa"/>
            <w:vAlign w:val="bottom"/>
            <w:gridSpan w:val="2"/>
          </w:tcPr>
          <w:p>
            <w:pPr>
              <w:spacing w:after="0"/>
              <w:rPr>
                <w:sz w:val="19"/>
                <w:szCs w:val="19"/>
                <w:color w:val="auto"/>
              </w:rPr>
            </w:pPr>
          </w:p>
        </w:tc>
        <w:tc>
          <w:tcPr>
            <w:tcW w:w="9180" w:type="dxa"/>
            <w:vAlign w:val="bottom"/>
            <w:gridSpan w:val="3"/>
          </w:tcPr>
          <w:p>
            <w:pPr>
              <w:spacing w:after="0"/>
              <w:rPr>
                <w:sz w:val="19"/>
                <w:szCs w:val="19"/>
                <w:color w:val="auto"/>
              </w:rPr>
            </w:pPr>
          </w:p>
        </w:tc>
        <w:tc>
          <w:tcPr>
            <w:tcW w:w="400" w:type="dxa"/>
            <w:vAlign w:val="bottom"/>
            <w:gridSpan w:val="3"/>
          </w:tcPr>
          <w:p>
            <w:pPr>
              <w:jc w:val="right"/>
              <w:spacing w:after="0"/>
              <w:rPr>
                <w:rFonts w:ascii="Arial" w:cs="Arial" w:eastAsia="Arial" w:hAnsi="Arial"/>
                <w:sz w:val="16"/>
                <w:szCs w:val="16"/>
                <w:color w:val="0F7C7F"/>
              </w:rPr>
            </w:pPr>
            <w:hyperlink w:anchor="page65">
              <w:r>
                <w:rPr>
                  <w:rFonts w:ascii="Arial" w:cs="Arial" w:eastAsia="Arial" w:hAnsi="Arial"/>
                  <w:sz w:val="16"/>
                  <w:szCs w:val="16"/>
                  <w:color w:val="0F7C7F"/>
                </w:rPr>
                <w:t>65</w:t>
              </w:r>
            </w:hyperlink>
          </w:p>
        </w:tc>
      </w:tr>
      <w:tr>
        <w:trPr>
          <w:trHeight w:val="20"/>
        </w:trPr>
        <w:tc>
          <w:tcPr>
            <w:tcW w:w="560" w:type="dxa"/>
            <w:vAlign w:val="bottom"/>
            <w:shd w:val="clear" w:color="auto" w:fill="0F7C7F"/>
          </w:tcPr>
          <w:p>
            <w:pPr>
              <w:spacing w:after="0" w:line="20" w:lineRule="exact"/>
              <w:rPr>
                <w:sz w:val="1"/>
                <w:szCs w:val="1"/>
                <w:color w:val="auto"/>
              </w:rPr>
            </w:pPr>
          </w:p>
        </w:tc>
        <w:tc>
          <w:tcPr>
            <w:tcW w:w="200" w:type="dxa"/>
            <w:vAlign w:val="bottom"/>
            <w:shd w:val="clear" w:color="auto" w:fill="0F7C7F"/>
          </w:tcPr>
          <w:p>
            <w:pPr>
              <w:spacing w:after="0" w:line="20" w:lineRule="exact"/>
              <w:rPr>
                <w:sz w:val="1"/>
                <w:szCs w:val="1"/>
                <w:color w:val="auto"/>
              </w:rPr>
            </w:pPr>
          </w:p>
        </w:tc>
        <w:tc>
          <w:tcPr>
            <w:tcW w:w="140" w:type="dxa"/>
            <w:vAlign w:val="bottom"/>
            <w:shd w:val="clear" w:color="auto" w:fill="0F7C7F"/>
          </w:tcPr>
          <w:p>
            <w:pPr>
              <w:spacing w:after="0" w:line="20" w:lineRule="exact"/>
              <w:rPr>
                <w:sz w:val="1"/>
                <w:szCs w:val="1"/>
                <w:color w:val="auto"/>
              </w:rPr>
            </w:pPr>
          </w:p>
        </w:tc>
        <w:tc>
          <w:tcPr>
            <w:tcW w:w="440" w:type="dxa"/>
            <w:vAlign w:val="bottom"/>
            <w:shd w:val="clear" w:color="auto" w:fill="0F7C7F"/>
          </w:tcPr>
          <w:p>
            <w:pPr>
              <w:spacing w:after="0" w:line="20" w:lineRule="exact"/>
              <w:rPr>
                <w:sz w:val="1"/>
                <w:szCs w:val="1"/>
                <w:color w:val="auto"/>
              </w:rPr>
            </w:pPr>
          </w:p>
        </w:tc>
        <w:tc>
          <w:tcPr>
            <w:tcW w:w="3020" w:type="dxa"/>
            <w:vAlign w:val="bottom"/>
            <w:gridSpan w:val="3"/>
          </w:tcPr>
          <w:p>
            <w:pPr>
              <w:spacing w:after="0" w:line="20" w:lineRule="exact"/>
              <w:rPr>
                <w:sz w:val="1"/>
                <w:szCs w:val="1"/>
                <w:color w:val="auto"/>
              </w:rPr>
            </w:pPr>
          </w:p>
        </w:tc>
        <w:tc>
          <w:tcPr>
            <w:tcW w:w="660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gridSpan w:val="2"/>
            <w:shd w:val="clear" w:color="auto" w:fill="0F7C7F"/>
          </w:tcPr>
          <w:p>
            <w:pPr>
              <w:spacing w:after="0" w:line="20" w:lineRule="exact"/>
              <w:rPr>
                <w:sz w:val="1"/>
                <w:szCs w:val="1"/>
                <w:color w:val="auto"/>
              </w:rPr>
            </w:pPr>
          </w:p>
        </w:tc>
      </w:tr>
      <w:tr>
        <w:trPr>
          <w:trHeight w:val="223"/>
        </w:trPr>
        <w:tc>
          <w:tcPr>
            <w:tcW w:w="900" w:type="dxa"/>
            <w:vAlign w:val="bottom"/>
            <w:gridSpan w:val="3"/>
          </w:tcPr>
          <w:p>
            <w:pPr>
              <w:spacing w:after="0"/>
              <w:rPr>
                <w:rFonts w:ascii="Arial" w:cs="Arial" w:eastAsia="Arial" w:hAnsi="Arial"/>
                <w:sz w:val="16"/>
                <w:szCs w:val="16"/>
                <w:color w:val="0F7C7F"/>
                <w:w w:val="98"/>
              </w:rPr>
            </w:pPr>
            <w:hyperlink w:anchor="page65">
              <w:r>
                <w:rPr>
                  <w:rFonts w:ascii="Arial" w:cs="Arial" w:eastAsia="Arial" w:hAnsi="Arial"/>
                  <w:sz w:val="16"/>
                  <w:szCs w:val="16"/>
                  <w:color w:val="0F7C7F"/>
                  <w:w w:val="98"/>
                </w:rPr>
                <w:t>Risk Factors</w:t>
              </w:r>
            </w:hyperlink>
          </w:p>
        </w:tc>
        <w:tc>
          <w:tcPr>
            <w:tcW w:w="440" w:type="dxa"/>
            <w:vAlign w:val="bottom"/>
          </w:tcPr>
          <w:p>
            <w:pPr>
              <w:spacing w:after="0"/>
              <w:rPr>
                <w:sz w:val="19"/>
                <w:szCs w:val="19"/>
                <w:color w:val="auto"/>
              </w:rPr>
            </w:pPr>
          </w:p>
        </w:tc>
        <w:tc>
          <w:tcPr>
            <w:tcW w:w="9620" w:type="dxa"/>
            <w:vAlign w:val="bottom"/>
            <w:gridSpan w:val="5"/>
          </w:tcPr>
          <w:p>
            <w:pPr>
              <w:spacing w:after="0"/>
              <w:rPr>
                <w:sz w:val="19"/>
                <w:szCs w:val="19"/>
                <w:color w:val="auto"/>
              </w:rPr>
            </w:pPr>
          </w:p>
        </w:tc>
        <w:tc>
          <w:tcPr>
            <w:tcW w:w="400" w:type="dxa"/>
            <w:vAlign w:val="bottom"/>
            <w:gridSpan w:val="3"/>
          </w:tcPr>
          <w:p>
            <w:pPr>
              <w:jc w:val="right"/>
              <w:spacing w:after="0"/>
              <w:rPr>
                <w:rFonts w:ascii="Arial" w:cs="Arial" w:eastAsia="Arial" w:hAnsi="Arial"/>
                <w:sz w:val="16"/>
                <w:szCs w:val="16"/>
                <w:color w:val="0F7C7F"/>
              </w:rPr>
            </w:pPr>
            <w:hyperlink w:anchor="page65">
              <w:r>
                <w:rPr>
                  <w:rFonts w:ascii="Arial" w:cs="Arial" w:eastAsia="Arial" w:hAnsi="Arial"/>
                  <w:sz w:val="16"/>
                  <w:szCs w:val="16"/>
                  <w:color w:val="0F7C7F"/>
                </w:rPr>
                <w:t>65</w:t>
              </w:r>
            </w:hyperlink>
          </w:p>
        </w:tc>
      </w:tr>
      <w:tr>
        <w:trPr>
          <w:trHeight w:val="20"/>
        </w:trPr>
        <w:tc>
          <w:tcPr>
            <w:tcW w:w="560" w:type="dxa"/>
            <w:vAlign w:val="bottom"/>
            <w:shd w:val="clear" w:color="auto" w:fill="0F7C7F"/>
          </w:tcPr>
          <w:p>
            <w:pPr>
              <w:spacing w:after="0" w:line="20" w:lineRule="exact"/>
              <w:rPr>
                <w:sz w:val="1"/>
                <w:szCs w:val="1"/>
                <w:color w:val="auto"/>
              </w:rPr>
            </w:pPr>
          </w:p>
        </w:tc>
        <w:tc>
          <w:tcPr>
            <w:tcW w:w="200" w:type="dxa"/>
            <w:vAlign w:val="bottom"/>
            <w:shd w:val="clear" w:color="auto" w:fill="0F7C7F"/>
          </w:tcPr>
          <w:p>
            <w:pPr>
              <w:spacing w:after="0" w:line="20" w:lineRule="exact"/>
              <w:rPr>
                <w:sz w:val="1"/>
                <w:szCs w:val="1"/>
                <w:color w:val="auto"/>
              </w:rPr>
            </w:pPr>
          </w:p>
        </w:tc>
        <w:tc>
          <w:tcPr>
            <w:tcW w:w="140" w:type="dxa"/>
            <w:vAlign w:val="bottom"/>
            <w:shd w:val="clear" w:color="auto" w:fill="0F7C7F"/>
          </w:tcPr>
          <w:p>
            <w:pPr>
              <w:spacing w:after="0" w:line="20" w:lineRule="exact"/>
              <w:rPr>
                <w:sz w:val="1"/>
                <w:szCs w:val="1"/>
                <w:color w:val="auto"/>
              </w:rPr>
            </w:pPr>
          </w:p>
        </w:tc>
        <w:tc>
          <w:tcPr>
            <w:tcW w:w="3460" w:type="dxa"/>
            <w:vAlign w:val="bottom"/>
            <w:gridSpan w:val="4"/>
          </w:tcPr>
          <w:p>
            <w:pPr>
              <w:spacing w:after="0" w:line="20" w:lineRule="exact"/>
              <w:rPr>
                <w:sz w:val="1"/>
                <w:szCs w:val="1"/>
                <w:color w:val="auto"/>
              </w:rPr>
            </w:pPr>
          </w:p>
        </w:tc>
        <w:tc>
          <w:tcPr>
            <w:tcW w:w="660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gridSpan w:val="2"/>
            <w:shd w:val="clear" w:color="auto" w:fill="0F7C7F"/>
          </w:tcPr>
          <w:p>
            <w:pPr>
              <w:spacing w:after="0" w:line="20" w:lineRule="exact"/>
              <w:rPr>
                <w:sz w:val="1"/>
                <w:szCs w:val="1"/>
                <w:color w:val="auto"/>
              </w:rPr>
            </w:pPr>
          </w:p>
        </w:tc>
      </w:tr>
      <w:tr>
        <w:trPr>
          <w:trHeight w:val="223"/>
        </w:trPr>
        <w:tc>
          <w:tcPr>
            <w:tcW w:w="10960" w:type="dxa"/>
            <w:vAlign w:val="bottom"/>
            <w:gridSpan w:val="9"/>
          </w:tcPr>
          <w:p>
            <w:pPr>
              <w:spacing w:after="0"/>
              <w:rPr>
                <w:rFonts w:ascii="Arial" w:cs="Arial" w:eastAsia="Arial" w:hAnsi="Arial"/>
                <w:sz w:val="16"/>
                <w:szCs w:val="16"/>
                <w:color w:val="0F7C7F"/>
              </w:rPr>
            </w:pPr>
            <w:hyperlink w:anchor="page65">
              <w:r>
                <w:rPr>
                  <w:rFonts w:ascii="Arial" w:cs="Arial" w:eastAsia="Arial" w:hAnsi="Arial"/>
                  <w:sz w:val="16"/>
                  <w:szCs w:val="16"/>
                  <w:color w:val="0F7C7F"/>
                </w:rPr>
                <w:t>Unregistered Sales of Equity Securities and Use of Proceeds</w:t>
              </w:r>
            </w:hyperlink>
          </w:p>
        </w:tc>
        <w:tc>
          <w:tcPr>
            <w:tcW w:w="400" w:type="dxa"/>
            <w:vAlign w:val="bottom"/>
            <w:gridSpan w:val="3"/>
          </w:tcPr>
          <w:p>
            <w:pPr>
              <w:jc w:val="right"/>
              <w:spacing w:after="0"/>
              <w:rPr>
                <w:rFonts w:ascii="Arial" w:cs="Arial" w:eastAsia="Arial" w:hAnsi="Arial"/>
                <w:sz w:val="16"/>
                <w:szCs w:val="16"/>
                <w:color w:val="0F7C7F"/>
              </w:rPr>
            </w:pPr>
            <w:hyperlink w:anchor="page65">
              <w:r>
                <w:rPr>
                  <w:rFonts w:ascii="Arial" w:cs="Arial" w:eastAsia="Arial" w:hAnsi="Arial"/>
                  <w:sz w:val="16"/>
                  <w:szCs w:val="16"/>
                  <w:color w:val="0F7C7F"/>
                </w:rPr>
                <w:t>65</w:t>
              </w:r>
            </w:hyperlink>
          </w:p>
        </w:tc>
      </w:tr>
      <w:tr>
        <w:trPr>
          <w:trHeight w:val="20"/>
        </w:trPr>
        <w:tc>
          <w:tcPr>
            <w:tcW w:w="560" w:type="dxa"/>
            <w:vAlign w:val="bottom"/>
            <w:shd w:val="clear" w:color="auto" w:fill="0F7C7F"/>
          </w:tcPr>
          <w:p>
            <w:pPr>
              <w:spacing w:after="0" w:line="20" w:lineRule="exact"/>
              <w:rPr>
                <w:sz w:val="1"/>
                <w:szCs w:val="1"/>
                <w:color w:val="auto"/>
              </w:rPr>
            </w:pPr>
          </w:p>
        </w:tc>
        <w:tc>
          <w:tcPr>
            <w:tcW w:w="200" w:type="dxa"/>
            <w:vAlign w:val="bottom"/>
            <w:shd w:val="clear" w:color="auto" w:fill="0F7C7F"/>
          </w:tcPr>
          <w:p>
            <w:pPr>
              <w:spacing w:after="0" w:line="20" w:lineRule="exact"/>
              <w:rPr>
                <w:sz w:val="1"/>
                <w:szCs w:val="1"/>
                <w:color w:val="auto"/>
              </w:rPr>
            </w:pPr>
          </w:p>
        </w:tc>
        <w:tc>
          <w:tcPr>
            <w:tcW w:w="3600" w:type="dxa"/>
            <w:vAlign w:val="bottom"/>
            <w:gridSpan w:val="5"/>
            <w:shd w:val="clear" w:color="auto" w:fill="0F7C7F"/>
          </w:tcPr>
          <w:p>
            <w:pPr>
              <w:spacing w:after="0" w:line="20" w:lineRule="exact"/>
              <w:rPr>
                <w:sz w:val="1"/>
                <w:szCs w:val="1"/>
                <w:color w:val="auto"/>
              </w:rPr>
            </w:pPr>
          </w:p>
        </w:tc>
        <w:tc>
          <w:tcPr>
            <w:tcW w:w="660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gridSpan w:val="2"/>
            <w:shd w:val="clear" w:color="auto" w:fill="0F7C7F"/>
          </w:tcPr>
          <w:p>
            <w:pPr>
              <w:spacing w:after="0" w:line="20" w:lineRule="exact"/>
              <w:rPr>
                <w:sz w:val="1"/>
                <w:szCs w:val="1"/>
                <w:color w:val="auto"/>
              </w:rPr>
            </w:pPr>
          </w:p>
        </w:tc>
      </w:tr>
      <w:tr>
        <w:trPr>
          <w:trHeight w:val="223"/>
        </w:trPr>
        <w:tc>
          <w:tcPr>
            <w:tcW w:w="4360" w:type="dxa"/>
            <w:vAlign w:val="bottom"/>
            <w:gridSpan w:val="7"/>
          </w:tcPr>
          <w:p>
            <w:pPr>
              <w:spacing w:after="0"/>
              <w:rPr>
                <w:rFonts w:ascii="Arial" w:cs="Arial" w:eastAsia="Arial" w:hAnsi="Arial"/>
                <w:sz w:val="16"/>
                <w:szCs w:val="16"/>
                <w:color w:val="0F7C7F"/>
              </w:rPr>
            </w:pPr>
            <w:hyperlink w:anchor="page66">
              <w:r>
                <w:rPr>
                  <w:rFonts w:ascii="Arial" w:cs="Arial" w:eastAsia="Arial" w:hAnsi="Arial"/>
                  <w:sz w:val="16"/>
                  <w:szCs w:val="16"/>
                  <w:color w:val="0F7C7F"/>
                </w:rPr>
                <w:t>Exhibits</w:t>
              </w:r>
            </w:hyperlink>
          </w:p>
        </w:tc>
        <w:tc>
          <w:tcPr>
            <w:tcW w:w="6600" w:type="dxa"/>
            <w:vAlign w:val="bottom"/>
            <w:gridSpan w:val="2"/>
          </w:tcPr>
          <w:p>
            <w:pPr>
              <w:spacing w:after="0"/>
              <w:rPr>
                <w:sz w:val="19"/>
                <w:szCs w:val="19"/>
                <w:color w:val="auto"/>
              </w:rPr>
            </w:pPr>
          </w:p>
        </w:tc>
        <w:tc>
          <w:tcPr>
            <w:tcW w:w="400" w:type="dxa"/>
            <w:vAlign w:val="bottom"/>
            <w:gridSpan w:val="3"/>
          </w:tcPr>
          <w:p>
            <w:pPr>
              <w:jc w:val="right"/>
              <w:spacing w:after="0"/>
              <w:rPr>
                <w:rFonts w:ascii="Arial" w:cs="Arial" w:eastAsia="Arial" w:hAnsi="Arial"/>
                <w:sz w:val="16"/>
                <w:szCs w:val="16"/>
                <w:color w:val="0F7C7F"/>
              </w:rPr>
            </w:pPr>
            <w:hyperlink w:anchor="page66">
              <w:r>
                <w:rPr>
                  <w:rFonts w:ascii="Arial" w:cs="Arial" w:eastAsia="Arial" w:hAnsi="Arial"/>
                  <w:sz w:val="16"/>
                  <w:szCs w:val="16"/>
                  <w:color w:val="0F7C7F"/>
                </w:rPr>
                <w:t>66</w:t>
              </w:r>
            </w:hyperlink>
          </w:p>
        </w:tc>
      </w:tr>
      <w:tr>
        <w:trPr>
          <w:trHeight w:val="20"/>
        </w:trPr>
        <w:tc>
          <w:tcPr>
            <w:tcW w:w="560" w:type="dxa"/>
            <w:vAlign w:val="bottom"/>
            <w:shd w:val="clear" w:color="auto" w:fill="0F7C7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200" w:type="dxa"/>
            <w:vAlign w:val="bottom"/>
            <w:gridSpan w:val="7"/>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gridSpan w:val="2"/>
            <w:shd w:val="clear" w:color="auto" w:fill="0F7C7F"/>
          </w:tcPr>
          <w:p>
            <w:pPr>
              <w:spacing w:after="0" w:line="20" w:lineRule="exact"/>
              <w:rPr>
                <w:sz w:val="1"/>
                <w:szCs w:val="1"/>
                <w:color w:val="auto"/>
              </w:rPr>
            </w:pPr>
          </w:p>
        </w:tc>
      </w:tr>
      <w:tr>
        <w:trPr>
          <w:trHeight w:val="223"/>
        </w:trPr>
        <w:tc>
          <w:tcPr>
            <w:tcW w:w="10960" w:type="dxa"/>
            <w:vAlign w:val="bottom"/>
            <w:gridSpan w:val="9"/>
          </w:tcPr>
          <w:p>
            <w:pPr>
              <w:spacing w:after="0"/>
              <w:rPr>
                <w:rFonts w:ascii="Arial" w:cs="Arial" w:eastAsia="Arial" w:hAnsi="Arial"/>
                <w:sz w:val="16"/>
                <w:szCs w:val="16"/>
                <w:color w:val="0F7C7F"/>
              </w:rPr>
            </w:pPr>
            <w:hyperlink w:anchor="page67">
              <w:r>
                <w:rPr>
                  <w:rFonts w:ascii="Arial" w:cs="Arial" w:eastAsia="Arial" w:hAnsi="Arial"/>
                  <w:sz w:val="16"/>
                  <w:szCs w:val="16"/>
                  <w:color w:val="0F7C7F"/>
                </w:rPr>
                <w:t>Signatures</w:t>
              </w:r>
            </w:hyperlink>
          </w:p>
        </w:tc>
        <w:tc>
          <w:tcPr>
            <w:tcW w:w="400" w:type="dxa"/>
            <w:vAlign w:val="bottom"/>
            <w:gridSpan w:val="3"/>
          </w:tcPr>
          <w:p>
            <w:pPr>
              <w:jc w:val="right"/>
              <w:spacing w:after="0"/>
              <w:rPr>
                <w:rFonts w:ascii="Arial" w:cs="Arial" w:eastAsia="Arial" w:hAnsi="Arial"/>
                <w:sz w:val="16"/>
                <w:szCs w:val="16"/>
                <w:color w:val="0F7C7F"/>
              </w:rPr>
            </w:pPr>
            <w:hyperlink w:anchor="page67">
              <w:r>
                <w:rPr>
                  <w:rFonts w:ascii="Arial" w:cs="Arial" w:eastAsia="Arial" w:hAnsi="Arial"/>
                  <w:sz w:val="16"/>
                  <w:szCs w:val="16"/>
                  <w:color w:val="0F7C7F"/>
                </w:rPr>
                <w:t>67</w:t>
              </w:r>
            </w:hyperlink>
          </w:p>
        </w:tc>
      </w:tr>
      <w:tr>
        <w:trPr>
          <w:trHeight w:val="20"/>
        </w:trPr>
        <w:tc>
          <w:tcPr>
            <w:tcW w:w="560" w:type="dxa"/>
            <w:vAlign w:val="bottom"/>
            <w:shd w:val="clear" w:color="auto" w:fill="0F7C7F"/>
          </w:tcPr>
          <w:p>
            <w:pPr>
              <w:spacing w:after="0" w:line="20" w:lineRule="exact"/>
              <w:rPr>
                <w:sz w:val="1"/>
                <w:szCs w:val="1"/>
                <w:color w:val="auto"/>
              </w:rPr>
            </w:pPr>
          </w:p>
        </w:tc>
        <w:tc>
          <w:tcPr>
            <w:tcW w:w="200" w:type="dxa"/>
            <w:vAlign w:val="bottom"/>
            <w:shd w:val="clear" w:color="auto" w:fill="0F7C7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46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F7C7F"/>
          </w:tcPr>
          <w:p>
            <w:pPr>
              <w:spacing w:after="0" w:line="20" w:lineRule="exact"/>
              <w:rPr>
                <w:sz w:val="1"/>
                <w:szCs w:val="1"/>
                <w:color w:val="auto"/>
              </w:rPr>
            </w:pPr>
          </w:p>
        </w:tc>
        <w:tc>
          <w:tcPr>
            <w:tcW w:w="100" w:type="dxa"/>
            <w:vAlign w:val="bottom"/>
            <w:shd w:val="clear" w:color="auto" w:fill="0F7C7F"/>
          </w:tcPr>
          <w:p>
            <w:pPr>
              <w:spacing w:after="0" w:line="20" w:lineRule="exact"/>
              <w:rPr>
                <w:sz w:val="1"/>
                <w:szCs w:val="1"/>
                <w:color w:val="auto"/>
              </w:rPr>
            </w:pPr>
          </w:p>
        </w:tc>
      </w:tr>
    </w:tbl>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32"/>
          <w:szCs w:val="32"/>
          <w:b w:val="1"/>
          <w:bCs w:val="1"/>
          <w:color w:val="ACACAC"/>
        </w:rPr>
        <w:t>CROSS-REFERENCE INDEX</w:t>
      </w:r>
    </w:p>
    <w:p>
      <w:pPr>
        <w:spacing w:after="0" w:line="301" w:lineRule="exact"/>
        <w:rPr>
          <w:sz w:val="20"/>
          <w:szCs w:val="20"/>
          <w:color w:val="auto"/>
        </w:rPr>
      </w:pPr>
    </w:p>
    <w:tbl>
      <w:tblPr>
        <w:tblLayout w:type="fixed"/>
        <w:tblInd w:w="40" w:type="dxa"/>
        <w:tblCellMar>
          <w:top w:w="0" w:type="dxa"/>
          <w:left w:w="0" w:type="dxa"/>
          <w:bottom w:w="0" w:type="dxa"/>
          <w:right w:w="0" w:type="dxa"/>
        </w:tblCellMar>
      </w:tblPr>
      <w:tr>
        <w:trPr>
          <w:trHeight w:val="184"/>
        </w:trPr>
        <w:tc>
          <w:tcPr>
            <w:tcW w:w="6960" w:type="dxa"/>
            <w:vAlign w:val="bottom"/>
            <w:gridSpan w:val="10"/>
          </w:tcPr>
          <w:p>
            <w:pPr>
              <w:spacing w:after="0"/>
              <w:rPr>
                <w:sz w:val="20"/>
                <w:szCs w:val="20"/>
                <w:color w:val="auto"/>
              </w:rPr>
            </w:pPr>
            <w:r>
              <w:rPr>
                <w:rFonts w:ascii="Arial" w:cs="Arial" w:eastAsia="Arial" w:hAnsi="Arial"/>
                <w:sz w:val="16"/>
                <w:szCs w:val="16"/>
                <w:b w:val="1"/>
                <w:bCs w:val="1"/>
                <w:color w:val="0F7C7F"/>
              </w:rPr>
              <w:t>ITEM NUMBER</w:t>
            </w:r>
          </w:p>
        </w:tc>
        <w:tc>
          <w:tcPr>
            <w:tcW w:w="4000" w:type="dxa"/>
            <w:vAlign w:val="bottom"/>
          </w:tcPr>
          <w:p>
            <w:pPr>
              <w:spacing w:after="0"/>
              <w:rPr>
                <w:sz w:val="16"/>
                <w:szCs w:val="16"/>
                <w:color w:val="auto"/>
              </w:rPr>
            </w:pPr>
          </w:p>
        </w:tc>
        <w:tc>
          <w:tcPr>
            <w:tcW w:w="400" w:type="dxa"/>
            <w:vAlign w:val="bottom"/>
            <w:tcBorders>
              <w:bottom w:val="single" w:sz="8" w:color="0F7C7F"/>
            </w:tcBorders>
            <w:gridSpan w:val="3"/>
          </w:tcPr>
          <w:p>
            <w:pPr>
              <w:jc w:val="right"/>
              <w:spacing w:after="0"/>
              <w:rPr>
                <w:sz w:val="20"/>
                <w:szCs w:val="20"/>
                <w:color w:val="auto"/>
              </w:rPr>
            </w:pPr>
            <w:r>
              <w:rPr>
                <w:rFonts w:ascii="Arial" w:cs="Arial" w:eastAsia="Arial" w:hAnsi="Arial"/>
                <w:sz w:val="16"/>
                <w:szCs w:val="16"/>
                <w:b w:val="1"/>
                <w:bCs w:val="1"/>
                <w:color w:val="0F7C7F"/>
                <w:w w:val="99"/>
              </w:rPr>
              <w:t>Page</w:t>
            </w:r>
          </w:p>
        </w:tc>
      </w:tr>
      <w:tr>
        <w:trPr>
          <w:trHeight w:val="391"/>
        </w:trPr>
        <w:tc>
          <w:tcPr>
            <w:tcW w:w="6960" w:type="dxa"/>
            <w:vAlign w:val="bottom"/>
            <w:gridSpan w:val="10"/>
          </w:tcPr>
          <w:p>
            <w:pPr>
              <w:spacing w:after="0"/>
              <w:rPr>
                <w:sz w:val="20"/>
                <w:szCs w:val="20"/>
                <w:color w:val="auto"/>
              </w:rPr>
            </w:pPr>
            <w:r>
              <w:rPr>
                <w:rFonts w:ascii="Arial" w:cs="Arial" w:eastAsia="Arial" w:hAnsi="Arial"/>
                <w:sz w:val="16"/>
                <w:szCs w:val="16"/>
                <w:b w:val="1"/>
                <w:bCs w:val="1"/>
                <w:color w:val="0F7C7F"/>
              </w:rPr>
              <w:t>PART I - Financial Information</w:t>
            </w:r>
          </w:p>
        </w:tc>
        <w:tc>
          <w:tcPr>
            <w:tcW w:w="4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45"/>
        </w:trPr>
        <w:tc>
          <w:tcPr>
            <w:tcW w:w="580" w:type="dxa"/>
            <w:vAlign w:val="bottom"/>
          </w:tcPr>
          <w:p>
            <w:pPr>
              <w:spacing w:after="0"/>
              <w:rPr>
                <w:sz w:val="20"/>
                <w:szCs w:val="20"/>
                <w:color w:val="auto"/>
              </w:rPr>
            </w:pPr>
            <w:r>
              <w:rPr>
                <w:rFonts w:ascii="Arial" w:cs="Arial" w:eastAsia="Arial" w:hAnsi="Arial"/>
                <w:sz w:val="16"/>
                <w:szCs w:val="16"/>
                <w:color w:val="0F7C7F"/>
              </w:rPr>
              <w:t>1.</w:t>
            </w:r>
          </w:p>
        </w:tc>
        <w:tc>
          <w:tcPr>
            <w:tcW w:w="6380" w:type="dxa"/>
            <w:vAlign w:val="bottom"/>
            <w:gridSpan w:val="9"/>
          </w:tcPr>
          <w:p>
            <w:pPr>
              <w:spacing w:after="0"/>
              <w:rPr>
                <w:rFonts w:ascii="Arial" w:cs="Arial" w:eastAsia="Arial" w:hAnsi="Arial"/>
                <w:sz w:val="16"/>
                <w:szCs w:val="16"/>
                <w:color w:val="0F7C7F"/>
              </w:rPr>
            </w:pPr>
            <w:hyperlink w:anchor="page3">
              <w:r>
                <w:rPr>
                  <w:rFonts w:ascii="Arial" w:cs="Arial" w:eastAsia="Arial" w:hAnsi="Arial"/>
                  <w:sz w:val="16"/>
                  <w:szCs w:val="16"/>
                  <w:color w:val="0F7C7F"/>
                </w:rPr>
                <w:t>Financial Statements</w:t>
              </w:r>
            </w:hyperlink>
          </w:p>
        </w:tc>
        <w:tc>
          <w:tcPr>
            <w:tcW w:w="4400" w:type="dxa"/>
            <w:vAlign w:val="bottom"/>
            <w:gridSpan w:val="4"/>
          </w:tcPr>
          <w:p>
            <w:pPr>
              <w:jc w:val="right"/>
              <w:spacing w:after="0"/>
              <w:rPr>
                <w:rFonts w:ascii="Arial" w:cs="Arial" w:eastAsia="Arial" w:hAnsi="Arial"/>
                <w:sz w:val="16"/>
                <w:szCs w:val="16"/>
                <w:color w:val="0F7C7F"/>
              </w:rPr>
            </w:pPr>
            <w:hyperlink w:anchor="page3">
              <w:r>
                <w:rPr>
                  <w:rFonts w:ascii="Arial" w:cs="Arial" w:eastAsia="Arial" w:hAnsi="Arial"/>
                  <w:sz w:val="16"/>
                  <w:szCs w:val="16"/>
                  <w:color w:val="0F7C7F"/>
                </w:rPr>
                <w:t>3</w:t>
              </w:r>
            </w:hyperlink>
          </w:p>
        </w:tc>
      </w:tr>
      <w:tr>
        <w:trPr>
          <w:trHeight w:val="20"/>
        </w:trPr>
        <w:tc>
          <w:tcPr>
            <w:tcW w:w="580" w:type="dxa"/>
            <w:vAlign w:val="bottom"/>
          </w:tcPr>
          <w:p>
            <w:pPr>
              <w:spacing w:after="0" w:line="20" w:lineRule="exact"/>
              <w:rPr>
                <w:sz w:val="1"/>
                <w:szCs w:val="1"/>
                <w:color w:val="auto"/>
              </w:rPr>
            </w:pPr>
          </w:p>
        </w:tc>
        <w:tc>
          <w:tcPr>
            <w:tcW w:w="560" w:type="dxa"/>
            <w:vAlign w:val="bottom"/>
            <w:shd w:val="clear" w:color="auto" w:fill="0F7C7F"/>
          </w:tcPr>
          <w:p>
            <w:pPr>
              <w:spacing w:after="0" w:line="20" w:lineRule="exact"/>
              <w:rPr>
                <w:sz w:val="1"/>
                <w:szCs w:val="1"/>
                <w:color w:val="auto"/>
              </w:rPr>
            </w:pPr>
          </w:p>
        </w:tc>
        <w:tc>
          <w:tcPr>
            <w:tcW w:w="220" w:type="dxa"/>
            <w:vAlign w:val="bottom"/>
            <w:shd w:val="clear" w:color="auto" w:fill="0F7C7F"/>
          </w:tcPr>
          <w:p>
            <w:pPr>
              <w:spacing w:after="0" w:line="20" w:lineRule="exact"/>
              <w:rPr>
                <w:sz w:val="1"/>
                <w:szCs w:val="1"/>
                <w:color w:val="auto"/>
              </w:rPr>
            </w:pPr>
          </w:p>
        </w:tc>
        <w:tc>
          <w:tcPr>
            <w:tcW w:w="120" w:type="dxa"/>
            <w:vAlign w:val="bottom"/>
            <w:shd w:val="clear" w:color="auto" w:fill="0F7C7F"/>
          </w:tcPr>
          <w:p>
            <w:pPr>
              <w:spacing w:after="0" w:line="20" w:lineRule="exact"/>
              <w:rPr>
                <w:sz w:val="1"/>
                <w:szCs w:val="1"/>
                <w:color w:val="auto"/>
              </w:rPr>
            </w:pPr>
          </w:p>
        </w:tc>
        <w:tc>
          <w:tcPr>
            <w:tcW w:w="440" w:type="dxa"/>
            <w:vAlign w:val="bottom"/>
            <w:shd w:val="clear" w:color="auto" w:fill="0F7C7F"/>
          </w:tcPr>
          <w:p>
            <w:pPr>
              <w:spacing w:after="0" w:line="20" w:lineRule="exact"/>
              <w:rPr>
                <w:sz w:val="1"/>
                <w:szCs w:val="1"/>
                <w:color w:val="auto"/>
              </w:rPr>
            </w:pPr>
          </w:p>
        </w:tc>
        <w:tc>
          <w:tcPr>
            <w:tcW w:w="160" w:type="dxa"/>
            <w:vAlign w:val="bottom"/>
            <w:shd w:val="clear" w:color="auto" w:fill="0F7C7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42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F7C7F"/>
          </w:tcPr>
          <w:p>
            <w:pPr>
              <w:spacing w:after="0" w:line="20" w:lineRule="exact"/>
              <w:rPr>
                <w:sz w:val="1"/>
                <w:szCs w:val="1"/>
                <w:color w:val="auto"/>
              </w:rPr>
            </w:pPr>
          </w:p>
        </w:tc>
      </w:tr>
      <w:tr>
        <w:trPr>
          <w:trHeight w:val="345"/>
        </w:trPr>
        <w:tc>
          <w:tcPr>
            <w:tcW w:w="580" w:type="dxa"/>
            <w:vAlign w:val="bottom"/>
          </w:tcPr>
          <w:p>
            <w:pPr>
              <w:spacing w:after="0"/>
              <w:rPr>
                <w:sz w:val="20"/>
                <w:szCs w:val="20"/>
                <w:color w:val="auto"/>
              </w:rPr>
            </w:pPr>
            <w:r>
              <w:rPr>
                <w:rFonts w:ascii="Arial" w:cs="Arial" w:eastAsia="Arial" w:hAnsi="Arial"/>
                <w:sz w:val="16"/>
                <w:szCs w:val="16"/>
                <w:color w:val="0F7C7F"/>
              </w:rPr>
              <w:t>2.</w:t>
            </w:r>
          </w:p>
        </w:tc>
        <w:tc>
          <w:tcPr>
            <w:tcW w:w="6380" w:type="dxa"/>
            <w:vAlign w:val="bottom"/>
            <w:gridSpan w:val="9"/>
          </w:tcPr>
          <w:p>
            <w:pPr>
              <w:spacing w:after="0"/>
              <w:rPr>
                <w:rFonts w:ascii="Arial" w:cs="Arial" w:eastAsia="Arial" w:hAnsi="Arial"/>
                <w:sz w:val="16"/>
                <w:szCs w:val="16"/>
                <w:color w:val="0F7C7F"/>
              </w:rPr>
            </w:pPr>
            <w:hyperlink w:anchor="page39">
              <w:r>
                <w:rPr>
                  <w:rFonts w:ascii="Arial" w:cs="Arial" w:eastAsia="Arial" w:hAnsi="Arial"/>
                  <w:sz w:val="16"/>
                  <w:szCs w:val="16"/>
                  <w:color w:val="0F7C7F"/>
                </w:rPr>
                <w:t>Management’s Discussion and Analysis of Financial Condition and Results of Operations</w:t>
              </w:r>
            </w:hyperlink>
          </w:p>
        </w:tc>
        <w:tc>
          <w:tcPr>
            <w:tcW w:w="4400" w:type="dxa"/>
            <w:vAlign w:val="bottom"/>
            <w:gridSpan w:val="4"/>
          </w:tcPr>
          <w:p>
            <w:pPr>
              <w:jc w:val="right"/>
              <w:spacing w:after="0"/>
              <w:rPr>
                <w:rFonts w:ascii="Arial" w:cs="Arial" w:eastAsia="Arial" w:hAnsi="Arial"/>
                <w:sz w:val="16"/>
                <w:szCs w:val="16"/>
                <w:color w:val="0F7C7F"/>
              </w:rPr>
            </w:pPr>
            <w:hyperlink w:anchor="page39">
              <w:r>
                <w:rPr>
                  <w:rFonts w:ascii="Arial" w:cs="Arial" w:eastAsia="Arial" w:hAnsi="Arial"/>
                  <w:sz w:val="16"/>
                  <w:szCs w:val="16"/>
                  <w:color w:val="0F7C7F"/>
                </w:rPr>
                <w:t>39</w:t>
              </w:r>
            </w:hyperlink>
          </w:p>
        </w:tc>
      </w:tr>
      <w:tr>
        <w:trPr>
          <w:trHeight w:val="20"/>
        </w:trPr>
        <w:tc>
          <w:tcPr>
            <w:tcW w:w="580" w:type="dxa"/>
            <w:vAlign w:val="bottom"/>
          </w:tcPr>
          <w:p>
            <w:pPr>
              <w:spacing w:after="0" w:line="20" w:lineRule="exact"/>
              <w:rPr>
                <w:sz w:val="1"/>
                <w:szCs w:val="1"/>
                <w:color w:val="auto"/>
              </w:rPr>
            </w:pPr>
          </w:p>
        </w:tc>
        <w:tc>
          <w:tcPr>
            <w:tcW w:w="560" w:type="dxa"/>
            <w:vAlign w:val="bottom"/>
            <w:shd w:val="clear" w:color="auto" w:fill="0F7C7F"/>
          </w:tcPr>
          <w:p>
            <w:pPr>
              <w:spacing w:after="0" w:line="20" w:lineRule="exact"/>
              <w:rPr>
                <w:sz w:val="1"/>
                <w:szCs w:val="1"/>
                <w:color w:val="auto"/>
              </w:rPr>
            </w:pPr>
          </w:p>
        </w:tc>
        <w:tc>
          <w:tcPr>
            <w:tcW w:w="220" w:type="dxa"/>
            <w:vAlign w:val="bottom"/>
            <w:shd w:val="clear" w:color="auto" w:fill="0F7C7F"/>
          </w:tcPr>
          <w:p>
            <w:pPr>
              <w:spacing w:after="0" w:line="20" w:lineRule="exact"/>
              <w:rPr>
                <w:sz w:val="1"/>
                <w:szCs w:val="1"/>
                <w:color w:val="auto"/>
              </w:rPr>
            </w:pPr>
          </w:p>
        </w:tc>
        <w:tc>
          <w:tcPr>
            <w:tcW w:w="120" w:type="dxa"/>
            <w:vAlign w:val="bottom"/>
            <w:shd w:val="clear" w:color="auto" w:fill="0F7C7F"/>
          </w:tcPr>
          <w:p>
            <w:pPr>
              <w:spacing w:after="0" w:line="20" w:lineRule="exact"/>
              <w:rPr>
                <w:sz w:val="1"/>
                <w:szCs w:val="1"/>
                <w:color w:val="auto"/>
              </w:rPr>
            </w:pPr>
          </w:p>
        </w:tc>
        <w:tc>
          <w:tcPr>
            <w:tcW w:w="440" w:type="dxa"/>
            <w:vAlign w:val="bottom"/>
            <w:shd w:val="clear" w:color="auto" w:fill="0F7C7F"/>
          </w:tcPr>
          <w:p>
            <w:pPr>
              <w:spacing w:after="0" w:line="20" w:lineRule="exact"/>
              <w:rPr>
                <w:sz w:val="1"/>
                <w:szCs w:val="1"/>
                <w:color w:val="auto"/>
              </w:rPr>
            </w:pPr>
          </w:p>
        </w:tc>
        <w:tc>
          <w:tcPr>
            <w:tcW w:w="440" w:type="dxa"/>
            <w:vAlign w:val="bottom"/>
            <w:gridSpan w:val="2"/>
            <w:shd w:val="clear" w:color="auto" w:fill="0F7C7F"/>
          </w:tcPr>
          <w:p>
            <w:pPr>
              <w:spacing w:after="0" w:line="20" w:lineRule="exact"/>
              <w:rPr>
                <w:sz w:val="1"/>
                <w:szCs w:val="1"/>
                <w:color w:val="auto"/>
              </w:rPr>
            </w:pPr>
          </w:p>
        </w:tc>
        <w:tc>
          <w:tcPr>
            <w:tcW w:w="2460" w:type="dxa"/>
            <w:vAlign w:val="bottom"/>
            <w:shd w:val="clear" w:color="auto" w:fill="0F7C7F"/>
          </w:tcPr>
          <w:p>
            <w:pPr>
              <w:spacing w:after="0" w:line="20" w:lineRule="exact"/>
              <w:rPr>
                <w:sz w:val="1"/>
                <w:szCs w:val="1"/>
                <w:color w:val="auto"/>
              </w:rPr>
            </w:pPr>
          </w:p>
        </w:tc>
        <w:tc>
          <w:tcPr>
            <w:tcW w:w="120" w:type="dxa"/>
            <w:vAlign w:val="bottom"/>
            <w:shd w:val="clear" w:color="auto" w:fill="0F7C7F"/>
          </w:tcPr>
          <w:p>
            <w:pPr>
              <w:spacing w:after="0" w:line="20" w:lineRule="exact"/>
              <w:rPr>
                <w:sz w:val="1"/>
                <w:szCs w:val="1"/>
                <w:color w:val="auto"/>
              </w:rPr>
            </w:pPr>
          </w:p>
        </w:tc>
        <w:tc>
          <w:tcPr>
            <w:tcW w:w="2020" w:type="dxa"/>
            <w:vAlign w:val="bottom"/>
            <w:shd w:val="clear" w:color="auto" w:fill="0F7C7F"/>
          </w:tcPr>
          <w:p>
            <w:pPr>
              <w:spacing w:after="0" w:line="20" w:lineRule="exact"/>
              <w:rPr>
                <w:sz w:val="1"/>
                <w:szCs w:val="1"/>
                <w:color w:val="auto"/>
              </w:rPr>
            </w:pPr>
          </w:p>
        </w:tc>
        <w:tc>
          <w:tcPr>
            <w:tcW w:w="4220" w:type="dxa"/>
            <w:vAlign w:val="bottom"/>
            <w:gridSpan w:val="2"/>
          </w:tcPr>
          <w:p>
            <w:pPr>
              <w:spacing w:after="0" w:line="20" w:lineRule="exact"/>
              <w:rPr>
                <w:sz w:val="1"/>
                <w:szCs w:val="1"/>
                <w:color w:val="auto"/>
              </w:rPr>
            </w:pPr>
          </w:p>
        </w:tc>
        <w:tc>
          <w:tcPr>
            <w:tcW w:w="180" w:type="dxa"/>
            <w:vAlign w:val="bottom"/>
            <w:gridSpan w:val="2"/>
            <w:shd w:val="clear" w:color="auto" w:fill="0F7C7F"/>
          </w:tcPr>
          <w:p>
            <w:pPr>
              <w:spacing w:after="0" w:line="20" w:lineRule="exact"/>
              <w:rPr>
                <w:sz w:val="1"/>
                <w:szCs w:val="1"/>
                <w:color w:val="auto"/>
              </w:rPr>
            </w:pPr>
          </w:p>
        </w:tc>
      </w:tr>
      <w:tr>
        <w:trPr>
          <w:trHeight w:val="345"/>
        </w:trPr>
        <w:tc>
          <w:tcPr>
            <w:tcW w:w="580" w:type="dxa"/>
            <w:vAlign w:val="bottom"/>
          </w:tcPr>
          <w:p>
            <w:pPr>
              <w:spacing w:after="0"/>
              <w:rPr>
                <w:sz w:val="20"/>
                <w:szCs w:val="20"/>
                <w:color w:val="auto"/>
              </w:rPr>
            </w:pPr>
            <w:r>
              <w:rPr>
                <w:rFonts w:ascii="Arial" w:cs="Arial" w:eastAsia="Arial" w:hAnsi="Arial"/>
                <w:sz w:val="16"/>
                <w:szCs w:val="16"/>
                <w:color w:val="0F7C7F"/>
              </w:rPr>
              <w:t>3.</w:t>
            </w:r>
          </w:p>
        </w:tc>
        <w:tc>
          <w:tcPr>
            <w:tcW w:w="4240" w:type="dxa"/>
            <w:vAlign w:val="bottom"/>
            <w:gridSpan w:val="7"/>
          </w:tcPr>
          <w:p>
            <w:pPr>
              <w:spacing w:after="0"/>
              <w:rPr>
                <w:rFonts w:ascii="Arial" w:cs="Arial" w:eastAsia="Arial" w:hAnsi="Arial"/>
                <w:sz w:val="16"/>
                <w:szCs w:val="16"/>
                <w:color w:val="0F7C7F"/>
              </w:rPr>
            </w:pPr>
            <w:hyperlink w:anchor="page57">
              <w:r>
                <w:rPr>
                  <w:rFonts w:ascii="Arial" w:cs="Arial" w:eastAsia="Arial" w:hAnsi="Arial"/>
                  <w:sz w:val="16"/>
                  <w:szCs w:val="16"/>
                  <w:color w:val="0F7C7F"/>
                </w:rPr>
                <w:t>Quantitative and Qualitative Disclosures About Market Risk</w:t>
              </w:r>
            </w:hyperlink>
          </w:p>
        </w:tc>
        <w:tc>
          <w:tcPr>
            <w:tcW w:w="2140" w:type="dxa"/>
            <w:vAlign w:val="bottom"/>
            <w:gridSpan w:val="2"/>
          </w:tcPr>
          <w:p>
            <w:pPr>
              <w:spacing w:after="0"/>
              <w:rPr>
                <w:sz w:val="24"/>
                <w:szCs w:val="24"/>
                <w:color w:val="auto"/>
              </w:rPr>
            </w:pPr>
          </w:p>
        </w:tc>
        <w:tc>
          <w:tcPr>
            <w:tcW w:w="4400" w:type="dxa"/>
            <w:vAlign w:val="bottom"/>
            <w:gridSpan w:val="4"/>
          </w:tcPr>
          <w:p>
            <w:pPr>
              <w:jc w:val="right"/>
              <w:spacing w:after="0"/>
              <w:rPr>
                <w:rFonts w:ascii="Arial" w:cs="Arial" w:eastAsia="Arial" w:hAnsi="Arial"/>
                <w:sz w:val="16"/>
                <w:szCs w:val="16"/>
                <w:color w:val="0F7C7F"/>
              </w:rPr>
            </w:pPr>
            <w:hyperlink w:anchor="page57">
              <w:r>
                <w:rPr>
                  <w:rFonts w:ascii="Arial" w:cs="Arial" w:eastAsia="Arial" w:hAnsi="Arial"/>
                  <w:sz w:val="16"/>
                  <w:szCs w:val="16"/>
                  <w:color w:val="0F7C7F"/>
                </w:rPr>
                <w:t>57</w:t>
              </w:r>
            </w:hyperlink>
          </w:p>
        </w:tc>
      </w:tr>
      <w:tr>
        <w:trPr>
          <w:trHeight w:val="20"/>
        </w:trPr>
        <w:tc>
          <w:tcPr>
            <w:tcW w:w="580" w:type="dxa"/>
            <w:vAlign w:val="bottom"/>
          </w:tcPr>
          <w:p>
            <w:pPr>
              <w:spacing w:after="0" w:line="20" w:lineRule="exact"/>
              <w:rPr>
                <w:sz w:val="1"/>
                <w:szCs w:val="1"/>
                <w:color w:val="auto"/>
              </w:rPr>
            </w:pPr>
          </w:p>
        </w:tc>
        <w:tc>
          <w:tcPr>
            <w:tcW w:w="560" w:type="dxa"/>
            <w:vAlign w:val="bottom"/>
            <w:shd w:val="clear" w:color="auto" w:fill="0F7C7F"/>
          </w:tcPr>
          <w:p>
            <w:pPr>
              <w:spacing w:after="0" w:line="20" w:lineRule="exact"/>
              <w:rPr>
                <w:sz w:val="1"/>
                <w:szCs w:val="1"/>
                <w:color w:val="auto"/>
              </w:rPr>
            </w:pPr>
          </w:p>
        </w:tc>
        <w:tc>
          <w:tcPr>
            <w:tcW w:w="220" w:type="dxa"/>
            <w:vAlign w:val="bottom"/>
            <w:shd w:val="clear" w:color="auto" w:fill="0F7C7F"/>
          </w:tcPr>
          <w:p>
            <w:pPr>
              <w:spacing w:after="0" w:line="20" w:lineRule="exact"/>
              <w:rPr>
                <w:sz w:val="1"/>
                <w:szCs w:val="1"/>
                <w:color w:val="auto"/>
              </w:rPr>
            </w:pPr>
          </w:p>
        </w:tc>
        <w:tc>
          <w:tcPr>
            <w:tcW w:w="120" w:type="dxa"/>
            <w:vAlign w:val="bottom"/>
            <w:shd w:val="clear" w:color="auto" w:fill="0F7C7F"/>
          </w:tcPr>
          <w:p>
            <w:pPr>
              <w:spacing w:after="0" w:line="20" w:lineRule="exact"/>
              <w:rPr>
                <w:sz w:val="1"/>
                <w:szCs w:val="1"/>
                <w:color w:val="auto"/>
              </w:rPr>
            </w:pPr>
          </w:p>
        </w:tc>
        <w:tc>
          <w:tcPr>
            <w:tcW w:w="440" w:type="dxa"/>
            <w:vAlign w:val="bottom"/>
            <w:shd w:val="clear" w:color="auto" w:fill="0F7C7F"/>
          </w:tcPr>
          <w:p>
            <w:pPr>
              <w:spacing w:after="0" w:line="20" w:lineRule="exact"/>
              <w:rPr>
                <w:sz w:val="1"/>
                <w:szCs w:val="1"/>
                <w:color w:val="auto"/>
              </w:rPr>
            </w:pPr>
          </w:p>
        </w:tc>
        <w:tc>
          <w:tcPr>
            <w:tcW w:w="440" w:type="dxa"/>
            <w:vAlign w:val="bottom"/>
            <w:gridSpan w:val="2"/>
            <w:shd w:val="clear" w:color="auto" w:fill="0F7C7F"/>
          </w:tcPr>
          <w:p>
            <w:pPr>
              <w:spacing w:after="0" w:line="20" w:lineRule="exact"/>
              <w:rPr>
                <w:sz w:val="1"/>
                <w:szCs w:val="1"/>
                <w:color w:val="auto"/>
              </w:rPr>
            </w:pPr>
          </w:p>
        </w:tc>
        <w:tc>
          <w:tcPr>
            <w:tcW w:w="2460" w:type="dxa"/>
            <w:vAlign w:val="bottom"/>
            <w:shd w:val="clear" w:color="auto" w:fill="0F7C7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4220" w:type="dxa"/>
            <w:vAlign w:val="bottom"/>
            <w:gridSpan w:val="2"/>
          </w:tcPr>
          <w:p>
            <w:pPr>
              <w:spacing w:after="0" w:line="20" w:lineRule="exact"/>
              <w:rPr>
                <w:sz w:val="1"/>
                <w:szCs w:val="1"/>
                <w:color w:val="auto"/>
              </w:rPr>
            </w:pPr>
          </w:p>
        </w:tc>
        <w:tc>
          <w:tcPr>
            <w:tcW w:w="180" w:type="dxa"/>
            <w:vAlign w:val="bottom"/>
            <w:gridSpan w:val="2"/>
            <w:shd w:val="clear" w:color="auto" w:fill="0F7C7F"/>
          </w:tcPr>
          <w:p>
            <w:pPr>
              <w:spacing w:after="0" w:line="20" w:lineRule="exact"/>
              <w:rPr>
                <w:sz w:val="1"/>
                <w:szCs w:val="1"/>
                <w:color w:val="auto"/>
              </w:rPr>
            </w:pPr>
          </w:p>
        </w:tc>
      </w:tr>
      <w:tr>
        <w:trPr>
          <w:trHeight w:val="534"/>
        </w:trPr>
        <w:tc>
          <w:tcPr>
            <w:tcW w:w="580" w:type="dxa"/>
            <w:vAlign w:val="bottom"/>
          </w:tcPr>
          <w:p>
            <w:pPr>
              <w:spacing w:after="0"/>
              <w:rPr>
                <w:sz w:val="20"/>
                <w:szCs w:val="20"/>
                <w:color w:val="auto"/>
              </w:rPr>
            </w:pPr>
            <w:r>
              <w:rPr>
                <w:rFonts w:ascii="Arial" w:cs="Arial" w:eastAsia="Arial" w:hAnsi="Arial"/>
                <w:sz w:val="16"/>
                <w:szCs w:val="16"/>
                <w:color w:val="0F7C7F"/>
              </w:rPr>
              <w:t>4.</w:t>
            </w:r>
          </w:p>
        </w:tc>
        <w:tc>
          <w:tcPr>
            <w:tcW w:w="4240" w:type="dxa"/>
            <w:vAlign w:val="bottom"/>
            <w:gridSpan w:val="7"/>
          </w:tcPr>
          <w:p>
            <w:pPr>
              <w:spacing w:after="0"/>
              <w:rPr>
                <w:rFonts w:ascii="Arial" w:cs="Arial" w:eastAsia="Arial" w:hAnsi="Arial"/>
                <w:sz w:val="16"/>
                <w:szCs w:val="16"/>
                <w:color w:val="0F7C7F"/>
              </w:rPr>
            </w:pPr>
            <w:hyperlink w:anchor="page63">
              <w:r>
                <w:rPr>
                  <w:rFonts w:ascii="Arial" w:cs="Arial" w:eastAsia="Arial" w:hAnsi="Arial"/>
                  <w:sz w:val="16"/>
                  <w:szCs w:val="16"/>
                  <w:color w:val="0F7C7F"/>
                </w:rPr>
                <w:t>Controls and Procedures</w:t>
              </w:r>
            </w:hyperlink>
          </w:p>
        </w:tc>
        <w:tc>
          <w:tcPr>
            <w:tcW w:w="2140" w:type="dxa"/>
            <w:vAlign w:val="bottom"/>
            <w:gridSpan w:val="2"/>
          </w:tcPr>
          <w:p>
            <w:pPr>
              <w:spacing w:after="0"/>
              <w:rPr>
                <w:sz w:val="24"/>
                <w:szCs w:val="24"/>
                <w:color w:val="auto"/>
              </w:rPr>
            </w:pPr>
          </w:p>
        </w:tc>
        <w:tc>
          <w:tcPr>
            <w:tcW w:w="4400" w:type="dxa"/>
            <w:vAlign w:val="bottom"/>
            <w:gridSpan w:val="4"/>
          </w:tcPr>
          <w:p>
            <w:pPr>
              <w:jc w:val="right"/>
              <w:spacing w:after="0"/>
              <w:rPr>
                <w:rFonts w:ascii="Arial" w:cs="Arial" w:eastAsia="Arial" w:hAnsi="Arial"/>
                <w:sz w:val="16"/>
                <w:szCs w:val="16"/>
                <w:color w:val="0F7C7F"/>
              </w:rPr>
            </w:pPr>
            <w:hyperlink w:anchor="page63">
              <w:r>
                <w:rPr>
                  <w:rFonts w:ascii="Arial" w:cs="Arial" w:eastAsia="Arial" w:hAnsi="Arial"/>
                  <w:sz w:val="16"/>
                  <w:szCs w:val="16"/>
                  <w:color w:val="0F7C7F"/>
                </w:rPr>
                <w:t>63</w:t>
              </w:r>
            </w:hyperlink>
          </w:p>
        </w:tc>
      </w:tr>
      <w:tr>
        <w:trPr>
          <w:trHeight w:val="20"/>
        </w:trPr>
        <w:tc>
          <w:tcPr>
            <w:tcW w:w="580" w:type="dxa"/>
            <w:vAlign w:val="bottom"/>
          </w:tcPr>
          <w:p>
            <w:pPr>
              <w:spacing w:after="0" w:line="20" w:lineRule="exact"/>
              <w:rPr>
                <w:sz w:val="1"/>
                <w:szCs w:val="1"/>
                <w:color w:val="auto"/>
              </w:rPr>
            </w:pPr>
          </w:p>
        </w:tc>
        <w:tc>
          <w:tcPr>
            <w:tcW w:w="560" w:type="dxa"/>
            <w:vAlign w:val="bottom"/>
            <w:shd w:val="clear" w:color="auto" w:fill="0F7C7F"/>
          </w:tcPr>
          <w:p>
            <w:pPr>
              <w:spacing w:after="0" w:line="20" w:lineRule="exact"/>
              <w:rPr>
                <w:sz w:val="1"/>
                <w:szCs w:val="1"/>
                <w:color w:val="auto"/>
              </w:rPr>
            </w:pPr>
          </w:p>
        </w:tc>
        <w:tc>
          <w:tcPr>
            <w:tcW w:w="220" w:type="dxa"/>
            <w:vAlign w:val="bottom"/>
            <w:shd w:val="clear" w:color="auto" w:fill="0F7C7F"/>
          </w:tcPr>
          <w:p>
            <w:pPr>
              <w:spacing w:after="0" w:line="20" w:lineRule="exact"/>
              <w:rPr>
                <w:sz w:val="1"/>
                <w:szCs w:val="1"/>
                <w:color w:val="auto"/>
              </w:rPr>
            </w:pPr>
          </w:p>
        </w:tc>
        <w:tc>
          <w:tcPr>
            <w:tcW w:w="120" w:type="dxa"/>
            <w:vAlign w:val="bottom"/>
            <w:shd w:val="clear" w:color="auto" w:fill="0F7C7F"/>
          </w:tcPr>
          <w:p>
            <w:pPr>
              <w:spacing w:after="0" w:line="20" w:lineRule="exact"/>
              <w:rPr>
                <w:sz w:val="1"/>
                <w:szCs w:val="1"/>
                <w:color w:val="auto"/>
              </w:rPr>
            </w:pPr>
          </w:p>
        </w:tc>
        <w:tc>
          <w:tcPr>
            <w:tcW w:w="440" w:type="dxa"/>
            <w:vAlign w:val="bottom"/>
            <w:shd w:val="clear" w:color="auto" w:fill="0F7C7F"/>
          </w:tcPr>
          <w:p>
            <w:pPr>
              <w:spacing w:after="0" w:line="20" w:lineRule="exact"/>
              <w:rPr>
                <w:sz w:val="1"/>
                <w:szCs w:val="1"/>
                <w:color w:val="auto"/>
              </w:rPr>
            </w:pPr>
          </w:p>
        </w:tc>
        <w:tc>
          <w:tcPr>
            <w:tcW w:w="440" w:type="dxa"/>
            <w:vAlign w:val="bottom"/>
            <w:gridSpan w:val="2"/>
            <w:shd w:val="clear" w:color="auto" w:fill="0F7C7F"/>
          </w:tcPr>
          <w:p>
            <w:pPr>
              <w:spacing w:after="0" w:line="20" w:lineRule="exact"/>
              <w:rPr>
                <w:sz w:val="1"/>
                <w:szCs w:val="1"/>
                <w:color w:val="auto"/>
              </w:rPr>
            </w:pPr>
          </w:p>
        </w:tc>
        <w:tc>
          <w:tcPr>
            <w:tcW w:w="2580" w:type="dxa"/>
            <w:vAlign w:val="bottom"/>
            <w:gridSpan w:val="2"/>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40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F7C7F"/>
          </w:tcPr>
          <w:p>
            <w:pPr>
              <w:spacing w:after="0" w:line="20" w:lineRule="exact"/>
              <w:rPr>
                <w:sz w:val="1"/>
                <w:szCs w:val="1"/>
                <w:color w:val="auto"/>
              </w:rPr>
            </w:pPr>
          </w:p>
        </w:tc>
        <w:tc>
          <w:tcPr>
            <w:tcW w:w="100" w:type="dxa"/>
            <w:vAlign w:val="bottom"/>
            <w:shd w:val="clear" w:color="auto" w:fill="0F7C7F"/>
          </w:tcPr>
          <w:p>
            <w:pPr>
              <w:spacing w:after="0" w:line="20" w:lineRule="exact"/>
              <w:rPr>
                <w:sz w:val="1"/>
                <w:szCs w:val="1"/>
                <w:color w:val="auto"/>
              </w:rPr>
            </w:pPr>
          </w:p>
        </w:tc>
      </w:tr>
      <w:tr>
        <w:trPr>
          <w:trHeight w:val="391"/>
        </w:trPr>
        <w:tc>
          <w:tcPr>
            <w:tcW w:w="6960" w:type="dxa"/>
            <w:vAlign w:val="bottom"/>
            <w:gridSpan w:val="10"/>
          </w:tcPr>
          <w:p>
            <w:pPr>
              <w:spacing w:after="0"/>
              <w:rPr>
                <w:sz w:val="20"/>
                <w:szCs w:val="20"/>
                <w:color w:val="auto"/>
              </w:rPr>
            </w:pPr>
            <w:r>
              <w:rPr>
                <w:rFonts w:ascii="Arial" w:cs="Arial" w:eastAsia="Arial" w:hAnsi="Arial"/>
                <w:sz w:val="16"/>
                <w:szCs w:val="16"/>
                <w:b w:val="1"/>
                <w:bCs w:val="1"/>
                <w:color w:val="0F7C7F"/>
              </w:rPr>
              <w:t>Part II - Other Information</w:t>
            </w:r>
          </w:p>
        </w:tc>
        <w:tc>
          <w:tcPr>
            <w:tcW w:w="4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45"/>
        </w:trPr>
        <w:tc>
          <w:tcPr>
            <w:tcW w:w="580" w:type="dxa"/>
            <w:vAlign w:val="bottom"/>
          </w:tcPr>
          <w:p>
            <w:pPr>
              <w:spacing w:after="0"/>
              <w:rPr>
                <w:sz w:val="20"/>
                <w:szCs w:val="20"/>
                <w:color w:val="auto"/>
              </w:rPr>
            </w:pPr>
            <w:r>
              <w:rPr>
                <w:rFonts w:ascii="Arial" w:cs="Arial" w:eastAsia="Arial" w:hAnsi="Arial"/>
                <w:sz w:val="16"/>
                <w:szCs w:val="16"/>
                <w:color w:val="0F7C7F"/>
              </w:rPr>
              <w:t>1.</w:t>
            </w:r>
          </w:p>
        </w:tc>
        <w:tc>
          <w:tcPr>
            <w:tcW w:w="1340" w:type="dxa"/>
            <w:vAlign w:val="bottom"/>
            <w:gridSpan w:val="4"/>
          </w:tcPr>
          <w:p>
            <w:pPr>
              <w:spacing w:after="0"/>
              <w:rPr>
                <w:rFonts w:ascii="Arial" w:cs="Arial" w:eastAsia="Arial" w:hAnsi="Arial"/>
                <w:sz w:val="16"/>
                <w:szCs w:val="16"/>
                <w:color w:val="0F7C7F"/>
                <w:w w:val="99"/>
              </w:rPr>
            </w:pPr>
            <w:hyperlink w:anchor="page65">
              <w:r>
                <w:rPr>
                  <w:rFonts w:ascii="Arial" w:cs="Arial" w:eastAsia="Arial" w:hAnsi="Arial"/>
                  <w:sz w:val="16"/>
                  <w:szCs w:val="16"/>
                  <w:color w:val="0F7C7F"/>
                  <w:w w:val="99"/>
                </w:rPr>
                <w:t>Legal Proceedings</w:t>
              </w:r>
            </w:hyperlink>
          </w:p>
        </w:tc>
        <w:tc>
          <w:tcPr>
            <w:tcW w:w="5040" w:type="dxa"/>
            <w:vAlign w:val="bottom"/>
            <w:gridSpan w:val="5"/>
          </w:tcPr>
          <w:p>
            <w:pPr>
              <w:spacing w:after="0"/>
              <w:rPr>
                <w:sz w:val="24"/>
                <w:szCs w:val="24"/>
                <w:color w:val="auto"/>
              </w:rPr>
            </w:pPr>
          </w:p>
        </w:tc>
        <w:tc>
          <w:tcPr>
            <w:tcW w:w="4400" w:type="dxa"/>
            <w:vAlign w:val="bottom"/>
            <w:gridSpan w:val="4"/>
          </w:tcPr>
          <w:p>
            <w:pPr>
              <w:jc w:val="right"/>
              <w:spacing w:after="0"/>
              <w:rPr>
                <w:rFonts w:ascii="Arial" w:cs="Arial" w:eastAsia="Arial" w:hAnsi="Arial"/>
                <w:sz w:val="16"/>
                <w:szCs w:val="16"/>
                <w:color w:val="0F7C7F"/>
              </w:rPr>
            </w:pPr>
            <w:hyperlink w:anchor="page65">
              <w:r>
                <w:rPr>
                  <w:rFonts w:ascii="Arial" w:cs="Arial" w:eastAsia="Arial" w:hAnsi="Arial"/>
                  <w:sz w:val="16"/>
                  <w:szCs w:val="16"/>
                  <w:color w:val="0F7C7F"/>
                </w:rPr>
                <w:t>65</w:t>
              </w:r>
            </w:hyperlink>
          </w:p>
        </w:tc>
      </w:tr>
      <w:tr>
        <w:trPr>
          <w:trHeight w:val="20"/>
        </w:trPr>
        <w:tc>
          <w:tcPr>
            <w:tcW w:w="580" w:type="dxa"/>
            <w:vAlign w:val="bottom"/>
          </w:tcPr>
          <w:p>
            <w:pPr>
              <w:spacing w:after="0" w:line="20" w:lineRule="exact"/>
              <w:rPr>
                <w:sz w:val="1"/>
                <w:szCs w:val="1"/>
                <w:color w:val="auto"/>
              </w:rPr>
            </w:pPr>
          </w:p>
        </w:tc>
        <w:tc>
          <w:tcPr>
            <w:tcW w:w="560" w:type="dxa"/>
            <w:vAlign w:val="bottom"/>
            <w:shd w:val="clear" w:color="auto" w:fill="0F7C7F"/>
          </w:tcPr>
          <w:p>
            <w:pPr>
              <w:spacing w:after="0" w:line="20" w:lineRule="exact"/>
              <w:rPr>
                <w:sz w:val="1"/>
                <w:szCs w:val="1"/>
                <w:color w:val="auto"/>
              </w:rPr>
            </w:pPr>
          </w:p>
        </w:tc>
        <w:tc>
          <w:tcPr>
            <w:tcW w:w="220" w:type="dxa"/>
            <w:vAlign w:val="bottom"/>
            <w:shd w:val="clear" w:color="auto" w:fill="0F7C7F"/>
          </w:tcPr>
          <w:p>
            <w:pPr>
              <w:spacing w:after="0" w:line="20" w:lineRule="exact"/>
              <w:rPr>
                <w:sz w:val="1"/>
                <w:szCs w:val="1"/>
                <w:color w:val="auto"/>
              </w:rPr>
            </w:pPr>
          </w:p>
        </w:tc>
        <w:tc>
          <w:tcPr>
            <w:tcW w:w="120" w:type="dxa"/>
            <w:vAlign w:val="bottom"/>
            <w:shd w:val="clear" w:color="auto" w:fill="0F7C7F"/>
          </w:tcPr>
          <w:p>
            <w:pPr>
              <w:spacing w:after="0" w:line="20" w:lineRule="exact"/>
              <w:rPr>
                <w:sz w:val="1"/>
                <w:szCs w:val="1"/>
                <w:color w:val="auto"/>
              </w:rPr>
            </w:pPr>
          </w:p>
        </w:tc>
        <w:tc>
          <w:tcPr>
            <w:tcW w:w="440" w:type="dxa"/>
            <w:vAlign w:val="bottom"/>
            <w:shd w:val="clear" w:color="auto" w:fill="0F7C7F"/>
          </w:tcPr>
          <w:p>
            <w:pPr>
              <w:spacing w:after="0" w:line="20" w:lineRule="exact"/>
              <w:rPr>
                <w:sz w:val="1"/>
                <w:szCs w:val="1"/>
                <w:color w:val="auto"/>
              </w:rPr>
            </w:pPr>
          </w:p>
        </w:tc>
        <w:tc>
          <w:tcPr>
            <w:tcW w:w="3020" w:type="dxa"/>
            <w:vAlign w:val="bottom"/>
            <w:gridSpan w:val="4"/>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4220" w:type="dxa"/>
            <w:vAlign w:val="bottom"/>
            <w:gridSpan w:val="2"/>
          </w:tcPr>
          <w:p>
            <w:pPr>
              <w:spacing w:after="0" w:line="20" w:lineRule="exact"/>
              <w:rPr>
                <w:sz w:val="1"/>
                <w:szCs w:val="1"/>
                <w:color w:val="auto"/>
              </w:rPr>
            </w:pPr>
          </w:p>
        </w:tc>
        <w:tc>
          <w:tcPr>
            <w:tcW w:w="180" w:type="dxa"/>
            <w:vAlign w:val="bottom"/>
            <w:gridSpan w:val="2"/>
            <w:shd w:val="clear" w:color="auto" w:fill="0F7C7F"/>
          </w:tcPr>
          <w:p>
            <w:pPr>
              <w:spacing w:after="0" w:line="20" w:lineRule="exact"/>
              <w:rPr>
                <w:sz w:val="1"/>
                <w:szCs w:val="1"/>
                <w:color w:val="auto"/>
              </w:rPr>
            </w:pPr>
          </w:p>
        </w:tc>
      </w:tr>
      <w:tr>
        <w:trPr>
          <w:trHeight w:val="345"/>
        </w:trPr>
        <w:tc>
          <w:tcPr>
            <w:tcW w:w="580" w:type="dxa"/>
            <w:vAlign w:val="bottom"/>
          </w:tcPr>
          <w:p>
            <w:pPr>
              <w:spacing w:after="0"/>
              <w:rPr>
                <w:sz w:val="20"/>
                <w:szCs w:val="20"/>
                <w:color w:val="auto"/>
              </w:rPr>
            </w:pPr>
            <w:r>
              <w:rPr>
                <w:rFonts w:ascii="Arial" w:cs="Arial" w:eastAsia="Arial" w:hAnsi="Arial"/>
                <w:sz w:val="16"/>
                <w:szCs w:val="16"/>
                <w:color w:val="0F7C7F"/>
              </w:rPr>
              <w:t>1A.</w:t>
            </w:r>
          </w:p>
        </w:tc>
        <w:tc>
          <w:tcPr>
            <w:tcW w:w="900" w:type="dxa"/>
            <w:vAlign w:val="bottom"/>
            <w:gridSpan w:val="3"/>
          </w:tcPr>
          <w:p>
            <w:pPr>
              <w:spacing w:after="0"/>
              <w:rPr>
                <w:rFonts w:ascii="Arial" w:cs="Arial" w:eastAsia="Arial" w:hAnsi="Arial"/>
                <w:sz w:val="16"/>
                <w:szCs w:val="16"/>
                <w:color w:val="0F7C7F"/>
                <w:w w:val="98"/>
              </w:rPr>
            </w:pPr>
            <w:hyperlink w:anchor="page65">
              <w:r>
                <w:rPr>
                  <w:rFonts w:ascii="Arial" w:cs="Arial" w:eastAsia="Arial" w:hAnsi="Arial"/>
                  <w:sz w:val="16"/>
                  <w:szCs w:val="16"/>
                  <w:color w:val="0F7C7F"/>
                  <w:w w:val="98"/>
                </w:rPr>
                <w:t>Risk Factors</w:t>
              </w:r>
            </w:hyperlink>
          </w:p>
        </w:tc>
        <w:tc>
          <w:tcPr>
            <w:tcW w:w="440" w:type="dxa"/>
            <w:vAlign w:val="bottom"/>
          </w:tcPr>
          <w:p>
            <w:pPr>
              <w:spacing w:after="0"/>
              <w:rPr>
                <w:sz w:val="24"/>
                <w:szCs w:val="24"/>
                <w:color w:val="auto"/>
              </w:rPr>
            </w:pPr>
          </w:p>
        </w:tc>
        <w:tc>
          <w:tcPr>
            <w:tcW w:w="5040" w:type="dxa"/>
            <w:vAlign w:val="bottom"/>
            <w:gridSpan w:val="5"/>
          </w:tcPr>
          <w:p>
            <w:pPr>
              <w:spacing w:after="0"/>
              <w:rPr>
                <w:sz w:val="24"/>
                <w:szCs w:val="24"/>
                <w:color w:val="auto"/>
              </w:rPr>
            </w:pPr>
          </w:p>
        </w:tc>
        <w:tc>
          <w:tcPr>
            <w:tcW w:w="4400" w:type="dxa"/>
            <w:vAlign w:val="bottom"/>
            <w:gridSpan w:val="4"/>
          </w:tcPr>
          <w:p>
            <w:pPr>
              <w:jc w:val="right"/>
              <w:spacing w:after="0"/>
              <w:rPr>
                <w:rFonts w:ascii="Arial" w:cs="Arial" w:eastAsia="Arial" w:hAnsi="Arial"/>
                <w:sz w:val="16"/>
                <w:szCs w:val="16"/>
                <w:color w:val="0F7C7F"/>
              </w:rPr>
            </w:pPr>
            <w:hyperlink w:anchor="page65">
              <w:r>
                <w:rPr>
                  <w:rFonts w:ascii="Arial" w:cs="Arial" w:eastAsia="Arial" w:hAnsi="Arial"/>
                  <w:sz w:val="16"/>
                  <w:szCs w:val="16"/>
                  <w:color w:val="0F7C7F"/>
                </w:rPr>
                <w:t>65</w:t>
              </w:r>
            </w:hyperlink>
          </w:p>
        </w:tc>
      </w:tr>
      <w:tr>
        <w:trPr>
          <w:trHeight w:val="20"/>
        </w:trPr>
        <w:tc>
          <w:tcPr>
            <w:tcW w:w="580" w:type="dxa"/>
            <w:vAlign w:val="bottom"/>
          </w:tcPr>
          <w:p>
            <w:pPr>
              <w:spacing w:after="0" w:line="20" w:lineRule="exact"/>
              <w:rPr>
                <w:sz w:val="1"/>
                <w:szCs w:val="1"/>
                <w:color w:val="auto"/>
              </w:rPr>
            </w:pPr>
          </w:p>
        </w:tc>
        <w:tc>
          <w:tcPr>
            <w:tcW w:w="560" w:type="dxa"/>
            <w:vAlign w:val="bottom"/>
            <w:shd w:val="clear" w:color="auto" w:fill="0F7C7F"/>
          </w:tcPr>
          <w:p>
            <w:pPr>
              <w:spacing w:after="0" w:line="20" w:lineRule="exact"/>
              <w:rPr>
                <w:sz w:val="1"/>
                <w:szCs w:val="1"/>
                <w:color w:val="auto"/>
              </w:rPr>
            </w:pPr>
          </w:p>
        </w:tc>
        <w:tc>
          <w:tcPr>
            <w:tcW w:w="220" w:type="dxa"/>
            <w:vAlign w:val="bottom"/>
            <w:shd w:val="clear" w:color="auto" w:fill="0F7C7F"/>
          </w:tcPr>
          <w:p>
            <w:pPr>
              <w:spacing w:after="0" w:line="20" w:lineRule="exact"/>
              <w:rPr>
                <w:sz w:val="1"/>
                <w:szCs w:val="1"/>
                <w:color w:val="auto"/>
              </w:rPr>
            </w:pPr>
          </w:p>
        </w:tc>
        <w:tc>
          <w:tcPr>
            <w:tcW w:w="120" w:type="dxa"/>
            <w:vAlign w:val="bottom"/>
            <w:shd w:val="clear" w:color="auto" w:fill="0F7C7F"/>
          </w:tcPr>
          <w:p>
            <w:pPr>
              <w:spacing w:after="0" w:line="20" w:lineRule="exact"/>
              <w:rPr>
                <w:sz w:val="1"/>
                <w:szCs w:val="1"/>
                <w:color w:val="auto"/>
              </w:rPr>
            </w:pPr>
          </w:p>
        </w:tc>
        <w:tc>
          <w:tcPr>
            <w:tcW w:w="3460" w:type="dxa"/>
            <w:vAlign w:val="bottom"/>
            <w:gridSpan w:val="5"/>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4220" w:type="dxa"/>
            <w:vAlign w:val="bottom"/>
            <w:gridSpan w:val="2"/>
          </w:tcPr>
          <w:p>
            <w:pPr>
              <w:spacing w:after="0" w:line="20" w:lineRule="exact"/>
              <w:rPr>
                <w:sz w:val="1"/>
                <w:szCs w:val="1"/>
                <w:color w:val="auto"/>
              </w:rPr>
            </w:pPr>
          </w:p>
        </w:tc>
        <w:tc>
          <w:tcPr>
            <w:tcW w:w="180" w:type="dxa"/>
            <w:vAlign w:val="bottom"/>
            <w:gridSpan w:val="2"/>
            <w:shd w:val="clear" w:color="auto" w:fill="0F7C7F"/>
          </w:tcPr>
          <w:p>
            <w:pPr>
              <w:spacing w:after="0" w:line="20" w:lineRule="exact"/>
              <w:rPr>
                <w:sz w:val="1"/>
                <w:szCs w:val="1"/>
                <w:color w:val="auto"/>
              </w:rPr>
            </w:pPr>
          </w:p>
        </w:tc>
      </w:tr>
      <w:tr>
        <w:trPr>
          <w:trHeight w:val="345"/>
        </w:trPr>
        <w:tc>
          <w:tcPr>
            <w:tcW w:w="580" w:type="dxa"/>
            <w:vAlign w:val="bottom"/>
          </w:tcPr>
          <w:p>
            <w:pPr>
              <w:spacing w:after="0"/>
              <w:rPr>
                <w:sz w:val="20"/>
                <w:szCs w:val="20"/>
                <w:color w:val="auto"/>
              </w:rPr>
            </w:pPr>
            <w:r>
              <w:rPr>
                <w:rFonts w:ascii="Arial" w:cs="Arial" w:eastAsia="Arial" w:hAnsi="Arial"/>
                <w:sz w:val="16"/>
                <w:szCs w:val="16"/>
                <w:color w:val="0F7C7F"/>
              </w:rPr>
              <w:t>2.</w:t>
            </w:r>
          </w:p>
        </w:tc>
        <w:tc>
          <w:tcPr>
            <w:tcW w:w="6380" w:type="dxa"/>
            <w:vAlign w:val="bottom"/>
            <w:gridSpan w:val="9"/>
          </w:tcPr>
          <w:p>
            <w:pPr>
              <w:spacing w:after="0"/>
              <w:rPr>
                <w:rFonts w:ascii="Arial" w:cs="Arial" w:eastAsia="Arial" w:hAnsi="Arial"/>
                <w:sz w:val="16"/>
                <w:szCs w:val="16"/>
                <w:color w:val="0F7C7F"/>
              </w:rPr>
            </w:pPr>
            <w:hyperlink w:anchor="page65">
              <w:r>
                <w:rPr>
                  <w:rFonts w:ascii="Arial" w:cs="Arial" w:eastAsia="Arial" w:hAnsi="Arial"/>
                  <w:sz w:val="16"/>
                  <w:szCs w:val="16"/>
                  <w:color w:val="0F7C7F"/>
                </w:rPr>
                <w:t>Unregistered Sales of Equity Securities and Use of Proceeds</w:t>
              </w:r>
            </w:hyperlink>
          </w:p>
        </w:tc>
        <w:tc>
          <w:tcPr>
            <w:tcW w:w="4400" w:type="dxa"/>
            <w:vAlign w:val="bottom"/>
            <w:gridSpan w:val="4"/>
          </w:tcPr>
          <w:p>
            <w:pPr>
              <w:jc w:val="right"/>
              <w:spacing w:after="0"/>
              <w:rPr>
                <w:rFonts w:ascii="Arial" w:cs="Arial" w:eastAsia="Arial" w:hAnsi="Arial"/>
                <w:sz w:val="16"/>
                <w:szCs w:val="16"/>
                <w:color w:val="0F7C7F"/>
              </w:rPr>
            </w:pPr>
            <w:hyperlink w:anchor="page65">
              <w:r>
                <w:rPr>
                  <w:rFonts w:ascii="Arial" w:cs="Arial" w:eastAsia="Arial" w:hAnsi="Arial"/>
                  <w:sz w:val="16"/>
                  <w:szCs w:val="16"/>
                  <w:color w:val="0F7C7F"/>
                </w:rPr>
                <w:t>65</w:t>
              </w:r>
            </w:hyperlink>
          </w:p>
        </w:tc>
      </w:tr>
      <w:tr>
        <w:trPr>
          <w:trHeight w:val="20"/>
        </w:trPr>
        <w:tc>
          <w:tcPr>
            <w:tcW w:w="580" w:type="dxa"/>
            <w:vAlign w:val="bottom"/>
          </w:tcPr>
          <w:p>
            <w:pPr>
              <w:spacing w:after="0" w:line="20" w:lineRule="exact"/>
              <w:rPr>
                <w:sz w:val="1"/>
                <w:szCs w:val="1"/>
                <w:color w:val="auto"/>
              </w:rPr>
            </w:pPr>
          </w:p>
        </w:tc>
        <w:tc>
          <w:tcPr>
            <w:tcW w:w="560" w:type="dxa"/>
            <w:vAlign w:val="bottom"/>
            <w:shd w:val="clear" w:color="auto" w:fill="0F7C7F"/>
          </w:tcPr>
          <w:p>
            <w:pPr>
              <w:spacing w:after="0" w:line="20" w:lineRule="exact"/>
              <w:rPr>
                <w:sz w:val="1"/>
                <w:szCs w:val="1"/>
                <w:color w:val="auto"/>
              </w:rPr>
            </w:pPr>
          </w:p>
        </w:tc>
        <w:tc>
          <w:tcPr>
            <w:tcW w:w="220" w:type="dxa"/>
            <w:vAlign w:val="bottom"/>
            <w:shd w:val="clear" w:color="auto" w:fill="0F7C7F"/>
          </w:tcPr>
          <w:p>
            <w:pPr>
              <w:spacing w:after="0" w:line="20" w:lineRule="exact"/>
              <w:rPr>
                <w:sz w:val="1"/>
                <w:szCs w:val="1"/>
                <w:color w:val="auto"/>
              </w:rPr>
            </w:pPr>
          </w:p>
        </w:tc>
        <w:tc>
          <w:tcPr>
            <w:tcW w:w="3580" w:type="dxa"/>
            <w:vAlign w:val="bottom"/>
            <w:gridSpan w:val="6"/>
            <w:shd w:val="clear" w:color="auto" w:fill="0F7C7F"/>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4220" w:type="dxa"/>
            <w:vAlign w:val="bottom"/>
            <w:gridSpan w:val="2"/>
          </w:tcPr>
          <w:p>
            <w:pPr>
              <w:spacing w:after="0" w:line="20" w:lineRule="exact"/>
              <w:rPr>
                <w:sz w:val="1"/>
                <w:szCs w:val="1"/>
                <w:color w:val="auto"/>
              </w:rPr>
            </w:pPr>
          </w:p>
        </w:tc>
        <w:tc>
          <w:tcPr>
            <w:tcW w:w="180" w:type="dxa"/>
            <w:vAlign w:val="bottom"/>
            <w:gridSpan w:val="2"/>
            <w:shd w:val="clear" w:color="auto" w:fill="0F7C7F"/>
          </w:tcPr>
          <w:p>
            <w:pPr>
              <w:spacing w:after="0" w:line="20" w:lineRule="exact"/>
              <w:rPr>
                <w:sz w:val="1"/>
                <w:szCs w:val="1"/>
                <w:color w:val="auto"/>
              </w:rPr>
            </w:pPr>
          </w:p>
        </w:tc>
      </w:tr>
      <w:tr>
        <w:trPr>
          <w:trHeight w:val="383"/>
        </w:trPr>
        <w:tc>
          <w:tcPr>
            <w:tcW w:w="580" w:type="dxa"/>
            <w:vAlign w:val="bottom"/>
          </w:tcPr>
          <w:p>
            <w:pPr>
              <w:spacing w:after="0"/>
              <w:rPr>
                <w:sz w:val="20"/>
                <w:szCs w:val="20"/>
                <w:color w:val="auto"/>
              </w:rPr>
            </w:pPr>
            <w:r>
              <w:rPr>
                <w:rFonts w:ascii="Arial" w:cs="Arial" w:eastAsia="Arial" w:hAnsi="Arial"/>
                <w:sz w:val="16"/>
                <w:szCs w:val="16"/>
                <w:color w:val="0F7C7F"/>
              </w:rPr>
              <w:t>3.</w:t>
            </w:r>
          </w:p>
        </w:tc>
        <w:tc>
          <w:tcPr>
            <w:tcW w:w="4360" w:type="dxa"/>
            <w:vAlign w:val="bottom"/>
            <w:gridSpan w:val="8"/>
          </w:tcPr>
          <w:p>
            <w:pPr>
              <w:spacing w:after="0"/>
              <w:rPr>
                <w:sz w:val="20"/>
                <w:szCs w:val="20"/>
                <w:color w:val="auto"/>
              </w:rPr>
            </w:pPr>
            <w:r>
              <w:rPr>
                <w:rFonts w:ascii="Arial" w:cs="Arial" w:eastAsia="Arial" w:hAnsi="Arial"/>
                <w:sz w:val="16"/>
                <w:szCs w:val="16"/>
                <w:color w:val="0F7C7F"/>
              </w:rPr>
              <w:t>Defaults Upon Senior Securities</w:t>
            </w:r>
          </w:p>
        </w:tc>
        <w:tc>
          <w:tcPr>
            <w:tcW w:w="2020" w:type="dxa"/>
            <w:vAlign w:val="bottom"/>
          </w:tcPr>
          <w:p>
            <w:pPr>
              <w:spacing w:after="0"/>
              <w:rPr>
                <w:sz w:val="24"/>
                <w:szCs w:val="24"/>
                <w:color w:val="auto"/>
              </w:rPr>
            </w:pPr>
          </w:p>
        </w:tc>
        <w:tc>
          <w:tcPr>
            <w:tcW w:w="4400" w:type="dxa"/>
            <w:vAlign w:val="bottom"/>
            <w:gridSpan w:val="4"/>
          </w:tcPr>
          <w:p>
            <w:pPr>
              <w:jc w:val="right"/>
              <w:spacing w:after="0"/>
              <w:rPr>
                <w:sz w:val="20"/>
                <w:szCs w:val="20"/>
                <w:color w:val="auto"/>
              </w:rPr>
            </w:pPr>
            <w:r>
              <w:rPr>
                <w:rFonts w:ascii="Arial" w:cs="Arial" w:eastAsia="Arial" w:hAnsi="Arial"/>
                <w:sz w:val="16"/>
                <w:szCs w:val="16"/>
                <w:color w:val="0F7C7F"/>
              </w:rPr>
              <w:t>Not Applicable.</w:t>
            </w:r>
          </w:p>
        </w:tc>
      </w:tr>
      <w:tr>
        <w:trPr>
          <w:trHeight w:val="365"/>
        </w:trPr>
        <w:tc>
          <w:tcPr>
            <w:tcW w:w="580" w:type="dxa"/>
            <w:vAlign w:val="bottom"/>
          </w:tcPr>
          <w:p>
            <w:pPr>
              <w:spacing w:after="0"/>
              <w:rPr>
                <w:sz w:val="20"/>
                <w:szCs w:val="20"/>
                <w:color w:val="auto"/>
              </w:rPr>
            </w:pPr>
            <w:r>
              <w:rPr>
                <w:rFonts w:ascii="Arial" w:cs="Arial" w:eastAsia="Arial" w:hAnsi="Arial"/>
                <w:sz w:val="16"/>
                <w:szCs w:val="16"/>
                <w:color w:val="0F7C7F"/>
              </w:rPr>
              <w:t>4.</w:t>
            </w:r>
          </w:p>
        </w:tc>
        <w:tc>
          <w:tcPr>
            <w:tcW w:w="6380" w:type="dxa"/>
            <w:vAlign w:val="bottom"/>
            <w:gridSpan w:val="9"/>
          </w:tcPr>
          <w:p>
            <w:pPr>
              <w:spacing w:after="0"/>
              <w:rPr>
                <w:sz w:val="20"/>
                <w:szCs w:val="20"/>
                <w:color w:val="auto"/>
              </w:rPr>
            </w:pPr>
            <w:r>
              <w:rPr>
                <w:rFonts w:ascii="Arial" w:cs="Arial" w:eastAsia="Arial" w:hAnsi="Arial"/>
                <w:sz w:val="16"/>
                <w:szCs w:val="16"/>
                <w:color w:val="0F7C7F"/>
              </w:rPr>
              <w:t>Mine Safety Disclosures</w:t>
            </w:r>
          </w:p>
        </w:tc>
        <w:tc>
          <w:tcPr>
            <w:tcW w:w="4400" w:type="dxa"/>
            <w:vAlign w:val="bottom"/>
            <w:gridSpan w:val="4"/>
          </w:tcPr>
          <w:p>
            <w:pPr>
              <w:jc w:val="right"/>
              <w:spacing w:after="0"/>
              <w:rPr>
                <w:sz w:val="20"/>
                <w:szCs w:val="20"/>
                <w:color w:val="auto"/>
              </w:rPr>
            </w:pPr>
            <w:r>
              <w:rPr>
                <w:rFonts w:ascii="Arial" w:cs="Arial" w:eastAsia="Arial" w:hAnsi="Arial"/>
                <w:sz w:val="16"/>
                <w:szCs w:val="16"/>
                <w:color w:val="0F7C7F"/>
              </w:rPr>
              <w:t>Not Applicable.</w:t>
            </w:r>
          </w:p>
        </w:tc>
      </w:tr>
      <w:tr>
        <w:trPr>
          <w:trHeight w:val="365"/>
        </w:trPr>
        <w:tc>
          <w:tcPr>
            <w:tcW w:w="580" w:type="dxa"/>
            <w:vAlign w:val="bottom"/>
          </w:tcPr>
          <w:p>
            <w:pPr>
              <w:spacing w:after="0"/>
              <w:rPr>
                <w:sz w:val="20"/>
                <w:szCs w:val="20"/>
                <w:color w:val="auto"/>
              </w:rPr>
            </w:pPr>
            <w:r>
              <w:rPr>
                <w:rFonts w:ascii="Arial" w:cs="Arial" w:eastAsia="Arial" w:hAnsi="Arial"/>
                <w:sz w:val="16"/>
                <w:szCs w:val="16"/>
                <w:color w:val="0F7C7F"/>
              </w:rPr>
              <w:t>5.</w:t>
            </w:r>
          </w:p>
        </w:tc>
        <w:tc>
          <w:tcPr>
            <w:tcW w:w="6380" w:type="dxa"/>
            <w:vAlign w:val="bottom"/>
            <w:gridSpan w:val="9"/>
          </w:tcPr>
          <w:p>
            <w:pPr>
              <w:spacing w:after="0"/>
              <w:rPr>
                <w:sz w:val="20"/>
                <w:szCs w:val="20"/>
                <w:color w:val="auto"/>
              </w:rPr>
            </w:pPr>
            <w:r>
              <w:rPr>
                <w:rFonts w:ascii="Arial" w:cs="Arial" w:eastAsia="Arial" w:hAnsi="Arial"/>
                <w:sz w:val="16"/>
                <w:szCs w:val="16"/>
                <w:color w:val="0F7C7F"/>
              </w:rPr>
              <w:t>Other Information</w:t>
            </w:r>
          </w:p>
        </w:tc>
        <w:tc>
          <w:tcPr>
            <w:tcW w:w="4400" w:type="dxa"/>
            <w:vAlign w:val="bottom"/>
            <w:gridSpan w:val="4"/>
          </w:tcPr>
          <w:p>
            <w:pPr>
              <w:jc w:val="right"/>
              <w:spacing w:after="0"/>
              <w:rPr>
                <w:sz w:val="20"/>
                <w:szCs w:val="20"/>
                <w:color w:val="auto"/>
              </w:rPr>
            </w:pPr>
            <w:r>
              <w:rPr>
                <w:rFonts w:ascii="Arial" w:cs="Arial" w:eastAsia="Arial" w:hAnsi="Arial"/>
                <w:sz w:val="16"/>
                <w:szCs w:val="16"/>
                <w:color w:val="0F7C7F"/>
              </w:rPr>
              <w:t>Not Applicable.</w:t>
            </w:r>
          </w:p>
        </w:tc>
      </w:tr>
      <w:tr>
        <w:trPr>
          <w:trHeight w:val="326"/>
        </w:trPr>
        <w:tc>
          <w:tcPr>
            <w:tcW w:w="580" w:type="dxa"/>
            <w:vAlign w:val="bottom"/>
          </w:tcPr>
          <w:p>
            <w:pPr>
              <w:spacing w:after="0"/>
              <w:rPr>
                <w:sz w:val="20"/>
                <w:szCs w:val="20"/>
                <w:color w:val="auto"/>
              </w:rPr>
            </w:pPr>
            <w:r>
              <w:rPr>
                <w:rFonts w:ascii="Arial" w:cs="Arial" w:eastAsia="Arial" w:hAnsi="Arial"/>
                <w:sz w:val="16"/>
                <w:szCs w:val="16"/>
                <w:color w:val="0F7C7F"/>
              </w:rPr>
              <w:t>6.</w:t>
            </w:r>
          </w:p>
        </w:tc>
        <w:tc>
          <w:tcPr>
            <w:tcW w:w="6380" w:type="dxa"/>
            <w:vAlign w:val="bottom"/>
            <w:gridSpan w:val="9"/>
          </w:tcPr>
          <w:p>
            <w:pPr>
              <w:spacing w:after="0"/>
              <w:rPr>
                <w:rFonts w:ascii="Arial" w:cs="Arial" w:eastAsia="Arial" w:hAnsi="Arial"/>
                <w:sz w:val="16"/>
                <w:szCs w:val="16"/>
                <w:color w:val="0F7C7F"/>
              </w:rPr>
            </w:pPr>
            <w:hyperlink w:anchor="page66">
              <w:r>
                <w:rPr>
                  <w:rFonts w:ascii="Arial" w:cs="Arial" w:eastAsia="Arial" w:hAnsi="Arial"/>
                  <w:sz w:val="16"/>
                  <w:szCs w:val="16"/>
                  <w:color w:val="0F7C7F"/>
                </w:rPr>
                <w:t>Exhibits</w:t>
              </w:r>
            </w:hyperlink>
          </w:p>
        </w:tc>
        <w:tc>
          <w:tcPr>
            <w:tcW w:w="4400" w:type="dxa"/>
            <w:vAlign w:val="bottom"/>
            <w:gridSpan w:val="4"/>
          </w:tcPr>
          <w:p>
            <w:pPr>
              <w:jc w:val="right"/>
              <w:spacing w:after="0"/>
              <w:rPr>
                <w:rFonts w:ascii="Arial" w:cs="Arial" w:eastAsia="Arial" w:hAnsi="Arial"/>
                <w:sz w:val="16"/>
                <w:szCs w:val="16"/>
                <w:color w:val="0F7C7F"/>
              </w:rPr>
            </w:pPr>
            <w:hyperlink w:anchor="page66">
              <w:r>
                <w:rPr>
                  <w:rFonts w:ascii="Arial" w:cs="Arial" w:eastAsia="Arial" w:hAnsi="Arial"/>
                  <w:sz w:val="16"/>
                  <w:szCs w:val="16"/>
                  <w:color w:val="0F7C7F"/>
                </w:rPr>
                <w:t>66</w:t>
              </w:r>
            </w:hyperlink>
          </w:p>
        </w:tc>
      </w:tr>
      <w:tr>
        <w:trPr>
          <w:trHeight w:val="20"/>
        </w:trPr>
        <w:tc>
          <w:tcPr>
            <w:tcW w:w="580" w:type="dxa"/>
            <w:vAlign w:val="bottom"/>
          </w:tcPr>
          <w:p>
            <w:pPr>
              <w:spacing w:after="0" w:line="20" w:lineRule="exact"/>
              <w:rPr>
                <w:sz w:val="1"/>
                <w:szCs w:val="1"/>
                <w:color w:val="auto"/>
              </w:rPr>
            </w:pPr>
          </w:p>
        </w:tc>
        <w:tc>
          <w:tcPr>
            <w:tcW w:w="560" w:type="dxa"/>
            <w:vAlign w:val="bottom"/>
            <w:shd w:val="clear" w:color="auto" w:fill="0F7C7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0" w:type="dxa"/>
            <w:vAlign w:val="bottom"/>
            <w:gridSpan w:val="7"/>
          </w:tcPr>
          <w:p>
            <w:pPr>
              <w:spacing w:after="0" w:line="20" w:lineRule="exact"/>
              <w:rPr>
                <w:sz w:val="1"/>
                <w:szCs w:val="1"/>
                <w:color w:val="auto"/>
              </w:rPr>
            </w:pPr>
          </w:p>
        </w:tc>
        <w:tc>
          <w:tcPr>
            <w:tcW w:w="4220" w:type="dxa"/>
            <w:vAlign w:val="bottom"/>
            <w:gridSpan w:val="2"/>
          </w:tcPr>
          <w:p>
            <w:pPr>
              <w:spacing w:after="0" w:line="20" w:lineRule="exact"/>
              <w:rPr>
                <w:sz w:val="1"/>
                <w:szCs w:val="1"/>
                <w:color w:val="auto"/>
              </w:rPr>
            </w:pPr>
          </w:p>
        </w:tc>
        <w:tc>
          <w:tcPr>
            <w:tcW w:w="180" w:type="dxa"/>
            <w:vAlign w:val="bottom"/>
            <w:gridSpan w:val="2"/>
            <w:shd w:val="clear" w:color="auto" w:fill="0F7C7F"/>
          </w:tcPr>
          <w:p>
            <w:pPr>
              <w:spacing w:after="0" w:line="20" w:lineRule="exact"/>
              <w:rPr>
                <w:sz w:val="1"/>
                <w:szCs w:val="1"/>
                <w:color w:val="auto"/>
              </w:rPr>
            </w:pPr>
          </w:p>
        </w:tc>
      </w:tr>
      <w:tr>
        <w:trPr>
          <w:trHeight w:val="345"/>
        </w:trPr>
        <w:tc>
          <w:tcPr>
            <w:tcW w:w="580" w:type="dxa"/>
            <w:vAlign w:val="bottom"/>
          </w:tcPr>
          <w:p>
            <w:pPr>
              <w:spacing w:after="0"/>
              <w:rPr>
                <w:sz w:val="24"/>
                <w:szCs w:val="24"/>
                <w:color w:val="auto"/>
              </w:rPr>
            </w:pPr>
          </w:p>
        </w:tc>
        <w:tc>
          <w:tcPr>
            <w:tcW w:w="780" w:type="dxa"/>
            <w:vAlign w:val="bottom"/>
            <w:tcBorders>
              <w:bottom w:val="single" w:sz="8" w:color="0F7C7F"/>
            </w:tcBorders>
            <w:gridSpan w:val="2"/>
          </w:tcPr>
          <w:p>
            <w:pPr>
              <w:spacing w:after="0"/>
              <w:rPr>
                <w:rFonts w:ascii="Arial" w:cs="Arial" w:eastAsia="Arial" w:hAnsi="Arial"/>
                <w:sz w:val="16"/>
                <w:szCs w:val="16"/>
                <w:color w:val="0F7C7F"/>
                <w:w w:val="99"/>
              </w:rPr>
            </w:pPr>
            <w:hyperlink w:anchor="page67">
              <w:r>
                <w:rPr>
                  <w:rFonts w:ascii="Arial" w:cs="Arial" w:eastAsia="Arial" w:hAnsi="Arial"/>
                  <w:sz w:val="16"/>
                  <w:szCs w:val="16"/>
                  <w:color w:val="0F7C7F"/>
                  <w:w w:val="99"/>
                </w:rPr>
                <w:t>Signatures</w:t>
              </w:r>
            </w:hyperlink>
          </w:p>
        </w:tc>
        <w:tc>
          <w:tcPr>
            <w:tcW w:w="5600" w:type="dxa"/>
            <w:vAlign w:val="bottom"/>
            <w:gridSpan w:val="7"/>
          </w:tcPr>
          <w:p>
            <w:pPr>
              <w:spacing w:after="0"/>
              <w:rPr>
                <w:sz w:val="24"/>
                <w:szCs w:val="24"/>
                <w:color w:val="auto"/>
              </w:rPr>
            </w:pPr>
          </w:p>
        </w:tc>
        <w:tc>
          <w:tcPr>
            <w:tcW w:w="4400" w:type="dxa"/>
            <w:vAlign w:val="bottom"/>
            <w:gridSpan w:val="4"/>
          </w:tcPr>
          <w:p>
            <w:pPr>
              <w:jc w:val="right"/>
              <w:spacing w:after="0"/>
              <w:rPr>
                <w:sz w:val="20"/>
                <w:szCs w:val="20"/>
                <w:color w:val="auto"/>
              </w:rPr>
            </w:pPr>
            <w:r>
              <w:rPr>
                <w:rFonts w:ascii="Arial" w:cs="Arial" w:eastAsia="Arial" w:hAnsi="Arial"/>
                <w:sz w:val="16"/>
                <w:szCs w:val="16"/>
                <w:color w:val="0F7C7F"/>
              </w:rPr>
              <w:t>67</w:t>
            </w:r>
          </w:p>
        </w:tc>
      </w:tr>
      <w:tr>
        <w:trPr>
          <w:trHeight w:val="20"/>
        </w:trPr>
        <w:tc>
          <w:tcPr>
            <w:tcW w:w="5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40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bottom w:val="single" w:sz="8" w:color="0F7C7F"/>
            </w:tcBorders>
          </w:tcPr>
          <w:p>
            <w:pPr>
              <w:spacing w:after="0" w:line="20" w:lineRule="exact"/>
              <w:rPr>
                <w:sz w:val="1"/>
                <w:szCs w:val="1"/>
                <w:color w:val="auto"/>
              </w:rPr>
            </w:pPr>
          </w:p>
        </w:tc>
        <w:tc>
          <w:tcPr>
            <w:tcW w:w="100" w:type="dxa"/>
            <w:vAlign w:val="bottom"/>
            <w:tcBorders>
              <w:bottom w:val="single" w:sz="8" w:color="0F7C7F"/>
            </w:tcBorders>
          </w:tcPr>
          <w:p>
            <w:pPr>
              <w:spacing w:after="0" w:line="20" w:lineRule="exact"/>
              <w:rPr>
                <w:sz w:val="1"/>
                <w:szCs w:val="1"/>
                <w:color w:val="auto"/>
              </w:rPr>
            </w:pPr>
          </w:p>
        </w:tc>
      </w:tr>
    </w:tbl>
    <w:p>
      <w:pPr>
        <w:sectPr>
          <w:pgSz w:w="11900" w:h="16838" w:orient="portrait"/>
          <w:cols w:equalWidth="0" w:num="1">
            <w:col w:w="11400"/>
          </w:cols>
          <w:pgMar w:left="240" w:top="115" w:right="259" w:bottom="1440" w:gutter="0" w:footer="0" w:header="0"/>
        </w:sectPr>
      </w:pPr>
    </w:p>
    <w:bookmarkStart w:id="2" w:name="page3"/>
    <w:bookmarkEnd w:id="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46" w:lineRule="exact"/>
        <w:rPr>
          <w:sz w:val="20"/>
          <w:szCs w:val="20"/>
          <w:color w:val="auto"/>
        </w:rPr>
      </w:pPr>
    </w:p>
    <w:p>
      <w:pPr>
        <w:spacing w:after="0"/>
        <w:rPr>
          <w:sz w:val="20"/>
          <w:szCs w:val="20"/>
          <w:color w:val="auto"/>
        </w:rPr>
      </w:pPr>
      <w:r>
        <w:rPr>
          <w:rFonts w:ascii="Arial" w:cs="Arial" w:eastAsia="Arial" w:hAnsi="Arial"/>
          <w:sz w:val="36"/>
          <w:szCs w:val="36"/>
          <w:b w:val="1"/>
          <w:bCs w:val="1"/>
          <w:color w:val="0F7C7F"/>
        </w:rPr>
        <w:t>FINANCIAL STATEMENTS</w:t>
      </w:r>
    </w:p>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MOLINA HEALTHCARE, INC.</w:t>
      </w:r>
    </w:p>
    <w:p>
      <w:pPr>
        <w:spacing w:after="0" w:line="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700" w:type="dxa"/>
            <w:vAlign w:val="bottom"/>
          </w:tcPr>
          <w:p>
            <w:pPr>
              <w:spacing w:after="0"/>
              <w:rPr>
                <w:sz w:val="17"/>
                <w:szCs w:val="17"/>
                <w:color w:val="auto"/>
              </w:rPr>
            </w:pPr>
          </w:p>
        </w:tc>
        <w:tc>
          <w:tcPr>
            <w:tcW w:w="3420" w:type="dxa"/>
            <w:vAlign w:val="bottom"/>
            <w:gridSpan w:val="6"/>
          </w:tcPr>
          <w:p>
            <w:pPr>
              <w:ind w:left="440"/>
              <w:spacing w:after="0"/>
              <w:rPr>
                <w:sz w:val="20"/>
                <w:szCs w:val="20"/>
                <w:color w:val="auto"/>
              </w:rPr>
            </w:pPr>
            <w:r>
              <w:rPr>
                <w:rFonts w:ascii="Arial" w:cs="Arial" w:eastAsia="Arial" w:hAnsi="Arial"/>
                <w:sz w:val="14"/>
                <w:szCs w:val="14"/>
                <w:b w:val="1"/>
                <w:bCs w:val="1"/>
                <w:color w:val="auto"/>
              </w:rPr>
              <w:t>Three Months Ended September 30,</w:t>
            </w:r>
          </w:p>
        </w:tc>
        <w:tc>
          <w:tcPr>
            <w:tcW w:w="420" w:type="dxa"/>
            <w:vAlign w:val="bottom"/>
          </w:tcPr>
          <w:p>
            <w:pPr>
              <w:spacing w:after="0"/>
              <w:rPr>
                <w:sz w:val="17"/>
                <w:szCs w:val="17"/>
                <w:color w:val="auto"/>
              </w:rPr>
            </w:pPr>
          </w:p>
        </w:tc>
        <w:tc>
          <w:tcPr>
            <w:tcW w:w="2880" w:type="dxa"/>
            <w:vAlign w:val="bottom"/>
            <w:gridSpan w:val="4"/>
          </w:tcPr>
          <w:p>
            <w:pPr>
              <w:jc w:val="right"/>
              <w:ind w:right="380"/>
              <w:spacing w:after="0"/>
              <w:rPr>
                <w:sz w:val="20"/>
                <w:szCs w:val="20"/>
                <w:color w:val="auto"/>
              </w:rPr>
            </w:pPr>
            <w:r>
              <w:rPr>
                <w:rFonts w:ascii="Arial" w:cs="Arial" w:eastAsia="Arial" w:hAnsi="Arial"/>
                <w:sz w:val="14"/>
                <w:szCs w:val="14"/>
                <w:b w:val="1"/>
                <w:bCs w:val="1"/>
                <w:color w:val="auto"/>
              </w:rPr>
              <w:t>Nine Months Ended September 30,</w:t>
            </w:r>
          </w:p>
        </w:tc>
      </w:tr>
      <w:tr>
        <w:trPr>
          <w:trHeight w:val="264"/>
        </w:trPr>
        <w:tc>
          <w:tcPr>
            <w:tcW w:w="4700" w:type="dxa"/>
            <w:vAlign w:val="bottom"/>
          </w:tcPr>
          <w:p>
            <w:pPr>
              <w:spacing w:after="0"/>
              <w:rPr>
                <w:sz w:val="22"/>
                <w:szCs w:val="22"/>
                <w:color w:val="auto"/>
              </w:rPr>
            </w:pPr>
          </w:p>
        </w:tc>
        <w:tc>
          <w:tcPr>
            <w:tcW w:w="1040" w:type="dxa"/>
            <w:vAlign w:val="bottom"/>
            <w:tcBorders>
              <w:top w:val="single" w:sz="8" w:color="auto"/>
              <w:bottom w:val="single" w:sz="8" w:color="auto"/>
            </w:tcBorders>
          </w:tcPr>
          <w:p>
            <w:pPr>
              <w:jc w:val="right"/>
              <w:ind w:right="3"/>
              <w:spacing w:after="0"/>
              <w:rPr>
                <w:sz w:val="20"/>
                <w:szCs w:val="20"/>
                <w:color w:val="auto"/>
              </w:rPr>
            </w:pPr>
            <w:r>
              <w:rPr>
                <w:rFonts w:ascii="Arial" w:cs="Arial" w:eastAsia="Arial" w:hAnsi="Arial"/>
                <w:sz w:val="14"/>
                <w:szCs w:val="14"/>
                <w:b w:val="1"/>
                <w:bCs w:val="1"/>
                <w:color w:val="auto"/>
              </w:rPr>
              <w:t>2017</w:t>
            </w:r>
          </w:p>
        </w:tc>
        <w:tc>
          <w:tcPr>
            <w:tcW w:w="580" w:type="dxa"/>
            <w:vAlign w:val="bottom"/>
            <w:tcBorders>
              <w:top w:val="single" w:sz="8" w:color="auto"/>
              <w:bottom w:val="single" w:sz="8" w:color="auto"/>
            </w:tcBorders>
          </w:tcPr>
          <w:p>
            <w:pPr>
              <w:spacing w:after="0"/>
              <w:rPr>
                <w:sz w:val="22"/>
                <w:szCs w:val="22"/>
                <w:color w:val="auto"/>
              </w:rPr>
            </w:pPr>
          </w:p>
        </w:tc>
        <w:tc>
          <w:tcPr>
            <w:tcW w:w="100" w:type="dxa"/>
            <w:vAlign w:val="bottom"/>
            <w:tcBorders>
              <w:top w:val="single" w:sz="8" w:color="auto"/>
              <w:bottom w:val="single" w:sz="8" w:color="auto"/>
            </w:tcBorders>
          </w:tcPr>
          <w:p>
            <w:pPr>
              <w:spacing w:after="0"/>
              <w:rPr>
                <w:sz w:val="22"/>
                <w:szCs w:val="22"/>
                <w:color w:val="auto"/>
              </w:rPr>
            </w:pPr>
          </w:p>
        </w:tc>
        <w:tc>
          <w:tcPr>
            <w:tcW w:w="300" w:type="dxa"/>
            <w:vAlign w:val="bottom"/>
            <w:tcBorders>
              <w:top w:val="single" w:sz="8" w:color="auto"/>
              <w:bottom w:val="single" w:sz="8" w:color="auto"/>
            </w:tcBorders>
          </w:tcPr>
          <w:p>
            <w:pPr>
              <w:spacing w:after="0"/>
              <w:rPr>
                <w:sz w:val="22"/>
                <w:szCs w:val="22"/>
                <w:color w:val="auto"/>
              </w:rPr>
            </w:pPr>
          </w:p>
        </w:tc>
        <w:tc>
          <w:tcPr>
            <w:tcW w:w="1300" w:type="dxa"/>
            <w:vAlign w:val="bottom"/>
            <w:tcBorders>
              <w:top w:val="single" w:sz="8" w:color="auto"/>
              <w:bottom w:val="single" w:sz="8" w:color="auto"/>
            </w:tcBorders>
          </w:tcPr>
          <w:p>
            <w:pPr>
              <w:jc w:val="right"/>
              <w:ind w:right="561"/>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auto"/>
            </w:tcBorders>
          </w:tcPr>
          <w:p>
            <w:pPr>
              <w:spacing w:after="0"/>
              <w:rPr>
                <w:sz w:val="22"/>
                <w:szCs w:val="22"/>
                <w:color w:val="auto"/>
              </w:rPr>
            </w:pPr>
          </w:p>
        </w:tc>
        <w:tc>
          <w:tcPr>
            <w:tcW w:w="420" w:type="dxa"/>
            <w:vAlign w:val="bottom"/>
            <w:tcBorders>
              <w:top w:val="single" w:sz="8" w:color="auto"/>
              <w:bottom w:val="single" w:sz="8" w:color="auto"/>
            </w:tcBorders>
          </w:tcPr>
          <w:p>
            <w:pPr>
              <w:spacing w:after="0"/>
              <w:rPr>
                <w:sz w:val="22"/>
                <w:szCs w:val="22"/>
                <w:color w:val="auto"/>
              </w:rPr>
            </w:pPr>
          </w:p>
        </w:tc>
        <w:tc>
          <w:tcPr>
            <w:tcW w:w="1180" w:type="dxa"/>
            <w:vAlign w:val="bottom"/>
            <w:tcBorders>
              <w:top w:val="single" w:sz="8" w:color="auto"/>
              <w:bottom w:val="single" w:sz="8" w:color="auto"/>
            </w:tcBorders>
          </w:tcPr>
          <w:p>
            <w:pPr>
              <w:jc w:val="right"/>
              <w:ind w:right="560"/>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top w:val="single" w:sz="8" w:color="auto"/>
              <w:bottom w:val="single" w:sz="8" w:color="auto"/>
            </w:tcBorders>
          </w:tcPr>
          <w:p>
            <w:pPr>
              <w:spacing w:after="0"/>
              <w:rPr>
                <w:sz w:val="22"/>
                <w:szCs w:val="22"/>
                <w:color w:val="auto"/>
              </w:rPr>
            </w:pPr>
          </w:p>
        </w:tc>
        <w:tc>
          <w:tcPr>
            <w:tcW w:w="380" w:type="dxa"/>
            <w:vAlign w:val="bottom"/>
            <w:tcBorders>
              <w:top w:val="single" w:sz="8" w:color="auto"/>
              <w:bottom w:val="single" w:sz="8" w:color="auto"/>
            </w:tcBorders>
          </w:tcPr>
          <w:p>
            <w:pPr>
              <w:spacing w:after="0"/>
              <w:rPr>
                <w:sz w:val="22"/>
                <w:szCs w:val="22"/>
                <w:color w:val="auto"/>
              </w:rPr>
            </w:pPr>
          </w:p>
        </w:tc>
        <w:tc>
          <w:tcPr>
            <w:tcW w:w="1220" w:type="dxa"/>
            <w:vAlign w:val="bottom"/>
            <w:tcBorders>
              <w:top w:val="single" w:sz="8" w:color="auto"/>
              <w:bottom w:val="single" w:sz="8" w:color="auto"/>
            </w:tcBorders>
          </w:tcPr>
          <w:p>
            <w:pPr>
              <w:jc w:val="right"/>
              <w:ind w:right="560"/>
              <w:spacing w:after="0"/>
              <w:rPr>
                <w:sz w:val="20"/>
                <w:szCs w:val="20"/>
                <w:color w:val="auto"/>
              </w:rPr>
            </w:pPr>
            <w:r>
              <w:rPr>
                <w:rFonts w:ascii="Arial" w:cs="Arial" w:eastAsia="Arial" w:hAnsi="Arial"/>
                <w:sz w:val="14"/>
                <w:szCs w:val="14"/>
                <w:b w:val="1"/>
                <w:bCs w:val="1"/>
                <w:color w:val="auto"/>
              </w:rPr>
              <w:t>2016</w:t>
            </w:r>
          </w:p>
        </w:tc>
      </w:tr>
      <w:tr>
        <w:trPr>
          <w:trHeight w:val="168"/>
        </w:trPr>
        <w:tc>
          <w:tcPr>
            <w:tcW w:w="47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100" w:type="dxa"/>
            <w:vAlign w:val="bottom"/>
            <w:gridSpan w:val="5"/>
          </w:tcPr>
          <w:p>
            <w:pPr>
              <w:jc w:val="center"/>
              <w:ind w:right="400"/>
              <w:spacing w:after="0"/>
              <w:rPr>
                <w:sz w:val="20"/>
                <w:szCs w:val="20"/>
                <w:color w:val="auto"/>
              </w:rPr>
            </w:pPr>
            <w:r>
              <w:rPr>
                <w:rFonts w:ascii="Arial" w:cs="Arial" w:eastAsia="Arial" w:hAnsi="Arial"/>
                <w:sz w:val="14"/>
                <w:szCs w:val="14"/>
                <w:b w:val="1"/>
                <w:bCs w:val="1"/>
                <w:color w:val="auto"/>
              </w:rPr>
              <w:t>(In millions, except per-share data)</w:t>
            </w:r>
          </w:p>
        </w:tc>
        <w:tc>
          <w:tcPr>
            <w:tcW w:w="38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203"/>
        </w:trPr>
        <w:tc>
          <w:tcPr>
            <w:tcW w:w="47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820" w:type="dxa"/>
            <w:vAlign w:val="bottom"/>
            <w:gridSpan w:val="3"/>
          </w:tcPr>
          <w:p>
            <w:pPr>
              <w:jc w:val="center"/>
              <w:ind w:left="821"/>
              <w:spacing w:after="0"/>
              <w:rPr>
                <w:sz w:val="20"/>
                <w:szCs w:val="20"/>
                <w:color w:val="auto"/>
              </w:rPr>
            </w:pPr>
            <w:r>
              <w:rPr>
                <w:rFonts w:ascii="Arial" w:cs="Arial" w:eastAsia="Arial" w:hAnsi="Arial"/>
                <w:sz w:val="14"/>
                <w:szCs w:val="14"/>
                <w:b w:val="1"/>
                <w:bCs w:val="1"/>
                <w:color w:val="auto"/>
              </w:rPr>
              <w:t>(Unaudited)</w:t>
            </w: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271"/>
        </w:trPr>
        <w:tc>
          <w:tcPr>
            <w:tcW w:w="4700" w:type="dxa"/>
            <w:vAlign w:val="bottom"/>
            <w:shd w:val="clear" w:color="auto" w:fill="CCEEFF"/>
          </w:tcPr>
          <w:p>
            <w:pPr>
              <w:ind w:left="40"/>
              <w:spacing w:after="0"/>
              <w:rPr>
                <w:sz w:val="20"/>
                <w:szCs w:val="20"/>
                <w:color w:val="auto"/>
              </w:rPr>
            </w:pPr>
            <w:r>
              <w:rPr>
                <w:rFonts w:ascii="Arial" w:cs="Arial" w:eastAsia="Arial" w:hAnsi="Arial"/>
                <w:sz w:val="16"/>
                <w:szCs w:val="16"/>
                <w:color w:val="auto"/>
              </w:rPr>
              <w:t>Revenue:</w:t>
            </w:r>
          </w:p>
        </w:tc>
        <w:tc>
          <w:tcPr>
            <w:tcW w:w="1040" w:type="dxa"/>
            <w:vAlign w:val="bottom"/>
            <w:shd w:val="clear" w:color="auto" w:fill="CCEEFF"/>
          </w:tcPr>
          <w:p>
            <w:pPr>
              <w:spacing w:after="0"/>
              <w:rPr>
                <w:sz w:val="23"/>
                <w:szCs w:val="23"/>
                <w:color w:val="auto"/>
              </w:rPr>
            </w:pPr>
          </w:p>
        </w:tc>
        <w:tc>
          <w:tcPr>
            <w:tcW w:w="5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3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11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220" w:type="dxa"/>
            <w:vAlign w:val="bottom"/>
            <w:shd w:val="clear" w:color="auto" w:fill="CCEEFF"/>
          </w:tcPr>
          <w:p>
            <w:pPr>
              <w:spacing w:after="0"/>
              <w:rPr>
                <w:sz w:val="23"/>
                <w:szCs w:val="23"/>
                <w:color w:val="auto"/>
              </w:rPr>
            </w:pPr>
          </w:p>
        </w:tc>
      </w:tr>
      <w:tr>
        <w:trPr>
          <w:trHeight w:val="262"/>
        </w:trPr>
        <w:tc>
          <w:tcPr>
            <w:tcW w:w="4700" w:type="dxa"/>
            <w:vAlign w:val="bottom"/>
          </w:tcPr>
          <w:p>
            <w:pPr>
              <w:ind w:left="280"/>
              <w:spacing w:after="0"/>
              <w:rPr>
                <w:sz w:val="20"/>
                <w:szCs w:val="20"/>
                <w:color w:val="auto"/>
              </w:rPr>
            </w:pPr>
            <w:r>
              <w:rPr>
                <w:rFonts w:ascii="Arial" w:cs="Arial" w:eastAsia="Arial" w:hAnsi="Arial"/>
                <w:sz w:val="16"/>
                <w:szCs w:val="16"/>
                <w:color w:val="auto"/>
              </w:rPr>
              <w:t>Premium revenue</w:t>
            </w:r>
          </w:p>
        </w:tc>
        <w:tc>
          <w:tcPr>
            <w:tcW w:w="1040" w:type="dxa"/>
            <w:vAlign w:val="bottom"/>
          </w:tcPr>
          <w:p>
            <w:pPr>
              <w:jc w:val="right"/>
              <w:ind w:right="843"/>
              <w:spacing w:after="0"/>
              <w:rPr>
                <w:sz w:val="20"/>
                <w:szCs w:val="20"/>
                <w:color w:val="auto"/>
              </w:rPr>
            </w:pPr>
            <w:r>
              <w:rPr>
                <w:rFonts w:ascii="Arial" w:cs="Arial" w:eastAsia="Arial" w:hAnsi="Arial"/>
                <w:sz w:val="16"/>
                <w:szCs w:val="16"/>
                <w:color w:val="auto"/>
              </w:rPr>
              <w:t>$</w:t>
            </w:r>
          </w:p>
        </w:tc>
        <w:tc>
          <w:tcPr>
            <w:tcW w:w="580" w:type="dxa"/>
            <w:vAlign w:val="bottom"/>
          </w:tcPr>
          <w:p>
            <w:pPr>
              <w:jc w:val="right"/>
              <w:ind w:right="39"/>
              <w:spacing w:after="0"/>
              <w:rPr>
                <w:sz w:val="20"/>
                <w:szCs w:val="20"/>
                <w:color w:val="auto"/>
              </w:rPr>
            </w:pPr>
            <w:r>
              <w:rPr>
                <w:rFonts w:ascii="Arial" w:cs="Arial" w:eastAsia="Arial" w:hAnsi="Arial"/>
                <w:sz w:val="16"/>
                <w:szCs w:val="16"/>
                <w:color w:val="auto"/>
              </w:rPr>
              <w:t>4,777</w:t>
            </w:r>
          </w:p>
        </w:tc>
        <w:tc>
          <w:tcPr>
            <w:tcW w:w="100" w:type="dxa"/>
            <w:vAlign w:val="bottom"/>
          </w:tcPr>
          <w:p>
            <w:pPr>
              <w:spacing w:after="0"/>
              <w:rPr>
                <w:sz w:val="22"/>
                <w:szCs w:val="22"/>
                <w:color w:val="auto"/>
              </w:rPr>
            </w:pPr>
          </w:p>
        </w:tc>
        <w:tc>
          <w:tcPr>
            <w:tcW w:w="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300" w:type="dxa"/>
            <w:vAlign w:val="bottom"/>
          </w:tcPr>
          <w:p>
            <w:pPr>
              <w:jc w:val="right"/>
              <w:ind w:right="41"/>
              <w:spacing w:after="0"/>
              <w:rPr>
                <w:sz w:val="20"/>
                <w:szCs w:val="20"/>
                <w:color w:val="auto"/>
              </w:rPr>
            </w:pPr>
            <w:r>
              <w:rPr>
                <w:rFonts w:ascii="Arial" w:cs="Arial" w:eastAsia="Arial" w:hAnsi="Arial"/>
                <w:sz w:val="16"/>
                <w:szCs w:val="16"/>
                <w:color w:val="auto"/>
              </w:rPr>
              <w:t>4,191</w:t>
            </w:r>
          </w:p>
        </w:tc>
        <w:tc>
          <w:tcPr>
            <w:tcW w:w="100" w:type="dxa"/>
            <w:vAlign w:val="bottom"/>
          </w:tcPr>
          <w:p>
            <w:pPr>
              <w:spacing w:after="0"/>
              <w:rPr>
                <w:sz w:val="22"/>
                <w:szCs w:val="22"/>
                <w:color w:val="auto"/>
              </w:rPr>
            </w:pPr>
          </w:p>
        </w:tc>
        <w:tc>
          <w:tcPr>
            <w:tcW w:w="420" w:type="dxa"/>
            <w:vAlign w:val="bottom"/>
          </w:tcPr>
          <w:p>
            <w:pPr>
              <w:jc w:val="right"/>
              <w:ind w:right="219"/>
              <w:spacing w:after="0"/>
              <w:rPr>
                <w:sz w:val="20"/>
                <w:szCs w:val="20"/>
                <w:color w:val="auto"/>
              </w:rPr>
            </w:pPr>
            <w:r>
              <w:rPr>
                <w:rFonts w:ascii="Arial" w:cs="Arial" w:eastAsia="Arial" w:hAnsi="Arial"/>
                <w:sz w:val="16"/>
                <w:szCs w:val="16"/>
                <w:color w:val="auto"/>
              </w:rPr>
              <w:t>$</w:t>
            </w:r>
          </w:p>
        </w:tc>
        <w:tc>
          <w:tcPr>
            <w:tcW w:w="1180" w:type="dxa"/>
            <w:vAlign w:val="bottom"/>
          </w:tcPr>
          <w:p>
            <w:pPr>
              <w:jc w:val="right"/>
              <w:ind w:right="20"/>
              <w:spacing w:after="0"/>
              <w:rPr>
                <w:sz w:val="20"/>
                <w:szCs w:val="20"/>
                <w:color w:val="auto"/>
              </w:rPr>
            </w:pPr>
            <w:r>
              <w:rPr>
                <w:rFonts w:ascii="Arial" w:cs="Arial" w:eastAsia="Arial" w:hAnsi="Arial"/>
                <w:sz w:val="16"/>
                <w:szCs w:val="16"/>
                <w:color w:val="auto"/>
              </w:rPr>
              <w:t>14,165</w:t>
            </w:r>
          </w:p>
        </w:tc>
        <w:tc>
          <w:tcPr>
            <w:tcW w:w="100" w:type="dxa"/>
            <w:vAlign w:val="bottom"/>
          </w:tcPr>
          <w:p>
            <w:pPr>
              <w:spacing w:after="0"/>
              <w:rPr>
                <w:sz w:val="22"/>
                <w:szCs w:val="22"/>
                <w:color w:val="auto"/>
              </w:rPr>
            </w:pPr>
          </w:p>
        </w:tc>
        <w:tc>
          <w:tcPr>
            <w:tcW w:w="38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1220" w:type="dxa"/>
            <w:vAlign w:val="bottom"/>
          </w:tcPr>
          <w:p>
            <w:pPr>
              <w:jc w:val="right"/>
              <w:ind w:right="20"/>
              <w:spacing w:after="0"/>
              <w:rPr>
                <w:sz w:val="20"/>
                <w:szCs w:val="20"/>
                <w:color w:val="auto"/>
              </w:rPr>
            </w:pPr>
            <w:r>
              <w:rPr>
                <w:rFonts w:ascii="Arial" w:cs="Arial" w:eastAsia="Arial" w:hAnsi="Arial"/>
                <w:sz w:val="16"/>
                <w:szCs w:val="16"/>
                <w:color w:val="auto"/>
              </w:rPr>
              <w:t>12,215</w:t>
            </w:r>
          </w:p>
        </w:tc>
      </w:tr>
      <w:tr>
        <w:trPr>
          <w:trHeight w:val="278"/>
        </w:trPr>
        <w:tc>
          <w:tcPr>
            <w:tcW w:w="4700" w:type="dxa"/>
            <w:vAlign w:val="bottom"/>
            <w:shd w:val="clear" w:color="auto" w:fill="CCEEFF"/>
          </w:tcPr>
          <w:p>
            <w:pPr>
              <w:ind w:left="280"/>
              <w:spacing w:after="0"/>
              <w:rPr>
                <w:sz w:val="20"/>
                <w:szCs w:val="20"/>
                <w:color w:val="auto"/>
              </w:rPr>
            </w:pPr>
            <w:r>
              <w:rPr>
                <w:rFonts w:ascii="Arial" w:cs="Arial" w:eastAsia="Arial" w:hAnsi="Arial"/>
                <w:sz w:val="16"/>
                <w:szCs w:val="16"/>
                <w:color w:val="auto"/>
              </w:rPr>
              <w:t>Service revenue</w:t>
            </w:r>
          </w:p>
        </w:tc>
        <w:tc>
          <w:tcPr>
            <w:tcW w:w="1040" w:type="dxa"/>
            <w:vAlign w:val="bottom"/>
            <w:shd w:val="clear" w:color="auto" w:fill="CCEEFF"/>
          </w:tcPr>
          <w:p>
            <w:pPr>
              <w:spacing w:after="0"/>
              <w:rPr>
                <w:sz w:val="24"/>
                <w:szCs w:val="24"/>
                <w:color w:val="auto"/>
              </w:rPr>
            </w:pPr>
          </w:p>
        </w:tc>
        <w:tc>
          <w:tcPr>
            <w:tcW w:w="5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130</w:t>
            </w: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30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133</w:t>
            </w:r>
          </w:p>
        </w:tc>
        <w:tc>
          <w:tcPr>
            <w:tcW w:w="10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118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390</w:t>
            </w: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408</w:t>
            </w:r>
          </w:p>
        </w:tc>
      </w:tr>
      <w:tr>
        <w:trPr>
          <w:trHeight w:val="262"/>
        </w:trPr>
        <w:tc>
          <w:tcPr>
            <w:tcW w:w="4700" w:type="dxa"/>
            <w:vAlign w:val="bottom"/>
          </w:tcPr>
          <w:p>
            <w:pPr>
              <w:ind w:left="280"/>
              <w:spacing w:after="0"/>
              <w:rPr>
                <w:sz w:val="20"/>
                <w:szCs w:val="20"/>
                <w:color w:val="auto"/>
              </w:rPr>
            </w:pPr>
            <w:r>
              <w:rPr>
                <w:rFonts w:ascii="Arial" w:cs="Arial" w:eastAsia="Arial" w:hAnsi="Arial"/>
                <w:sz w:val="16"/>
                <w:szCs w:val="16"/>
                <w:color w:val="auto"/>
              </w:rPr>
              <w:t>Premium tax revenue</w:t>
            </w:r>
          </w:p>
        </w:tc>
        <w:tc>
          <w:tcPr>
            <w:tcW w:w="1040" w:type="dxa"/>
            <w:vAlign w:val="bottom"/>
          </w:tcPr>
          <w:p>
            <w:pPr>
              <w:spacing w:after="0"/>
              <w:rPr>
                <w:sz w:val="22"/>
                <w:szCs w:val="22"/>
                <w:color w:val="auto"/>
              </w:rPr>
            </w:pPr>
          </w:p>
        </w:tc>
        <w:tc>
          <w:tcPr>
            <w:tcW w:w="580" w:type="dxa"/>
            <w:vAlign w:val="bottom"/>
          </w:tcPr>
          <w:p>
            <w:pPr>
              <w:jc w:val="right"/>
              <w:ind w:right="39"/>
              <w:spacing w:after="0"/>
              <w:rPr>
                <w:sz w:val="20"/>
                <w:szCs w:val="20"/>
                <w:color w:val="auto"/>
              </w:rPr>
            </w:pPr>
            <w:r>
              <w:rPr>
                <w:rFonts w:ascii="Arial" w:cs="Arial" w:eastAsia="Arial" w:hAnsi="Arial"/>
                <w:sz w:val="16"/>
                <w:szCs w:val="16"/>
                <w:color w:val="auto"/>
              </w:rPr>
              <w:t>106</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300" w:type="dxa"/>
            <w:vAlign w:val="bottom"/>
          </w:tcPr>
          <w:p>
            <w:pPr>
              <w:jc w:val="right"/>
              <w:ind w:right="41"/>
              <w:spacing w:after="0"/>
              <w:rPr>
                <w:sz w:val="20"/>
                <w:szCs w:val="20"/>
                <w:color w:val="auto"/>
              </w:rPr>
            </w:pPr>
            <w:r>
              <w:rPr>
                <w:rFonts w:ascii="Arial" w:cs="Arial" w:eastAsia="Arial" w:hAnsi="Arial"/>
                <w:sz w:val="16"/>
                <w:szCs w:val="16"/>
                <w:color w:val="auto"/>
              </w:rPr>
              <w:t>127</w:t>
            </w:r>
          </w:p>
        </w:tc>
        <w:tc>
          <w:tcPr>
            <w:tcW w:w="1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180" w:type="dxa"/>
            <w:vAlign w:val="bottom"/>
          </w:tcPr>
          <w:p>
            <w:pPr>
              <w:jc w:val="right"/>
              <w:ind w:right="20"/>
              <w:spacing w:after="0"/>
              <w:rPr>
                <w:sz w:val="20"/>
                <w:szCs w:val="20"/>
                <w:color w:val="auto"/>
              </w:rPr>
            </w:pPr>
            <w:r>
              <w:rPr>
                <w:rFonts w:ascii="Arial" w:cs="Arial" w:eastAsia="Arial" w:hAnsi="Arial"/>
                <w:sz w:val="16"/>
                <w:szCs w:val="16"/>
                <w:color w:val="auto"/>
              </w:rPr>
              <w:t>331</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20" w:type="dxa"/>
            <w:vAlign w:val="bottom"/>
          </w:tcPr>
          <w:p>
            <w:pPr>
              <w:jc w:val="right"/>
              <w:ind w:right="20"/>
              <w:spacing w:after="0"/>
              <w:rPr>
                <w:sz w:val="20"/>
                <w:szCs w:val="20"/>
                <w:color w:val="auto"/>
              </w:rPr>
            </w:pPr>
            <w:r>
              <w:rPr>
                <w:rFonts w:ascii="Arial" w:cs="Arial" w:eastAsia="Arial" w:hAnsi="Arial"/>
                <w:sz w:val="16"/>
                <w:szCs w:val="16"/>
                <w:color w:val="auto"/>
              </w:rPr>
              <w:t>345</w:t>
            </w:r>
          </w:p>
        </w:tc>
      </w:tr>
      <w:tr>
        <w:trPr>
          <w:trHeight w:val="278"/>
        </w:trPr>
        <w:tc>
          <w:tcPr>
            <w:tcW w:w="4700" w:type="dxa"/>
            <w:vAlign w:val="bottom"/>
            <w:shd w:val="clear" w:color="auto" w:fill="CCEEFF"/>
          </w:tcPr>
          <w:p>
            <w:pPr>
              <w:ind w:left="280"/>
              <w:spacing w:after="0"/>
              <w:rPr>
                <w:sz w:val="20"/>
                <w:szCs w:val="20"/>
                <w:color w:val="auto"/>
              </w:rPr>
            </w:pPr>
            <w:r>
              <w:rPr>
                <w:rFonts w:ascii="Arial" w:cs="Arial" w:eastAsia="Arial" w:hAnsi="Arial"/>
                <w:sz w:val="16"/>
                <w:szCs w:val="16"/>
                <w:color w:val="auto"/>
              </w:rPr>
              <w:t>Health insurer fee revenue</w:t>
            </w:r>
          </w:p>
        </w:tc>
        <w:tc>
          <w:tcPr>
            <w:tcW w:w="1040" w:type="dxa"/>
            <w:vAlign w:val="bottom"/>
            <w:shd w:val="clear" w:color="auto" w:fill="CCEEFF"/>
          </w:tcPr>
          <w:p>
            <w:pPr>
              <w:spacing w:after="0"/>
              <w:rPr>
                <w:sz w:val="24"/>
                <w:szCs w:val="24"/>
                <w:color w:val="auto"/>
              </w:rPr>
            </w:pPr>
          </w:p>
        </w:tc>
        <w:tc>
          <w:tcPr>
            <w:tcW w:w="6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00" w:type="dxa"/>
            <w:vAlign w:val="bottom"/>
            <w:shd w:val="clear" w:color="auto" w:fill="CCEEFF"/>
          </w:tcPr>
          <w:p>
            <w:pPr>
              <w:spacing w:after="0"/>
              <w:rPr>
                <w:sz w:val="24"/>
                <w:szCs w:val="24"/>
                <w:color w:val="auto"/>
              </w:rPr>
            </w:pPr>
          </w:p>
        </w:tc>
        <w:tc>
          <w:tcPr>
            <w:tcW w:w="130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85</w:t>
            </w:r>
          </w:p>
        </w:tc>
        <w:tc>
          <w:tcPr>
            <w:tcW w:w="10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128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38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251</w:t>
            </w:r>
          </w:p>
        </w:tc>
      </w:tr>
      <w:tr>
        <w:trPr>
          <w:trHeight w:val="264"/>
        </w:trPr>
        <w:tc>
          <w:tcPr>
            <w:tcW w:w="4700" w:type="dxa"/>
            <w:vAlign w:val="bottom"/>
            <w:tcBorders>
              <w:bottom w:val="single" w:sz="8" w:color="CCEEFF"/>
            </w:tcBorders>
          </w:tcPr>
          <w:p>
            <w:pPr>
              <w:ind w:left="280"/>
              <w:spacing w:after="0"/>
              <w:rPr>
                <w:sz w:val="20"/>
                <w:szCs w:val="20"/>
                <w:color w:val="auto"/>
              </w:rPr>
            </w:pPr>
            <w:r>
              <w:rPr>
                <w:rFonts w:ascii="Arial" w:cs="Arial" w:eastAsia="Arial" w:hAnsi="Arial"/>
                <w:sz w:val="16"/>
                <w:szCs w:val="16"/>
                <w:color w:val="auto"/>
              </w:rPr>
              <w:t>Investment income and other revenue</w:t>
            </w:r>
          </w:p>
        </w:tc>
        <w:tc>
          <w:tcPr>
            <w:tcW w:w="1040" w:type="dxa"/>
            <w:vAlign w:val="bottom"/>
            <w:tcBorders>
              <w:bottom w:val="single" w:sz="8" w:color="auto"/>
            </w:tcBorders>
          </w:tcPr>
          <w:p>
            <w:pPr>
              <w:spacing w:after="0"/>
              <w:rPr>
                <w:sz w:val="22"/>
                <w:szCs w:val="22"/>
                <w:color w:val="auto"/>
              </w:rPr>
            </w:pPr>
          </w:p>
        </w:tc>
        <w:tc>
          <w:tcPr>
            <w:tcW w:w="5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18</w:t>
            </w: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10</w:t>
            </w:r>
          </w:p>
        </w:tc>
        <w:tc>
          <w:tcPr>
            <w:tcW w:w="100" w:type="dxa"/>
            <w:vAlign w:val="bottom"/>
            <w:tcBorders>
              <w:bottom w:val="single" w:sz="8" w:color="CCEEFF"/>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48</w:t>
            </w:r>
          </w:p>
        </w:tc>
        <w:tc>
          <w:tcPr>
            <w:tcW w:w="10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29</w:t>
            </w:r>
          </w:p>
        </w:tc>
      </w:tr>
      <w:tr>
        <w:trPr>
          <w:trHeight w:val="257"/>
        </w:trPr>
        <w:tc>
          <w:tcPr>
            <w:tcW w:w="4700" w:type="dxa"/>
            <w:vAlign w:val="bottom"/>
            <w:shd w:val="clear" w:color="auto" w:fill="CCEEFF"/>
          </w:tcPr>
          <w:p>
            <w:pPr>
              <w:ind w:left="500"/>
              <w:spacing w:after="0"/>
              <w:rPr>
                <w:sz w:val="20"/>
                <w:szCs w:val="20"/>
                <w:color w:val="auto"/>
              </w:rPr>
            </w:pPr>
            <w:r>
              <w:rPr>
                <w:rFonts w:ascii="Arial" w:cs="Arial" w:eastAsia="Arial" w:hAnsi="Arial"/>
                <w:sz w:val="16"/>
                <w:szCs w:val="16"/>
                <w:color w:val="auto"/>
              </w:rPr>
              <w:t>Total revenue</w:t>
            </w:r>
          </w:p>
        </w:tc>
        <w:tc>
          <w:tcPr>
            <w:tcW w:w="1040" w:type="dxa"/>
            <w:vAlign w:val="bottom"/>
            <w:tcBorders>
              <w:bottom w:val="single" w:sz="8" w:color="auto"/>
            </w:tcBorders>
            <w:shd w:val="clear" w:color="auto" w:fill="CCEEFF"/>
          </w:tcPr>
          <w:p>
            <w:pPr>
              <w:spacing w:after="0"/>
              <w:rPr>
                <w:sz w:val="22"/>
                <w:szCs w:val="22"/>
                <w:color w:val="auto"/>
              </w:rPr>
            </w:pPr>
          </w:p>
        </w:tc>
        <w:tc>
          <w:tcPr>
            <w:tcW w:w="58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5,031</w:t>
            </w:r>
          </w:p>
        </w:tc>
        <w:tc>
          <w:tcPr>
            <w:tcW w:w="100" w:type="dxa"/>
            <w:vAlign w:val="bottom"/>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spacing w:after="0"/>
              <w:rPr>
                <w:sz w:val="22"/>
                <w:szCs w:val="22"/>
                <w:color w:val="auto"/>
              </w:rPr>
            </w:pPr>
          </w:p>
        </w:tc>
        <w:tc>
          <w:tcPr>
            <w:tcW w:w="130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color w:val="auto"/>
              </w:rPr>
              <w:t>4,546</w:t>
            </w:r>
          </w:p>
        </w:tc>
        <w:tc>
          <w:tcPr>
            <w:tcW w:w="100" w:type="dxa"/>
            <w:vAlign w:val="bottom"/>
            <w:shd w:val="clear" w:color="auto" w:fill="CCEEFF"/>
          </w:tcPr>
          <w:p>
            <w:pPr>
              <w:spacing w:after="0"/>
              <w:rPr>
                <w:sz w:val="22"/>
                <w:szCs w:val="22"/>
                <w:color w:val="auto"/>
              </w:rPr>
            </w:pPr>
          </w:p>
        </w:tc>
        <w:tc>
          <w:tcPr>
            <w:tcW w:w="420" w:type="dxa"/>
            <w:vAlign w:val="bottom"/>
            <w:tcBorders>
              <w:bottom w:val="single" w:sz="8" w:color="auto"/>
            </w:tcBorders>
            <w:shd w:val="clear" w:color="auto" w:fill="CCEEFF"/>
          </w:tcPr>
          <w:p>
            <w:pPr>
              <w:spacing w:after="0"/>
              <w:rPr>
                <w:sz w:val="22"/>
                <w:szCs w:val="22"/>
                <w:color w:val="auto"/>
              </w:rPr>
            </w:pPr>
          </w:p>
        </w:tc>
        <w:tc>
          <w:tcPr>
            <w:tcW w:w="118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14,934</w:t>
            </w:r>
          </w:p>
        </w:tc>
        <w:tc>
          <w:tcPr>
            <w:tcW w:w="100" w:type="dxa"/>
            <w:vAlign w:val="bottom"/>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spacing w:after="0"/>
              <w:rPr>
                <w:sz w:val="22"/>
                <w:szCs w:val="22"/>
                <w:color w:val="auto"/>
              </w:rPr>
            </w:pPr>
          </w:p>
        </w:tc>
        <w:tc>
          <w:tcPr>
            <w:tcW w:w="122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13,248</w:t>
            </w:r>
          </w:p>
        </w:tc>
      </w:tr>
      <w:tr>
        <w:trPr>
          <w:trHeight w:val="256"/>
        </w:trPr>
        <w:tc>
          <w:tcPr>
            <w:tcW w:w="4700" w:type="dxa"/>
            <w:vAlign w:val="bottom"/>
          </w:tcPr>
          <w:p>
            <w:pPr>
              <w:ind w:left="40"/>
              <w:spacing w:after="0"/>
              <w:rPr>
                <w:sz w:val="20"/>
                <w:szCs w:val="20"/>
                <w:color w:val="auto"/>
              </w:rPr>
            </w:pPr>
            <w:r>
              <w:rPr>
                <w:rFonts w:ascii="Arial" w:cs="Arial" w:eastAsia="Arial" w:hAnsi="Arial"/>
                <w:sz w:val="16"/>
                <w:szCs w:val="16"/>
                <w:color w:val="auto"/>
              </w:rPr>
              <w:t>Operating expenses:</w:t>
            </w:r>
          </w:p>
        </w:tc>
        <w:tc>
          <w:tcPr>
            <w:tcW w:w="104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20" w:type="dxa"/>
            <w:vAlign w:val="bottom"/>
          </w:tcPr>
          <w:p>
            <w:pPr>
              <w:spacing w:after="0"/>
              <w:rPr>
                <w:sz w:val="22"/>
                <w:szCs w:val="22"/>
                <w:color w:val="auto"/>
              </w:rPr>
            </w:pPr>
          </w:p>
        </w:tc>
      </w:tr>
      <w:tr>
        <w:trPr>
          <w:trHeight w:val="278"/>
        </w:trPr>
        <w:tc>
          <w:tcPr>
            <w:tcW w:w="4700" w:type="dxa"/>
            <w:vAlign w:val="bottom"/>
            <w:shd w:val="clear" w:color="auto" w:fill="CCEEFF"/>
          </w:tcPr>
          <w:p>
            <w:pPr>
              <w:ind w:left="280"/>
              <w:spacing w:after="0"/>
              <w:rPr>
                <w:sz w:val="20"/>
                <w:szCs w:val="20"/>
                <w:color w:val="auto"/>
              </w:rPr>
            </w:pPr>
            <w:r>
              <w:rPr>
                <w:rFonts w:ascii="Arial" w:cs="Arial" w:eastAsia="Arial" w:hAnsi="Arial"/>
                <w:sz w:val="16"/>
                <w:szCs w:val="16"/>
                <w:color w:val="auto"/>
              </w:rPr>
              <w:t>Medical care costs</w:t>
            </w:r>
          </w:p>
        </w:tc>
        <w:tc>
          <w:tcPr>
            <w:tcW w:w="1040" w:type="dxa"/>
            <w:vAlign w:val="bottom"/>
            <w:shd w:val="clear" w:color="auto" w:fill="CCEEFF"/>
          </w:tcPr>
          <w:p>
            <w:pPr>
              <w:spacing w:after="0"/>
              <w:rPr>
                <w:sz w:val="24"/>
                <w:szCs w:val="24"/>
                <w:color w:val="auto"/>
              </w:rPr>
            </w:pPr>
          </w:p>
        </w:tc>
        <w:tc>
          <w:tcPr>
            <w:tcW w:w="5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4,220</w:t>
            </w: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30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3,748</w:t>
            </w:r>
          </w:p>
        </w:tc>
        <w:tc>
          <w:tcPr>
            <w:tcW w:w="10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118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12,822</w:t>
            </w: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10,930</w:t>
            </w:r>
          </w:p>
        </w:tc>
      </w:tr>
      <w:tr>
        <w:trPr>
          <w:trHeight w:val="262"/>
        </w:trPr>
        <w:tc>
          <w:tcPr>
            <w:tcW w:w="4700" w:type="dxa"/>
            <w:vAlign w:val="bottom"/>
          </w:tcPr>
          <w:p>
            <w:pPr>
              <w:ind w:left="280"/>
              <w:spacing w:after="0"/>
              <w:rPr>
                <w:sz w:val="20"/>
                <w:szCs w:val="20"/>
                <w:color w:val="auto"/>
              </w:rPr>
            </w:pPr>
            <w:r>
              <w:rPr>
                <w:rFonts w:ascii="Arial" w:cs="Arial" w:eastAsia="Arial" w:hAnsi="Arial"/>
                <w:sz w:val="16"/>
                <w:szCs w:val="16"/>
                <w:color w:val="auto"/>
              </w:rPr>
              <w:t>Cost of service revenue</w:t>
            </w:r>
          </w:p>
        </w:tc>
        <w:tc>
          <w:tcPr>
            <w:tcW w:w="1040" w:type="dxa"/>
            <w:vAlign w:val="bottom"/>
          </w:tcPr>
          <w:p>
            <w:pPr>
              <w:spacing w:after="0"/>
              <w:rPr>
                <w:sz w:val="22"/>
                <w:szCs w:val="22"/>
                <w:color w:val="auto"/>
              </w:rPr>
            </w:pPr>
          </w:p>
        </w:tc>
        <w:tc>
          <w:tcPr>
            <w:tcW w:w="580" w:type="dxa"/>
            <w:vAlign w:val="bottom"/>
          </w:tcPr>
          <w:p>
            <w:pPr>
              <w:jc w:val="right"/>
              <w:ind w:right="39"/>
              <w:spacing w:after="0"/>
              <w:rPr>
                <w:sz w:val="20"/>
                <w:szCs w:val="20"/>
                <w:color w:val="auto"/>
              </w:rPr>
            </w:pPr>
            <w:r>
              <w:rPr>
                <w:rFonts w:ascii="Arial" w:cs="Arial" w:eastAsia="Arial" w:hAnsi="Arial"/>
                <w:sz w:val="16"/>
                <w:szCs w:val="16"/>
                <w:color w:val="auto"/>
              </w:rPr>
              <w:t>123</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300" w:type="dxa"/>
            <w:vAlign w:val="bottom"/>
          </w:tcPr>
          <w:p>
            <w:pPr>
              <w:jc w:val="right"/>
              <w:ind w:right="41"/>
              <w:spacing w:after="0"/>
              <w:rPr>
                <w:sz w:val="20"/>
                <w:szCs w:val="20"/>
                <w:color w:val="auto"/>
              </w:rPr>
            </w:pPr>
            <w:r>
              <w:rPr>
                <w:rFonts w:ascii="Arial" w:cs="Arial" w:eastAsia="Arial" w:hAnsi="Arial"/>
                <w:sz w:val="16"/>
                <w:szCs w:val="16"/>
                <w:color w:val="auto"/>
              </w:rPr>
              <w:t>119</w:t>
            </w:r>
          </w:p>
        </w:tc>
        <w:tc>
          <w:tcPr>
            <w:tcW w:w="1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180" w:type="dxa"/>
            <w:vAlign w:val="bottom"/>
          </w:tcPr>
          <w:p>
            <w:pPr>
              <w:jc w:val="right"/>
              <w:ind w:right="20"/>
              <w:spacing w:after="0"/>
              <w:rPr>
                <w:sz w:val="20"/>
                <w:szCs w:val="20"/>
                <w:color w:val="auto"/>
              </w:rPr>
            </w:pPr>
            <w:r>
              <w:rPr>
                <w:rFonts w:ascii="Arial" w:cs="Arial" w:eastAsia="Arial" w:hAnsi="Arial"/>
                <w:sz w:val="16"/>
                <w:szCs w:val="16"/>
                <w:color w:val="auto"/>
              </w:rPr>
              <w:t>369</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20" w:type="dxa"/>
            <w:vAlign w:val="bottom"/>
          </w:tcPr>
          <w:p>
            <w:pPr>
              <w:jc w:val="right"/>
              <w:ind w:right="20"/>
              <w:spacing w:after="0"/>
              <w:rPr>
                <w:sz w:val="20"/>
                <w:szCs w:val="20"/>
                <w:color w:val="auto"/>
              </w:rPr>
            </w:pPr>
            <w:r>
              <w:rPr>
                <w:rFonts w:ascii="Arial" w:cs="Arial" w:eastAsia="Arial" w:hAnsi="Arial"/>
                <w:sz w:val="16"/>
                <w:szCs w:val="16"/>
                <w:color w:val="auto"/>
              </w:rPr>
              <w:t>362</w:t>
            </w:r>
          </w:p>
        </w:tc>
      </w:tr>
      <w:tr>
        <w:trPr>
          <w:trHeight w:val="278"/>
        </w:trPr>
        <w:tc>
          <w:tcPr>
            <w:tcW w:w="4700" w:type="dxa"/>
            <w:vAlign w:val="bottom"/>
            <w:shd w:val="clear" w:color="auto" w:fill="CCEEFF"/>
          </w:tcPr>
          <w:p>
            <w:pPr>
              <w:ind w:left="280"/>
              <w:spacing w:after="0"/>
              <w:rPr>
                <w:sz w:val="20"/>
                <w:szCs w:val="20"/>
                <w:color w:val="auto"/>
              </w:rPr>
            </w:pPr>
            <w:r>
              <w:rPr>
                <w:rFonts w:ascii="Arial" w:cs="Arial" w:eastAsia="Arial" w:hAnsi="Arial"/>
                <w:sz w:val="16"/>
                <w:szCs w:val="16"/>
                <w:color w:val="auto"/>
              </w:rPr>
              <w:t>General and administrative expenses</w:t>
            </w:r>
          </w:p>
        </w:tc>
        <w:tc>
          <w:tcPr>
            <w:tcW w:w="1040" w:type="dxa"/>
            <w:vAlign w:val="bottom"/>
            <w:shd w:val="clear" w:color="auto" w:fill="CCEEFF"/>
          </w:tcPr>
          <w:p>
            <w:pPr>
              <w:spacing w:after="0"/>
              <w:rPr>
                <w:sz w:val="24"/>
                <w:szCs w:val="24"/>
                <w:color w:val="auto"/>
              </w:rPr>
            </w:pPr>
          </w:p>
        </w:tc>
        <w:tc>
          <w:tcPr>
            <w:tcW w:w="5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383</w:t>
            </w: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30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343</w:t>
            </w:r>
          </w:p>
        </w:tc>
        <w:tc>
          <w:tcPr>
            <w:tcW w:w="10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118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1,227</w:t>
            </w: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1,034</w:t>
            </w:r>
          </w:p>
        </w:tc>
      </w:tr>
      <w:tr>
        <w:trPr>
          <w:trHeight w:val="262"/>
        </w:trPr>
        <w:tc>
          <w:tcPr>
            <w:tcW w:w="4700" w:type="dxa"/>
            <w:vAlign w:val="bottom"/>
          </w:tcPr>
          <w:p>
            <w:pPr>
              <w:ind w:left="280"/>
              <w:spacing w:after="0"/>
              <w:rPr>
                <w:sz w:val="20"/>
                <w:szCs w:val="20"/>
                <w:color w:val="auto"/>
              </w:rPr>
            </w:pPr>
            <w:r>
              <w:rPr>
                <w:rFonts w:ascii="Arial" w:cs="Arial" w:eastAsia="Arial" w:hAnsi="Arial"/>
                <w:sz w:val="16"/>
                <w:szCs w:val="16"/>
                <w:color w:val="auto"/>
              </w:rPr>
              <w:t>Premium tax expenses</w:t>
            </w:r>
          </w:p>
        </w:tc>
        <w:tc>
          <w:tcPr>
            <w:tcW w:w="1040" w:type="dxa"/>
            <w:vAlign w:val="bottom"/>
          </w:tcPr>
          <w:p>
            <w:pPr>
              <w:spacing w:after="0"/>
              <w:rPr>
                <w:sz w:val="22"/>
                <w:szCs w:val="22"/>
                <w:color w:val="auto"/>
              </w:rPr>
            </w:pPr>
          </w:p>
        </w:tc>
        <w:tc>
          <w:tcPr>
            <w:tcW w:w="580" w:type="dxa"/>
            <w:vAlign w:val="bottom"/>
          </w:tcPr>
          <w:p>
            <w:pPr>
              <w:jc w:val="right"/>
              <w:ind w:right="39"/>
              <w:spacing w:after="0"/>
              <w:rPr>
                <w:sz w:val="20"/>
                <w:szCs w:val="20"/>
                <w:color w:val="auto"/>
              </w:rPr>
            </w:pPr>
            <w:r>
              <w:rPr>
                <w:rFonts w:ascii="Arial" w:cs="Arial" w:eastAsia="Arial" w:hAnsi="Arial"/>
                <w:sz w:val="16"/>
                <w:szCs w:val="16"/>
                <w:color w:val="auto"/>
              </w:rPr>
              <w:t>106</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300" w:type="dxa"/>
            <w:vAlign w:val="bottom"/>
          </w:tcPr>
          <w:p>
            <w:pPr>
              <w:jc w:val="right"/>
              <w:ind w:right="41"/>
              <w:spacing w:after="0"/>
              <w:rPr>
                <w:sz w:val="20"/>
                <w:szCs w:val="20"/>
                <w:color w:val="auto"/>
              </w:rPr>
            </w:pPr>
            <w:r>
              <w:rPr>
                <w:rFonts w:ascii="Arial" w:cs="Arial" w:eastAsia="Arial" w:hAnsi="Arial"/>
                <w:sz w:val="16"/>
                <w:szCs w:val="16"/>
                <w:color w:val="auto"/>
              </w:rPr>
              <w:t>127</w:t>
            </w:r>
          </w:p>
        </w:tc>
        <w:tc>
          <w:tcPr>
            <w:tcW w:w="1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180" w:type="dxa"/>
            <w:vAlign w:val="bottom"/>
          </w:tcPr>
          <w:p>
            <w:pPr>
              <w:jc w:val="right"/>
              <w:ind w:right="20"/>
              <w:spacing w:after="0"/>
              <w:rPr>
                <w:sz w:val="20"/>
                <w:szCs w:val="20"/>
                <w:color w:val="auto"/>
              </w:rPr>
            </w:pPr>
            <w:r>
              <w:rPr>
                <w:rFonts w:ascii="Arial" w:cs="Arial" w:eastAsia="Arial" w:hAnsi="Arial"/>
                <w:sz w:val="16"/>
                <w:szCs w:val="16"/>
                <w:color w:val="auto"/>
              </w:rPr>
              <w:t>331</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20" w:type="dxa"/>
            <w:vAlign w:val="bottom"/>
          </w:tcPr>
          <w:p>
            <w:pPr>
              <w:jc w:val="right"/>
              <w:ind w:right="20"/>
              <w:spacing w:after="0"/>
              <w:rPr>
                <w:sz w:val="20"/>
                <w:szCs w:val="20"/>
                <w:color w:val="auto"/>
              </w:rPr>
            </w:pPr>
            <w:r>
              <w:rPr>
                <w:rFonts w:ascii="Arial" w:cs="Arial" w:eastAsia="Arial" w:hAnsi="Arial"/>
                <w:sz w:val="16"/>
                <w:szCs w:val="16"/>
                <w:color w:val="auto"/>
              </w:rPr>
              <w:t>345</w:t>
            </w:r>
          </w:p>
        </w:tc>
      </w:tr>
      <w:tr>
        <w:trPr>
          <w:trHeight w:val="278"/>
        </w:trPr>
        <w:tc>
          <w:tcPr>
            <w:tcW w:w="4700" w:type="dxa"/>
            <w:vAlign w:val="bottom"/>
            <w:shd w:val="clear" w:color="auto" w:fill="CCEEFF"/>
          </w:tcPr>
          <w:p>
            <w:pPr>
              <w:ind w:left="280"/>
              <w:spacing w:after="0"/>
              <w:rPr>
                <w:sz w:val="20"/>
                <w:szCs w:val="20"/>
                <w:color w:val="auto"/>
              </w:rPr>
            </w:pPr>
            <w:r>
              <w:rPr>
                <w:rFonts w:ascii="Arial" w:cs="Arial" w:eastAsia="Arial" w:hAnsi="Arial"/>
                <w:sz w:val="16"/>
                <w:szCs w:val="16"/>
                <w:color w:val="auto"/>
              </w:rPr>
              <w:t>Health insurer fee expenses</w:t>
            </w:r>
          </w:p>
        </w:tc>
        <w:tc>
          <w:tcPr>
            <w:tcW w:w="1040" w:type="dxa"/>
            <w:vAlign w:val="bottom"/>
            <w:shd w:val="clear" w:color="auto" w:fill="CCEEFF"/>
          </w:tcPr>
          <w:p>
            <w:pPr>
              <w:spacing w:after="0"/>
              <w:rPr>
                <w:sz w:val="24"/>
                <w:szCs w:val="24"/>
                <w:color w:val="auto"/>
              </w:rPr>
            </w:pPr>
          </w:p>
        </w:tc>
        <w:tc>
          <w:tcPr>
            <w:tcW w:w="6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00" w:type="dxa"/>
            <w:vAlign w:val="bottom"/>
            <w:shd w:val="clear" w:color="auto" w:fill="CCEEFF"/>
          </w:tcPr>
          <w:p>
            <w:pPr>
              <w:spacing w:after="0"/>
              <w:rPr>
                <w:sz w:val="24"/>
                <w:szCs w:val="24"/>
                <w:color w:val="auto"/>
              </w:rPr>
            </w:pPr>
          </w:p>
        </w:tc>
        <w:tc>
          <w:tcPr>
            <w:tcW w:w="130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55</w:t>
            </w:r>
          </w:p>
        </w:tc>
        <w:tc>
          <w:tcPr>
            <w:tcW w:w="10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128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38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163</w:t>
            </w:r>
          </w:p>
        </w:tc>
      </w:tr>
      <w:tr>
        <w:trPr>
          <w:trHeight w:val="262"/>
        </w:trPr>
        <w:tc>
          <w:tcPr>
            <w:tcW w:w="4700" w:type="dxa"/>
            <w:vAlign w:val="bottom"/>
          </w:tcPr>
          <w:p>
            <w:pPr>
              <w:ind w:left="280"/>
              <w:spacing w:after="0"/>
              <w:rPr>
                <w:sz w:val="20"/>
                <w:szCs w:val="20"/>
                <w:color w:val="auto"/>
              </w:rPr>
            </w:pPr>
            <w:r>
              <w:rPr>
                <w:rFonts w:ascii="Arial" w:cs="Arial" w:eastAsia="Arial" w:hAnsi="Arial"/>
                <w:sz w:val="16"/>
                <w:szCs w:val="16"/>
                <w:color w:val="auto"/>
              </w:rPr>
              <w:t>Depreciation and amortization</w:t>
            </w:r>
          </w:p>
        </w:tc>
        <w:tc>
          <w:tcPr>
            <w:tcW w:w="1040" w:type="dxa"/>
            <w:vAlign w:val="bottom"/>
          </w:tcPr>
          <w:p>
            <w:pPr>
              <w:spacing w:after="0"/>
              <w:rPr>
                <w:sz w:val="22"/>
                <w:szCs w:val="22"/>
                <w:color w:val="auto"/>
              </w:rPr>
            </w:pPr>
          </w:p>
        </w:tc>
        <w:tc>
          <w:tcPr>
            <w:tcW w:w="580" w:type="dxa"/>
            <w:vAlign w:val="bottom"/>
          </w:tcPr>
          <w:p>
            <w:pPr>
              <w:jc w:val="right"/>
              <w:ind w:right="39"/>
              <w:spacing w:after="0"/>
              <w:rPr>
                <w:sz w:val="20"/>
                <w:szCs w:val="20"/>
                <w:color w:val="auto"/>
              </w:rPr>
            </w:pPr>
            <w:r>
              <w:rPr>
                <w:rFonts w:ascii="Arial" w:cs="Arial" w:eastAsia="Arial" w:hAnsi="Arial"/>
                <w:sz w:val="16"/>
                <w:szCs w:val="16"/>
                <w:color w:val="auto"/>
              </w:rPr>
              <w:t>33</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300" w:type="dxa"/>
            <w:vAlign w:val="bottom"/>
          </w:tcPr>
          <w:p>
            <w:pPr>
              <w:jc w:val="right"/>
              <w:ind w:right="41"/>
              <w:spacing w:after="0"/>
              <w:rPr>
                <w:sz w:val="20"/>
                <w:szCs w:val="20"/>
                <w:color w:val="auto"/>
              </w:rPr>
            </w:pPr>
            <w:r>
              <w:rPr>
                <w:rFonts w:ascii="Arial" w:cs="Arial" w:eastAsia="Arial" w:hAnsi="Arial"/>
                <w:sz w:val="16"/>
                <w:szCs w:val="16"/>
                <w:color w:val="auto"/>
              </w:rPr>
              <w:t>36</w:t>
            </w:r>
          </w:p>
        </w:tc>
        <w:tc>
          <w:tcPr>
            <w:tcW w:w="1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180" w:type="dxa"/>
            <w:vAlign w:val="bottom"/>
          </w:tcPr>
          <w:p>
            <w:pPr>
              <w:jc w:val="right"/>
              <w:ind w:right="20"/>
              <w:spacing w:after="0"/>
              <w:rPr>
                <w:sz w:val="20"/>
                <w:szCs w:val="20"/>
                <w:color w:val="auto"/>
              </w:rPr>
            </w:pPr>
            <w:r>
              <w:rPr>
                <w:rFonts w:ascii="Arial" w:cs="Arial" w:eastAsia="Arial" w:hAnsi="Arial"/>
                <w:sz w:val="16"/>
                <w:szCs w:val="16"/>
                <w:color w:val="auto"/>
              </w:rPr>
              <w:t>109</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20" w:type="dxa"/>
            <w:vAlign w:val="bottom"/>
          </w:tcPr>
          <w:p>
            <w:pPr>
              <w:jc w:val="right"/>
              <w:ind w:right="20"/>
              <w:spacing w:after="0"/>
              <w:rPr>
                <w:sz w:val="20"/>
                <w:szCs w:val="20"/>
                <w:color w:val="auto"/>
              </w:rPr>
            </w:pPr>
            <w:r>
              <w:rPr>
                <w:rFonts w:ascii="Arial" w:cs="Arial" w:eastAsia="Arial" w:hAnsi="Arial"/>
                <w:sz w:val="16"/>
                <w:szCs w:val="16"/>
                <w:color w:val="auto"/>
              </w:rPr>
              <w:t>102</w:t>
            </w:r>
          </w:p>
        </w:tc>
      </w:tr>
      <w:tr>
        <w:trPr>
          <w:trHeight w:val="278"/>
        </w:trPr>
        <w:tc>
          <w:tcPr>
            <w:tcW w:w="4700" w:type="dxa"/>
            <w:vAlign w:val="bottom"/>
            <w:shd w:val="clear" w:color="auto" w:fill="CCEEFF"/>
          </w:tcPr>
          <w:p>
            <w:pPr>
              <w:ind w:left="280"/>
              <w:spacing w:after="0"/>
              <w:rPr>
                <w:sz w:val="20"/>
                <w:szCs w:val="20"/>
                <w:color w:val="auto"/>
              </w:rPr>
            </w:pPr>
            <w:r>
              <w:rPr>
                <w:rFonts w:ascii="Arial" w:cs="Arial" w:eastAsia="Arial" w:hAnsi="Arial"/>
                <w:sz w:val="16"/>
                <w:szCs w:val="16"/>
                <w:color w:val="auto"/>
              </w:rPr>
              <w:t>Impairment losses</w:t>
            </w:r>
          </w:p>
        </w:tc>
        <w:tc>
          <w:tcPr>
            <w:tcW w:w="1040" w:type="dxa"/>
            <w:vAlign w:val="bottom"/>
            <w:shd w:val="clear" w:color="auto" w:fill="CCEEFF"/>
          </w:tcPr>
          <w:p>
            <w:pPr>
              <w:spacing w:after="0"/>
              <w:rPr>
                <w:sz w:val="24"/>
                <w:szCs w:val="24"/>
                <w:color w:val="auto"/>
              </w:rPr>
            </w:pPr>
          </w:p>
        </w:tc>
        <w:tc>
          <w:tcPr>
            <w:tcW w:w="5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129</w:t>
            </w: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4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420" w:type="dxa"/>
            <w:vAlign w:val="bottom"/>
            <w:shd w:val="clear" w:color="auto" w:fill="CCEEFF"/>
          </w:tcPr>
          <w:p>
            <w:pPr>
              <w:spacing w:after="0"/>
              <w:rPr>
                <w:sz w:val="24"/>
                <w:szCs w:val="24"/>
                <w:color w:val="auto"/>
              </w:rPr>
            </w:pPr>
          </w:p>
        </w:tc>
        <w:tc>
          <w:tcPr>
            <w:tcW w:w="118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201</w:t>
            </w: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w:t>
            </w:r>
          </w:p>
        </w:tc>
      </w:tr>
      <w:tr>
        <w:trPr>
          <w:trHeight w:val="264"/>
        </w:trPr>
        <w:tc>
          <w:tcPr>
            <w:tcW w:w="4700" w:type="dxa"/>
            <w:vAlign w:val="bottom"/>
          </w:tcPr>
          <w:p>
            <w:pPr>
              <w:ind w:left="280"/>
              <w:spacing w:after="0"/>
              <w:rPr>
                <w:sz w:val="20"/>
                <w:szCs w:val="20"/>
                <w:color w:val="auto"/>
              </w:rPr>
            </w:pPr>
            <w:r>
              <w:rPr>
                <w:rFonts w:ascii="Arial" w:cs="Arial" w:eastAsia="Arial" w:hAnsi="Arial"/>
                <w:sz w:val="16"/>
                <w:szCs w:val="16"/>
                <w:color w:val="auto"/>
              </w:rPr>
              <w:t>Restructuring and separation costs</w:t>
            </w:r>
          </w:p>
        </w:tc>
        <w:tc>
          <w:tcPr>
            <w:tcW w:w="1040" w:type="dxa"/>
            <w:vAlign w:val="bottom"/>
          </w:tcPr>
          <w:p>
            <w:pPr>
              <w:spacing w:after="0"/>
              <w:rPr>
                <w:sz w:val="22"/>
                <w:szCs w:val="22"/>
                <w:color w:val="auto"/>
              </w:rPr>
            </w:pPr>
          </w:p>
        </w:tc>
        <w:tc>
          <w:tcPr>
            <w:tcW w:w="580" w:type="dxa"/>
            <w:vAlign w:val="bottom"/>
          </w:tcPr>
          <w:p>
            <w:pPr>
              <w:jc w:val="right"/>
              <w:ind w:right="39"/>
              <w:spacing w:after="0"/>
              <w:rPr>
                <w:sz w:val="20"/>
                <w:szCs w:val="20"/>
                <w:color w:val="auto"/>
              </w:rPr>
            </w:pPr>
            <w:r>
              <w:rPr>
                <w:rFonts w:ascii="Arial" w:cs="Arial" w:eastAsia="Arial" w:hAnsi="Arial"/>
                <w:sz w:val="16"/>
                <w:szCs w:val="16"/>
                <w:color w:val="auto"/>
              </w:rPr>
              <w:t>118</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4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420" w:type="dxa"/>
            <w:vAlign w:val="bottom"/>
          </w:tcPr>
          <w:p>
            <w:pPr>
              <w:spacing w:after="0"/>
              <w:rPr>
                <w:sz w:val="22"/>
                <w:szCs w:val="22"/>
                <w:color w:val="auto"/>
              </w:rPr>
            </w:pPr>
          </w:p>
        </w:tc>
        <w:tc>
          <w:tcPr>
            <w:tcW w:w="1180" w:type="dxa"/>
            <w:vAlign w:val="bottom"/>
          </w:tcPr>
          <w:p>
            <w:pPr>
              <w:jc w:val="right"/>
              <w:ind w:right="20"/>
              <w:spacing w:after="0"/>
              <w:rPr>
                <w:sz w:val="20"/>
                <w:szCs w:val="20"/>
                <w:color w:val="auto"/>
              </w:rPr>
            </w:pPr>
            <w:r>
              <w:rPr>
                <w:rFonts w:ascii="Arial" w:cs="Arial" w:eastAsia="Arial" w:hAnsi="Arial"/>
                <w:sz w:val="16"/>
                <w:szCs w:val="16"/>
                <w:color w:val="auto"/>
              </w:rPr>
              <w:t>161</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20" w:type="dxa"/>
            <w:vAlign w:val="bottom"/>
          </w:tcPr>
          <w:p>
            <w:pPr>
              <w:jc w:val="right"/>
              <w:ind w:right="20"/>
              <w:spacing w:after="0"/>
              <w:rPr>
                <w:sz w:val="20"/>
                <w:szCs w:val="20"/>
                <w:color w:val="auto"/>
              </w:rPr>
            </w:pPr>
            <w:r>
              <w:rPr>
                <w:rFonts w:ascii="Arial" w:cs="Arial" w:eastAsia="Arial" w:hAnsi="Arial"/>
                <w:sz w:val="16"/>
                <w:szCs w:val="16"/>
                <w:color w:val="auto"/>
              </w:rPr>
              <w:t>—</w:t>
            </w:r>
          </w:p>
        </w:tc>
      </w:tr>
      <w:tr>
        <w:trPr>
          <w:trHeight w:val="250"/>
        </w:trPr>
        <w:tc>
          <w:tcPr>
            <w:tcW w:w="4700" w:type="dxa"/>
            <w:vAlign w:val="bottom"/>
            <w:tcBorders>
              <w:top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Total operating expenses</w:t>
            </w:r>
          </w:p>
        </w:tc>
        <w:tc>
          <w:tcPr>
            <w:tcW w:w="1040" w:type="dxa"/>
            <w:vAlign w:val="bottom"/>
            <w:tcBorders>
              <w:top w:val="single" w:sz="8" w:color="auto"/>
              <w:bottom w:val="single" w:sz="8" w:color="auto"/>
            </w:tcBorders>
            <w:shd w:val="clear" w:color="auto" w:fill="CCEEFF"/>
          </w:tcPr>
          <w:p>
            <w:pPr>
              <w:spacing w:after="0"/>
              <w:rPr>
                <w:sz w:val="21"/>
                <w:szCs w:val="21"/>
                <w:color w:val="auto"/>
              </w:rPr>
            </w:pPr>
          </w:p>
        </w:tc>
        <w:tc>
          <w:tcPr>
            <w:tcW w:w="580" w:type="dxa"/>
            <w:vAlign w:val="bottom"/>
            <w:tcBorders>
              <w:top w:val="single" w:sz="8" w:color="auto"/>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5,112</w:t>
            </w:r>
          </w:p>
        </w:tc>
        <w:tc>
          <w:tcPr>
            <w:tcW w:w="100" w:type="dxa"/>
            <w:vAlign w:val="bottom"/>
            <w:tcBorders>
              <w:top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auto"/>
            </w:tcBorders>
            <w:shd w:val="clear" w:color="auto" w:fill="CCEEFF"/>
          </w:tcPr>
          <w:p>
            <w:pPr>
              <w:spacing w:after="0"/>
              <w:rPr>
                <w:sz w:val="21"/>
                <w:szCs w:val="21"/>
                <w:color w:val="auto"/>
              </w:rPr>
            </w:pPr>
          </w:p>
        </w:tc>
        <w:tc>
          <w:tcPr>
            <w:tcW w:w="1300" w:type="dxa"/>
            <w:vAlign w:val="bottom"/>
            <w:tcBorders>
              <w:top w:val="single" w:sz="8" w:color="auto"/>
              <w:bottom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color w:val="auto"/>
              </w:rPr>
              <w:t>4,428</w:t>
            </w:r>
          </w:p>
        </w:tc>
        <w:tc>
          <w:tcPr>
            <w:tcW w:w="100" w:type="dxa"/>
            <w:vAlign w:val="bottom"/>
            <w:tcBorders>
              <w:top w:val="single" w:sz="8" w:color="CCEEFF"/>
            </w:tcBorders>
            <w:shd w:val="clear" w:color="auto" w:fill="CCEEFF"/>
          </w:tcPr>
          <w:p>
            <w:pPr>
              <w:spacing w:after="0"/>
              <w:rPr>
                <w:sz w:val="21"/>
                <w:szCs w:val="21"/>
                <w:color w:val="auto"/>
              </w:rPr>
            </w:pPr>
          </w:p>
        </w:tc>
        <w:tc>
          <w:tcPr>
            <w:tcW w:w="420" w:type="dxa"/>
            <w:vAlign w:val="bottom"/>
            <w:tcBorders>
              <w:top w:val="single" w:sz="8" w:color="auto"/>
              <w:bottom w:val="single" w:sz="8" w:color="auto"/>
            </w:tcBorders>
            <w:shd w:val="clear" w:color="auto" w:fill="CCEEFF"/>
          </w:tcPr>
          <w:p>
            <w:pPr>
              <w:spacing w:after="0"/>
              <w:rPr>
                <w:sz w:val="21"/>
                <w:szCs w:val="21"/>
                <w:color w:val="auto"/>
              </w:rPr>
            </w:pPr>
          </w:p>
        </w:tc>
        <w:tc>
          <w:tcPr>
            <w:tcW w:w="1180" w:type="dxa"/>
            <w:vAlign w:val="bottom"/>
            <w:tcBorders>
              <w:top w:val="single" w:sz="8" w:color="auto"/>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15,220</w:t>
            </w:r>
          </w:p>
        </w:tc>
        <w:tc>
          <w:tcPr>
            <w:tcW w:w="100" w:type="dxa"/>
            <w:vAlign w:val="bottom"/>
            <w:tcBorders>
              <w:top w:val="single" w:sz="8" w:color="CCEEFF"/>
            </w:tcBorders>
            <w:shd w:val="clear" w:color="auto" w:fill="CCEEFF"/>
          </w:tcPr>
          <w:p>
            <w:pPr>
              <w:spacing w:after="0"/>
              <w:rPr>
                <w:sz w:val="21"/>
                <w:szCs w:val="21"/>
                <w:color w:val="auto"/>
              </w:rPr>
            </w:pPr>
          </w:p>
        </w:tc>
        <w:tc>
          <w:tcPr>
            <w:tcW w:w="380" w:type="dxa"/>
            <w:vAlign w:val="bottom"/>
            <w:tcBorders>
              <w:top w:val="single" w:sz="8" w:color="auto"/>
              <w:bottom w:val="single" w:sz="8" w:color="auto"/>
            </w:tcBorders>
            <w:shd w:val="clear" w:color="auto" w:fill="CCEEFF"/>
          </w:tcPr>
          <w:p>
            <w:pPr>
              <w:spacing w:after="0"/>
              <w:rPr>
                <w:sz w:val="21"/>
                <w:szCs w:val="21"/>
                <w:color w:val="auto"/>
              </w:rPr>
            </w:pPr>
          </w:p>
        </w:tc>
        <w:tc>
          <w:tcPr>
            <w:tcW w:w="1220" w:type="dxa"/>
            <w:vAlign w:val="bottom"/>
            <w:tcBorders>
              <w:top w:val="single" w:sz="8" w:color="auto"/>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12,936</w:t>
            </w:r>
          </w:p>
        </w:tc>
      </w:tr>
      <w:tr>
        <w:trPr>
          <w:trHeight w:val="250"/>
        </w:trPr>
        <w:tc>
          <w:tcPr>
            <w:tcW w:w="470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Operating (loss) income</w:t>
            </w:r>
          </w:p>
        </w:tc>
        <w:tc>
          <w:tcPr>
            <w:tcW w:w="1040" w:type="dxa"/>
            <w:vAlign w:val="bottom"/>
            <w:tcBorders>
              <w:bottom w:val="single" w:sz="8" w:color="auto"/>
            </w:tcBorders>
          </w:tcPr>
          <w:p>
            <w:pPr>
              <w:spacing w:after="0"/>
              <w:rPr>
                <w:sz w:val="21"/>
                <w:szCs w:val="21"/>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(81)</w:t>
            </w:r>
          </w:p>
        </w:tc>
        <w:tc>
          <w:tcPr>
            <w:tcW w:w="10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118</w:t>
            </w:r>
          </w:p>
        </w:tc>
        <w:tc>
          <w:tcPr>
            <w:tcW w:w="100" w:type="dxa"/>
            <w:vAlign w:val="bottom"/>
            <w:tcBorders>
              <w:bottom w:val="single" w:sz="8" w:color="CCEEFF"/>
            </w:tcBorders>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(286)</w:t>
            </w:r>
          </w:p>
        </w:tc>
        <w:tc>
          <w:tcPr>
            <w:tcW w:w="100" w:type="dxa"/>
            <w:vAlign w:val="bottom"/>
            <w:tcBorders>
              <w:bottom w:val="single" w:sz="8" w:color="CCEEFF"/>
            </w:tcBorders>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312</w:t>
            </w:r>
          </w:p>
        </w:tc>
      </w:tr>
      <w:tr>
        <w:trPr>
          <w:trHeight w:val="270"/>
        </w:trPr>
        <w:tc>
          <w:tcPr>
            <w:tcW w:w="4700" w:type="dxa"/>
            <w:vAlign w:val="bottom"/>
            <w:shd w:val="clear" w:color="auto" w:fill="CCEEFF"/>
          </w:tcPr>
          <w:p>
            <w:pPr>
              <w:ind w:left="40"/>
              <w:spacing w:after="0"/>
              <w:rPr>
                <w:sz w:val="20"/>
                <w:szCs w:val="20"/>
                <w:color w:val="auto"/>
              </w:rPr>
            </w:pPr>
            <w:r>
              <w:rPr>
                <w:rFonts w:ascii="Arial" w:cs="Arial" w:eastAsia="Arial" w:hAnsi="Arial"/>
                <w:sz w:val="16"/>
                <w:szCs w:val="16"/>
                <w:color w:val="auto"/>
              </w:rPr>
              <w:t>Other expenses, net:</w:t>
            </w:r>
          </w:p>
        </w:tc>
        <w:tc>
          <w:tcPr>
            <w:tcW w:w="1040" w:type="dxa"/>
            <w:vAlign w:val="bottom"/>
            <w:shd w:val="clear" w:color="auto" w:fill="CCEEFF"/>
          </w:tcPr>
          <w:p>
            <w:pPr>
              <w:spacing w:after="0"/>
              <w:rPr>
                <w:sz w:val="23"/>
                <w:szCs w:val="23"/>
                <w:color w:val="auto"/>
              </w:rPr>
            </w:pPr>
          </w:p>
        </w:tc>
        <w:tc>
          <w:tcPr>
            <w:tcW w:w="5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3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11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220" w:type="dxa"/>
            <w:vAlign w:val="bottom"/>
            <w:shd w:val="clear" w:color="auto" w:fill="CCEEFF"/>
          </w:tcPr>
          <w:p>
            <w:pPr>
              <w:spacing w:after="0"/>
              <w:rPr>
                <w:sz w:val="23"/>
                <w:szCs w:val="23"/>
                <w:color w:val="auto"/>
              </w:rPr>
            </w:pPr>
          </w:p>
        </w:tc>
      </w:tr>
      <w:tr>
        <w:trPr>
          <w:trHeight w:val="262"/>
        </w:trPr>
        <w:tc>
          <w:tcPr>
            <w:tcW w:w="4700" w:type="dxa"/>
            <w:vAlign w:val="bottom"/>
          </w:tcPr>
          <w:p>
            <w:pPr>
              <w:ind w:left="180"/>
              <w:spacing w:after="0"/>
              <w:rPr>
                <w:sz w:val="20"/>
                <w:szCs w:val="20"/>
                <w:color w:val="auto"/>
              </w:rPr>
            </w:pPr>
            <w:r>
              <w:rPr>
                <w:rFonts w:ascii="Arial" w:cs="Arial" w:eastAsia="Arial" w:hAnsi="Arial"/>
                <w:sz w:val="16"/>
                <w:szCs w:val="16"/>
                <w:color w:val="auto"/>
              </w:rPr>
              <w:t>Interest expense</w:t>
            </w:r>
          </w:p>
        </w:tc>
        <w:tc>
          <w:tcPr>
            <w:tcW w:w="1040" w:type="dxa"/>
            <w:vAlign w:val="bottom"/>
          </w:tcPr>
          <w:p>
            <w:pPr>
              <w:spacing w:after="0"/>
              <w:rPr>
                <w:sz w:val="22"/>
                <w:szCs w:val="22"/>
                <w:color w:val="auto"/>
              </w:rPr>
            </w:pPr>
          </w:p>
        </w:tc>
        <w:tc>
          <w:tcPr>
            <w:tcW w:w="580" w:type="dxa"/>
            <w:vAlign w:val="bottom"/>
          </w:tcPr>
          <w:p>
            <w:pPr>
              <w:jc w:val="right"/>
              <w:ind w:right="39"/>
              <w:spacing w:after="0"/>
              <w:rPr>
                <w:sz w:val="20"/>
                <w:szCs w:val="20"/>
                <w:color w:val="auto"/>
              </w:rPr>
            </w:pPr>
            <w:r>
              <w:rPr>
                <w:rFonts w:ascii="Arial" w:cs="Arial" w:eastAsia="Arial" w:hAnsi="Arial"/>
                <w:sz w:val="16"/>
                <w:szCs w:val="16"/>
                <w:color w:val="auto"/>
              </w:rPr>
              <w:t>32</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300" w:type="dxa"/>
            <w:vAlign w:val="bottom"/>
          </w:tcPr>
          <w:p>
            <w:pPr>
              <w:jc w:val="right"/>
              <w:ind w:right="41"/>
              <w:spacing w:after="0"/>
              <w:rPr>
                <w:sz w:val="20"/>
                <w:szCs w:val="20"/>
                <w:color w:val="auto"/>
              </w:rPr>
            </w:pPr>
            <w:r>
              <w:rPr>
                <w:rFonts w:ascii="Arial" w:cs="Arial" w:eastAsia="Arial" w:hAnsi="Arial"/>
                <w:sz w:val="16"/>
                <w:szCs w:val="16"/>
                <w:color w:val="auto"/>
              </w:rPr>
              <w:t>26</w:t>
            </w:r>
          </w:p>
        </w:tc>
        <w:tc>
          <w:tcPr>
            <w:tcW w:w="1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180" w:type="dxa"/>
            <w:vAlign w:val="bottom"/>
          </w:tcPr>
          <w:p>
            <w:pPr>
              <w:jc w:val="right"/>
              <w:ind w:right="20"/>
              <w:spacing w:after="0"/>
              <w:rPr>
                <w:sz w:val="20"/>
                <w:szCs w:val="20"/>
                <w:color w:val="auto"/>
              </w:rPr>
            </w:pPr>
            <w:r>
              <w:rPr>
                <w:rFonts w:ascii="Arial" w:cs="Arial" w:eastAsia="Arial" w:hAnsi="Arial"/>
                <w:sz w:val="16"/>
                <w:szCs w:val="16"/>
                <w:color w:val="auto"/>
              </w:rPr>
              <w:t>85</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20" w:type="dxa"/>
            <w:vAlign w:val="bottom"/>
          </w:tcPr>
          <w:p>
            <w:pPr>
              <w:jc w:val="right"/>
              <w:ind w:right="20"/>
              <w:spacing w:after="0"/>
              <w:rPr>
                <w:sz w:val="20"/>
                <w:szCs w:val="20"/>
                <w:color w:val="auto"/>
              </w:rPr>
            </w:pPr>
            <w:r>
              <w:rPr>
                <w:rFonts w:ascii="Arial" w:cs="Arial" w:eastAsia="Arial" w:hAnsi="Arial"/>
                <w:sz w:val="16"/>
                <w:szCs w:val="16"/>
                <w:color w:val="auto"/>
              </w:rPr>
              <w:t>76</w:t>
            </w:r>
          </w:p>
        </w:tc>
      </w:tr>
      <w:tr>
        <w:trPr>
          <w:trHeight w:val="271"/>
        </w:trPr>
        <w:tc>
          <w:tcPr>
            <w:tcW w:w="4700" w:type="dxa"/>
            <w:vAlign w:val="bottom"/>
            <w:shd w:val="clear" w:color="auto" w:fill="CCEEFF"/>
          </w:tcPr>
          <w:p>
            <w:pPr>
              <w:ind w:left="180"/>
              <w:spacing w:after="0"/>
              <w:rPr>
                <w:sz w:val="20"/>
                <w:szCs w:val="20"/>
                <w:color w:val="auto"/>
              </w:rPr>
            </w:pPr>
            <w:r>
              <w:rPr>
                <w:rFonts w:ascii="Arial" w:cs="Arial" w:eastAsia="Arial" w:hAnsi="Arial"/>
                <w:sz w:val="16"/>
                <w:szCs w:val="16"/>
                <w:color w:val="auto"/>
              </w:rPr>
              <w:t>Other income, net</w:t>
            </w:r>
          </w:p>
        </w:tc>
        <w:tc>
          <w:tcPr>
            <w:tcW w:w="1040" w:type="dxa"/>
            <w:vAlign w:val="bottom"/>
            <w:shd w:val="clear" w:color="auto" w:fill="CCEEFF"/>
          </w:tcPr>
          <w:p>
            <w:pPr>
              <w:spacing w:after="0"/>
              <w:rPr>
                <w:sz w:val="23"/>
                <w:szCs w:val="23"/>
                <w:color w:val="auto"/>
              </w:rPr>
            </w:pPr>
          </w:p>
        </w:tc>
        <w:tc>
          <w:tcPr>
            <w:tcW w:w="6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00" w:type="dxa"/>
            <w:vAlign w:val="bottom"/>
            <w:shd w:val="clear" w:color="auto" w:fill="CCEEFF"/>
          </w:tcPr>
          <w:p>
            <w:pPr>
              <w:spacing w:after="0"/>
              <w:rPr>
                <w:sz w:val="23"/>
                <w:szCs w:val="23"/>
                <w:color w:val="auto"/>
              </w:rPr>
            </w:pPr>
          </w:p>
        </w:tc>
        <w:tc>
          <w:tcPr>
            <w:tcW w:w="14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420" w:type="dxa"/>
            <w:vAlign w:val="bottom"/>
            <w:shd w:val="clear" w:color="auto" w:fill="CCEEFF"/>
          </w:tcPr>
          <w:p>
            <w:pPr>
              <w:spacing w:after="0"/>
              <w:rPr>
                <w:sz w:val="23"/>
                <w:szCs w:val="23"/>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(75)</w:t>
            </w:r>
          </w:p>
        </w:tc>
        <w:tc>
          <w:tcPr>
            <w:tcW w:w="10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22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w:t>
            </w:r>
          </w:p>
        </w:tc>
      </w:tr>
      <w:tr>
        <w:trPr>
          <w:trHeight w:val="250"/>
        </w:trPr>
        <w:tc>
          <w:tcPr>
            <w:tcW w:w="4700" w:type="dxa"/>
            <w:vAlign w:val="bottom"/>
            <w:tcBorders>
              <w:bottom w:val="single" w:sz="8" w:color="CCEEFF"/>
            </w:tcBorders>
          </w:tcPr>
          <w:p>
            <w:pPr>
              <w:ind w:left="500"/>
              <w:spacing w:after="0"/>
              <w:rPr>
                <w:sz w:val="20"/>
                <w:szCs w:val="20"/>
                <w:color w:val="auto"/>
              </w:rPr>
            </w:pPr>
            <w:r>
              <w:rPr>
                <w:rFonts w:ascii="Arial" w:cs="Arial" w:eastAsia="Arial" w:hAnsi="Arial"/>
                <w:sz w:val="16"/>
                <w:szCs w:val="16"/>
                <w:color w:val="auto"/>
              </w:rPr>
              <w:t>Total other expenses, net</w:t>
            </w:r>
          </w:p>
        </w:tc>
        <w:tc>
          <w:tcPr>
            <w:tcW w:w="1040" w:type="dxa"/>
            <w:vAlign w:val="bottom"/>
            <w:tcBorders>
              <w:top w:val="single" w:sz="8" w:color="auto"/>
              <w:bottom w:val="single" w:sz="8" w:color="auto"/>
            </w:tcBorders>
          </w:tcPr>
          <w:p>
            <w:pPr>
              <w:spacing w:after="0"/>
              <w:rPr>
                <w:sz w:val="21"/>
                <w:szCs w:val="21"/>
                <w:color w:val="auto"/>
              </w:rPr>
            </w:pPr>
          </w:p>
        </w:tc>
        <w:tc>
          <w:tcPr>
            <w:tcW w:w="58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32</w:t>
            </w:r>
          </w:p>
        </w:tc>
        <w:tc>
          <w:tcPr>
            <w:tcW w:w="100" w:type="dxa"/>
            <w:vAlign w:val="bottom"/>
            <w:tcBorders>
              <w:bottom w:val="single" w:sz="8" w:color="CCEEFF"/>
            </w:tcBorders>
          </w:tcPr>
          <w:p>
            <w:pPr>
              <w:spacing w:after="0"/>
              <w:rPr>
                <w:sz w:val="21"/>
                <w:szCs w:val="21"/>
                <w:color w:val="auto"/>
              </w:rPr>
            </w:pPr>
          </w:p>
        </w:tc>
        <w:tc>
          <w:tcPr>
            <w:tcW w:w="300" w:type="dxa"/>
            <w:vAlign w:val="bottom"/>
            <w:tcBorders>
              <w:top w:val="single" w:sz="8" w:color="auto"/>
              <w:bottom w:val="single" w:sz="8" w:color="auto"/>
            </w:tcBorders>
          </w:tcPr>
          <w:p>
            <w:pPr>
              <w:spacing w:after="0"/>
              <w:rPr>
                <w:sz w:val="21"/>
                <w:szCs w:val="21"/>
                <w:color w:val="auto"/>
              </w:rPr>
            </w:pPr>
          </w:p>
        </w:tc>
        <w:tc>
          <w:tcPr>
            <w:tcW w:w="1300" w:type="dxa"/>
            <w:vAlign w:val="bottom"/>
            <w:tcBorders>
              <w:top w:val="single" w:sz="8" w:color="auto"/>
              <w:bottom w:val="single" w:sz="8" w:color="auto"/>
            </w:tcBorders>
          </w:tcPr>
          <w:p>
            <w:pPr>
              <w:jc w:val="right"/>
              <w:ind w:right="41"/>
              <w:spacing w:after="0"/>
              <w:rPr>
                <w:sz w:val="20"/>
                <w:szCs w:val="20"/>
                <w:color w:val="auto"/>
              </w:rPr>
            </w:pPr>
            <w:r>
              <w:rPr>
                <w:rFonts w:ascii="Arial" w:cs="Arial" w:eastAsia="Arial" w:hAnsi="Arial"/>
                <w:sz w:val="16"/>
                <w:szCs w:val="16"/>
                <w:color w:val="auto"/>
              </w:rPr>
              <w:t>26</w:t>
            </w:r>
          </w:p>
        </w:tc>
        <w:tc>
          <w:tcPr>
            <w:tcW w:w="100" w:type="dxa"/>
            <w:vAlign w:val="bottom"/>
            <w:tcBorders>
              <w:bottom w:val="single" w:sz="8" w:color="CCEEFF"/>
            </w:tcBorders>
          </w:tcPr>
          <w:p>
            <w:pPr>
              <w:spacing w:after="0"/>
              <w:rPr>
                <w:sz w:val="21"/>
                <w:szCs w:val="21"/>
                <w:color w:val="auto"/>
              </w:rPr>
            </w:pPr>
          </w:p>
        </w:tc>
        <w:tc>
          <w:tcPr>
            <w:tcW w:w="420" w:type="dxa"/>
            <w:vAlign w:val="bottom"/>
            <w:tcBorders>
              <w:top w:val="single" w:sz="8" w:color="auto"/>
              <w:bottom w:val="single" w:sz="8" w:color="auto"/>
            </w:tcBorders>
          </w:tcPr>
          <w:p>
            <w:pPr>
              <w:spacing w:after="0"/>
              <w:rPr>
                <w:sz w:val="21"/>
                <w:szCs w:val="21"/>
                <w:color w:val="auto"/>
              </w:rPr>
            </w:pPr>
          </w:p>
        </w:tc>
        <w:tc>
          <w:tcPr>
            <w:tcW w:w="118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6"/>
                <w:szCs w:val="16"/>
                <w:color w:val="auto"/>
              </w:rPr>
              <w:t>10</w:t>
            </w:r>
          </w:p>
        </w:tc>
        <w:tc>
          <w:tcPr>
            <w:tcW w:w="100" w:type="dxa"/>
            <w:vAlign w:val="bottom"/>
            <w:tcBorders>
              <w:bottom w:val="single" w:sz="8" w:color="CCEEFF"/>
            </w:tcBorders>
          </w:tcPr>
          <w:p>
            <w:pPr>
              <w:spacing w:after="0"/>
              <w:rPr>
                <w:sz w:val="21"/>
                <w:szCs w:val="21"/>
                <w:color w:val="auto"/>
              </w:rPr>
            </w:pPr>
          </w:p>
        </w:tc>
        <w:tc>
          <w:tcPr>
            <w:tcW w:w="380" w:type="dxa"/>
            <w:vAlign w:val="bottom"/>
            <w:tcBorders>
              <w:top w:val="single" w:sz="8" w:color="auto"/>
              <w:bottom w:val="single" w:sz="8" w:color="auto"/>
            </w:tcBorders>
          </w:tcPr>
          <w:p>
            <w:pPr>
              <w:spacing w:after="0"/>
              <w:rPr>
                <w:sz w:val="21"/>
                <w:szCs w:val="21"/>
                <w:color w:val="auto"/>
              </w:rPr>
            </w:pPr>
          </w:p>
        </w:tc>
        <w:tc>
          <w:tcPr>
            <w:tcW w:w="122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6"/>
                <w:szCs w:val="16"/>
                <w:color w:val="auto"/>
              </w:rPr>
              <w:t>76</w:t>
            </w:r>
          </w:p>
        </w:tc>
      </w:tr>
      <w:tr>
        <w:trPr>
          <w:trHeight w:val="257"/>
        </w:trPr>
        <w:tc>
          <w:tcPr>
            <w:tcW w:w="4700" w:type="dxa"/>
            <w:vAlign w:val="bottom"/>
            <w:shd w:val="clear" w:color="auto" w:fill="CCEEFF"/>
          </w:tcPr>
          <w:p>
            <w:pPr>
              <w:ind w:left="40"/>
              <w:spacing w:after="0"/>
              <w:rPr>
                <w:sz w:val="20"/>
                <w:szCs w:val="20"/>
                <w:color w:val="auto"/>
              </w:rPr>
            </w:pPr>
            <w:r>
              <w:rPr>
                <w:rFonts w:ascii="Arial" w:cs="Arial" w:eastAsia="Arial" w:hAnsi="Arial"/>
                <w:sz w:val="16"/>
                <w:szCs w:val="16"/>
                <w:color w:val="auto"/>
              </w:rPr>
              <w:t>(Loss) income before income tax (benefit) expense</w:t>
            </w:r>
          </w:p>
        </w:tc>
        <w:tc>
          <w:tcPr>
            <w:tcW w:w="1040" w:type="dxa"/>
            <w:vAlign w:val="bottom"/>
            <w:shd w:val="clear" w:color="auto" w:fill="CCEEFF"/>
          </w:tcPr>
          <w:p>
            <w:pPr>
              <w:spacing w:after="0"/>
              <w:rPr>
                <w:sz w:val="22"/>
                <w:szCs w:val="22"/>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(113)</w:t>
            </w: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30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92</w:t>
            </w:r>
          </w:p>
        </w:tc>
        <w:tc>
          <w:tcPr>
            <w:tcW w:w="10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(296)</w:t>
            </w:r>
          </w:p>
        </w:tc>
        <w:tc>
          <w:tcPr>
            <w:tcW w:w="10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122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236</w:t>
            </w:r>
          </w:p>
        </w:tc>
      </w:tr>
      <w:tr>
        <w:trPr>
          <w:trHeight w:val="264"/>
        </w:trPr>
        <w:tc>
          <w:tcPr>
            <w:tcW w:w="470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Income tax (benefit) expense</w:t>
            </w:r>
          </w:p>
        </w:tc>
        <w:tc>
          <w:tcPr>
            <w:tcW w:w="1040" w:type="dxa"/>
            <w:vAlign w:val="bottom"/>
            <w:tcBorders>
              <w:bottom w:val="single" w:sz="8" w:color="auto"/>
            </w:tcBorders>
          </w:tcPr>
          <w:p>
            <w:pPr>
              <w:spacing w:after="0"/>
              <w:rPr>
                <w:sz w:val="22"/>
                <w:szCs w:val="22"/>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w:t>
            </w: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50</w:t>
            </w:r>
          </w:p>
        </w:tc>
        <w:tc>
          <w:tcPr>
            <w:tcW w:w="100" w:type="dxa"/>
            <w:vAlign w:val="bottom"/>
            <w:tcBorders>
              <w:bottom w:val="single" w:sz="8" w:color="CCEEFF"/>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(46)</w:t>
            </w:r>
          </w:p>
        </w:tc>
        <w:tc>
          <w:tcPr>
            <w:tcW w:w="10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137</w:t>
            </w:r>
          </w:p>
        </w:tc>
      </w:tr>
      <w:tr>
        <w:trPr>
          <w:trHeight w:val="242"/>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(loss) income</w:t>
            </w:r>
          </w:p>
        </w:tc>
        <w:tc>
          <w:tcPr>
            <w:tcW w:w="1040" w:type="dxa"/>
            <w:vAlign w:val="bottom"/>
            <w:tcBorders>
              <w:bottom w:val="single" w:sz="8" w:color="auto"/>
            </w:tcBorders>
            <w:shd w:val="clear" w:color="auto" w:fill="CCEEFF"/>
          </w:tcPr>
          <w:p>
            <w:pPr>
              <w:jc w:val="right"/>
              <w:ind w:right="843"/>
              <w:spacing w:after="0"/>
              <w:rPr>
                <w:sz w:val="20"/>
                <w:szCs w:val="20"/>
                <w:color w:val="auto"/>
              </w:rPr>
            </w:pPr>
            <w:r>
              <w:rPr>
                <w:rFonts w:ascii="Arial" w:cs="Arial" w:eastAsia="Arial" w:hAnsi="Arial"/>
                <w:sz w:val="16"/>
                <w:szCs w:val="16"/>
                <w:color w:val="auto"/>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(97)</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color w:val="auto"/>
              </w:rPr>
              <w:t>42</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19"/>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(250)</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99</w:t>
            </w:r>
          </w:p>
        </w:tc>
      </w:tr>
      <w:tr>
        <w:trPr>
          <w:trHeight w:val="20"/>
        </w:trPr>
        <w:tc>
          <w:tcPr>
            <w:tcW w:w="470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r>
        <w:trPr>
          <w:trHeight w:val="279"/>
        </w:trPr>
        <w:tc>
          <w:tcPr>
            <w:tcW w:w="47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270"/>
        </w:trPr>
        <w:tc>
          <w:tcPr>
            <w:tcW w:w="4700" w:type="dxa"/>
            <w:vAlign w:val="bottom"/>
            <w:shd w:val="clear" w:color="auto" w:fill="CCEEFF"/>
          </w:tcPr>
          <w:p>
            <w:pPr>
              <w:ind w:left="40"/>
              <w:spacing w:after="0"/>
              <w:rPr>
                <w:sz w:val="20"/>
                <w:szCs w:val="20"/>
                <w:color w:val="auto"/>
              </w:rPr>
            </w:pPr>
            <w:r>
              <w:rPr>
                <w:rFonts w:ascii="Arial" w:cs="Arial" w:eastAsia="Arial" w:hAnsi="Arial"/>
                <w:sz w:val="16"/>
                <w:szCs w:val="16"/>
                <w:color w:val="auto"/>
              </w:rPr>
              <w:t>Net (loss) income per share:</w:t>
            </w:r>
          </w:p>
        </w:tc>
        <w:tc>
          <w:tcPr>
            <w:tcW w:w="1040" w:type="dxa"/>
            <w:vAlign w:val="bottom"/>
            <w:shd w:val="clear" w:color="auto" w:fill="CCEEFF"/>
          </w:tcPr>
          <w:p>
            <w:pPr>
              <w:spacing w:after="0"/>
              <w:rPr>
                <w:sz w:val="23"/>
                <w:szCs w:val="23"/>
                <w:color w:val="auto"/>
              </w:rPr>
            </w:pPr>
          </w:p>
        </w:tc>
        <w:tc>
          <w:tcPr>
            <w:tcW w:w="5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3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11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220" w:type="dxa"/>
            <w:vAlign w:val="bottom"/>
            <w:shd w:val="clear" w:color="auto" w:fill="CCEEFF"/>
          </w:tcPr>
          <w:p>
            <w:pPr>
              <w:spacing w:after="0"/>
              <w:rPr>
                <w:sz w:val="23"/>
                <w:szCs w:val="23"/>
                <w:color w:val="auto"/>
              </w:rPr>
            </w:pPr>
          </w:p>
        </w:tc>
      </w:tr>
      <w:tr>
        <w:trPr>
          <w:trHeight w:val="296"/>
        </w:trPr>
        <w:tc>
          <w:tcPr>
            <w:tcW w:w="4700" w:type="dxa"/>
            <w:vAlign w:val="bottom"/>
            <w:tcBorders>
              <w:bottom w:val="single" w:sz="8" w:color="CCEEFF"/>
            </w:tcBorders>
          </w:tcPr>
          <w:p>
            <w:pPr>
              <w:ind w:left="180"/>
              <w:spacing w:after="0"/>
              <w:rPr>
                <w:sz w:val="20"/>
                <w:szCs w:val="20"/>
                <w:color w:val="auto"/>
              </w:rPr>
            </w:pPr>
            <w:r>
              <w:rPr>
                <w:rFonts w:ascii="Arial" w:cs="Arial" w:eastAsia="Arial" w:hAnsi="Arial"/>
                <w:sz w:val="16"/>
                <w:szCs w:val="16"/>
                <w:color w:val="auto"/>
              </w:rPr>
              <w:t>Basic</w:t>
            </w:r>
          </w:p>
        </w:tc>
        <w:tc>
          <w:tcPr>
            <w:tcW w:w="1040" w:type="dxa"/>
            <w:vAlign w:val="bottom"/>
            <w:tcBorders>
              <w:bottom w:val="single" w:sz="8" w:color="auto"/>
            </w:tcBorders>
          </w:tcPr>
          <w:p>
            <w:pPr>
              <w:jc w:val="right"/>
              <w:ind w:right="843"/>
              <w:spacing w:after="0"/>
              <w:rPr>
                <w:sz w:val="20"/>
                <w:szCs w:val="20"/>
                <w:color w:val="auto"/>
              </w:rPr>
            </w:pPr>
            <w:r>
              <w:rPr>
                <w:rFonts w:ascii="Arial" w:cs="Arial" w:eastAsia="Arial" w:hAnsi="Arial"/>
                <w:sz w:val="16"/>
                <w:szCs w:val="16"/>
                <w:color w:val="auto"/>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(1.70)</w:t>
            </w:r>
          </w:p>
        </w:tc>
        <w:tc>
          <w:tcPr>
            <w:tcW w:w="100" w:type="dxa"/>
            <w:vAlign w:val="bottom"/>
            <w:tcBorders>
              <w:bottom w:val="single" w:sz="8" w:color="CCEEFF"/>
            </w:tcBorders>
          </w:tcPr>
          <w:p>
            <w:pPr>
              <w:spacing w:after="0"/>
              <w:rPr>
                <w:sz w:val="24"/>
                <w:szCs w:val="24"/>
                <w:color w:val="auto"/>
              </w:rPr>
            </w:pPr>
          </w:p>
        </w:tc>
        <w:tc>
          <w:tcPr>
            <w:tcW w:w="3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0.77</w:t>
            </w:r>
          </w:p>
        </w:tc>
        <w:tc>
          <w:tcPr>
            <w:tcW w:w="100" w:type="dxa"/>
            <w:vAlign w:val="bottom"/>
            <w:tcBorders>
              <w:bottom w:val="single" w:sz="8" w:color="CCEEFF"/>
            </w:tcBorders>
          </w:tcPr>
          <w:p>
            <w:pPr>
              <w:spacing w:after="0"/>
              <w:rPr>
                <w:sz w:val="24"/>
                <w:szCs w:val="24"/>
                <w:color w:val="auto"/>
              </w:rPr>
            </w:pPr>
          </w:p>
        </w:tc>
        <w:tc>
          <w:tcPr>
            <w:tcW w:w="42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(4.44)</w:t>
            </w:r>
          </w:p>
        </w:tc>
        <w:tc>
          <w:tcPr>
            <w:tcW w:w="100" w:type="dxa"/>
            <w:vAlign w:val="bottom"/>
            <w:tcBorders>
              <w:bottom w:val="single" w:sz="8" w:color="CCEEFF"/>
            </w:tcBorders>
          </w:tcPr>
          <w:p>
            <w:pPr>
              <w:spacing w:after="0"/>
              <w:rPr>
                <w:sz w:val="24"/>
                <w:szCs w:val="24"/>
                <w:color w:val="auto"/>
              </w:rPr>
            </w:pPr>
          </w:p>
        </w:tc>
        <w:tc>
          <w:tcPr>
            <w:tcW w:w="38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1.79</w:t>
            </w:r>
          </w:p>
        </w:tc>
      </w:tr>
      <w:tr>
        <w:trPr>
          <w:trHeight w:val="224"/>
        </w:trPr>
        <w:tc>
          <w:tcPr>
            <w:tcW w:w="47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Diluted</w:t>
            </w:r>
          </w:p>
        </w:tc>
        <w:tc>
          <w:tcPr>
            <w:tcW w:w="1040" w:type="dxa"/>
            <w:vAlign w:val="bottom"/>
            <w:tcBorders>
              <w:bottom w:val="single" w:sz="8" w:color="auto"/>
            </w:tcBorders>
            <w:shd w:val="clear" w:color="auto" w:fill="CCEEFF"/>
          </w:tcPr>
          <w:p>
            <w:pPr>
              <w:jc w:val="right"/>
              <w:ind w:right="843"/>
              <w:spacing w:after="0"/>
              <w:rPr>
                <w:sz w:val="20"/>
                <w:szCs w:val="20"/>
                <w:color w:val="auto"/>
              </w:rPr>
            </w:pPr>
            <w:r>
              <w:rPr>
                <w:rFonts w:ascii="Arial" w:cs="Arial" w:eastAsia="Arial" w:hAnsi="Arial"/>
                <w:sz w:val="16"/>
                <w:szCs w:val="16"/>
                <w:color w:val="auto"/>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(1.70)</w:t>
            </w:r>
          </w:p>
        </w:tc>
        <w:tc>
          <w:tcPr>
            <w:tcW w:w="10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color w:val="auto"/>
              </w:rPr>
              <w:t>0.76</w:t>
            </w:r>
          </w:p>
        </w:tc>
        <w:tc>
          <w:tcPr>
            <w:tcW w:w="100" w:type="dxa"/>
            <w:vAlign w:val="bottom"/>
            <w:tcBorders>
              <w:bottom w:val="single" w:sz="8" w:color="CCEEFF"/>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jc w:val="right"/>
              <w:ind w:right="219"/>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(4.44)</w:t>
            </w:r>
          </w:p>
        </w:tc>
        <w:tc>
          <w:tcPr>
            <w:tcW w:w="10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1.77</w:t>
            </w:r>
          </w:p>
        </w:tc>
      </w:tr>
      <w:tr>
        <w:trPr>
          <w:trHeight w:val="20"/>
        </w:trPr>
        <w:tc>
          <w:tcPr>
            <w:tcW w:w="4700" w:type="dxa"/>
            <w:vAlign w:val="bottom"/>
          </w:tcPr>
          <w:p>
            <w:pPr>
              <w:spacing w:after="0" w:line="20" w:lineRule="exact"/>
              <w:rPr>
                <w:sz w:val="1"/>
                <w:szCs w:val="1"/>
                <w:color w:val="auto"/>
              </w:rPr>
            </w:pPr>
          </w:p>
        </w:tc>
        <w:tc>
          <w:tcPr>
            <w:tcW w:w="162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r>
        <w:trPr>
          <w:trHeight w:val="426"/>
        </w:trPr>
        <w:tc>
          <w:tcPr>
            <w:tcW w:w="9820" w:type="dxa"/>
            <w:vAlign w:val="bottom"/>
            <w:gridSpan w:val="10"/>
          </w:tcPr>
          <w:p>
            <w:pPr>
              <w:ind w:left="2700"/>
              <w:spacing w:after="0"/>
              <w:rPr>
                <w:sz w:val="20"/>
                <w:szCs w:val="20"/>
                <w:color w:val="auto"/>
              </w:rPr>
            </w:pPr>
            <w:r>
              <w:rPr>
                <w:rFonts w:ascii="Arial" w:cs="Arial" w:eastAsia="Arial" w:hAnsi="Arial"/>
                <w:sz w:val="18"/>
                <w:szCs w:val="18"/>
                <w:b w:val="1"/>
                <w:bCs w:val="1"/>
                <w:color w:val="auto"/>
              </w:rPr>
              <w:t>CONSOLIDATED STATEMENTS OF COMPREHENSIVE (LOSS) INCOME</w:t>
            </w:r>
          </w:p>
        </w:tc>
        <w:tc>
          <w:tcPr>
            <w:tcW w:w="38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608"/>
        </w:trPr>
        <w:tc>
          <w:tcPr>
            <w:tcW w:w="4700" w:type="dxa"/>
            <w:vAlign w:val="bottom"/>
          </w:tcPr>
          <w:p>
            <w:pPr>
              <w:spacing w:after="0"/>
              <w:rPr>
                <w:sz w:val="24"/>
                <w:szCs w:val="24"/>
                <w:color w:val="auto"/>
              </w:rPr>
            </w:pPr>
          </w:p>
        </w:tc>
        <w:tc>
          <w:tcPr>
            <w:tcW w:w="3420" w:type="dxa"/>
            <w:vAlign w:val="bottom"/>
            <w:gridSpan w:val="6"/>
          </w:tcPr>
          <w:p>
            <w:pPr>
              <w:ind w:left="440"/>
              <w:spacing w:after="0"/>
              <w:rPr>
                <w:sz w:val="20"/>
                <w:szCs w:val="20"/>
                <w:color w:val="auto"/>
              </w:rPr>
            </w:pPr>
            <w:r>
              <w:rPr>
                <w:rFonts w:ascii="Arial" w:cs="Arial" w:eastAsia="Arial" w:hAnsi="Arial"/>
                <w:sz w:val="14"/>
                <w:szCs w:val="14"/>
                <w:b w:val="1"/>
                <w:bCs w:val="1"/>
                <w:color w:val="auto"/>
              </w:rPr>
              <w:t>Three Months Ended September 30,</w:t>
            </w:r>
          </w:p>
        </w:tc>
        <w:tc>
          <w:tcPr>
            <w:tcW w:w="420" w:type="dxa"/>
            <w:vAlign w:val="bottom"/>
          </w:tcPr>
          <w:p>
            <w:pPr>
              <w:spacing w:after="0"/>
              <w:rPr>
                <w:sz w:val="24"/>
                <w:szCs w:val="24"/>
                <w:color w:val="auto"/>
              </w:rPr>
            </w:pPr>
          </w:p>
        </w:tc>
        <w:tc>
          <w:tcPr>
            <w:tcW w:w="2880" w:type="dxa"/>
            <w:vAlign w:val="bottom"/>
            <w:gridSpan w:val="4"/>
          </w:tcPr>
          <w:p>
            <w:pPr>
              <w:jc w:val="right"/>
              <w:ind w:right="380"/>
              <w:spacing w:after="0"/>
              <w:rPr>
                <w:sz w:val="20"/>
                <w:szCs w:val="20"/>
                <w:color w:val="auto"/>
              </w:rPr>
            </w:pPr>
            <w:r>
              <w:rPr>
                <w:rFonts w:ascii="Arial" w:cs="Arial" w:eastAsia="Arial" w:hAnsi="Arial"/>
                <w:sz w:val="14"/>
                <w:szCs w:val="14"/>
                <w:b w:val="1"/>
                <w:bCs w:val="1"/>
                <w:color w:val="auto"/>
              </w:rPr>
              <w:t>Nine Months Ended September 30,</w:t>
            </w:r>
          </w:p>
        </w:tc>
      </w:tr>
      <w:tr>
        <w:trPr>
          <w:trHeight w:val="264"/>
        </w:trPr>
        <w:tc>
          <w:tcPr>
            <w:tcW w:w="4700" w:type="dxa"/>
            <w:vAlign w:val="bottom"/>
          </w:tcPr>
          <w:p>
            <w:pPr>
              <w:spacing w:after="0"/>
              <w:rPr>
                <w:sz w:val="22"/>
                <w:szCs w:val="22"/>
                <w:color w:val="auto"/>
              </w:rPr>
            </w:pPr>
          </w:p>
        </w:tc>
        <w:tc>
          <w:tcPr>
            <w:tcW w:w="1040" w:type="dxa"/>
            <w:vAlign w:val="bottom"/>
            <w:tcBorders>
              <w:top w:val="single" w:sz="8" w:color="auto"/>
              <w:bottom w:val="single" w:sz="8" w:color="auto"/>
            </w:tcBorders>
          </w:tcPr>
          <w:p>
            <w:pPr>
              <w:jc w:val="right"/>
              <w:ind w:right="3"/>
              <w:spacing w:after="0"/>
              <w:rPr>
                <w:sz w:val="20"/>
                <w:szCs w:val="20"/>
                <w:color w:val="auto"/>
              </w:rPr>
            </w:pPr>
            <w:r>
              <w:rPr>
                <w:rFonts w:ascii="Arial" w:cs="Arial" w:eastAsia="Arial" w:hAnsi="Arial"/>
                <w:sz w:val="14"/>
                <w:szCs w:val="14"/>
                <w:b w:val="1"/>
                <w:bCs w:val="1"/>
                <w:color w:val="auto"/>
              </w:rPr>
              <w:t>2017</w:t>
            </w:r>
          </w:p>
        </w:tc>
        <w:tc>
          <w:tcPr>
            <w:tcW w:w="580" w:type="dxa"/>
            <w:vAlign w:val="bottom"/>
            <w:tcBorders>
              <w:top w:val="single" w:sz="8" w:color="auto"/>
              <w:bottom w:val="single" w:sz="8" w:color="auto"/>
            </w:tcBorders>
          </w:tcPr>
          <w:p>
            <w:pPr>
              <w:spacing w:after="0"/>
              <w:rPr>
                <w:sz w:val="22"/>
                <w:szCs w:val="22"/>
                <w:color w:val="auto"/>
              </w:rPr>
            </w:pPr>
          </w:p>
        </w:tc>
        <w:tc>
          <w:tcPr>
            <w:tcW w:w="100" w:type="dxa"/>
            <w:vAlign w:val="bottom"/>
            <w:tcBorders>
              <w:top w:val="single" w:sz="8" w:color="auto"/>
              <w:bottom w:val="single" w:sz="8" w:color="auto"/>
            </w:tcBorders>
          </w:tcPr>
          <w:p>
            <w:pPr>
              <w:spacing w:after="0"/>
              <w:rPr>
                <w:sz w:val="22"/>
                <w:szCs w:val="22"/>
                <w:color w:val="auto"/>
              </w:rPr>
            </w:pPr>
          </w:p>
        </w:tc>
        <w:tc>
          <w:tcPr>
            <w:tcW w:w="300" w:type="dxa"/>
            <w:vAlign w:val="bottom"/>
            <w:tcBorders>
              <w:top w:val="single" w:sz="8" w:color="auto"/>
              <w:bottom w:val="single" w:sz="8" w:color="auto"/>
            </w:tcBorders>
          </w:tcPr>
          <w:p>
            <w:pPr>
              <w:spacing w:after="0"/>
              <w:rPr>
                <w:sz w:val="22"/>
                <w:szCs w:val="22"/>
                <w:color w:val="auto"/>
              </w:rPr>
            </w:pPr>
          </w:p>
        </w:tc>
        <w:tc>
          <w:tcPr>
            <w:tcW w:w="1300" w:type="dxa"/>
            <w:vAlign w:val="bottom"/>
            <w:tcBorders>
              <w:top w:val="single" w:sz="8" w:color="auto"/>
              <w:bottom w:val="single" w:sz="8" w:color="auto"/>
            </w:tcBorders>
          </w:tcPr>
          <w:p>
            <w:pPr>
              <w:jc w:val="right"/>
              <w:ind w:right="561"/>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auto"/>
            </w:tcBorders>
          </w:tcPr>
          <w:p>
            <w:pPr>
              <w:spacing w:after="0"/>
              <w:rPr>
                <w:sz w:val="22"/>
                <w:szCs w:val="22"/>
                <w:color w:val="auto"/>
              </w:rPr>
            </w:pPr>
          </w:p>
        </w:tc>
        <w:tc>
          <w:tcPr>
            <w:tcW w:w="420" w:type="dxa"/>
            <w:vAlign w:val="bottom"/>
            <w:tcBorders>
              <w:top w:val="single" w:sz="8" w:color="auto"/>
              <w:bottom w:val="single" w:sz="8" w:color="auto"/>
            </w:tcBorders>
          </w:tcPr>
          <w:p>
            <w:pPr>
              <w:spacing w:after="0"/>
              <w:rPr>
                <w:sz w:val="22"/>
                <w:szCs w:val="22"/>
                <w:color w:val="auto"/>
              </w:rPr>
            </w:pPr>
          </w:p>
        </w:tc>
        <w:tc>
          <w:tcPr>
            <w:tcW w:w="1180" w:type="dxa"/>
            <w:vAlign w:val="bottom"/>
            <w:tcBorders>
              <w:top w:val="single" w:sz="8" w:color="auto"/>
              <w:bottom w:val="single" w:sz="8" w:color="auto"/>
            </w:tcBorders>
          </w:tcPr>
          <w:p>
            <w:pPr>
              <w:jc w:val="right"/>
              <w:ind w:right="560"/>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top w:val="single" w:sz="8" w:color="auto"/>
              <w:bottom w:val="single" w:sz="8" w:color="auto"/>
            </w:tcBorders>
          </w:tcPr>
          <w:p>
            <w:pPr>
              <w:spacing w:after="0"/>
              <w:rPr>
                <w:sz w:val="22"/>
                <w:szCs w:val="22"/>
                <w:color w:val="auto"/>
              </w:rPr>
            </w:pPr>
          </w:p>
        </w:tc>
        <w:tc>
          <w:tcPr>
            <w:tcW w:w="380" w:type="dxa"/>
            <w:vAlign w:val="bottom"/>
            <w:tcBorders>
              <w:top w:val="single" w:sz="8" w:color="auto"/>
              <w:bottom w:val="single" w:sz="8" w:color="auto"/>
            </w:tcBorders>
          </w:tcPr>
          <w:p>
            <w:pPr>
              <w:spacing w:after="0"/>
              <w:rPr>
                <w:sz w:val="22"/>
                <w:szCs w:val="22"/>
                <w:color w:val="auto"/>
              </w:rPr>
            </w:pPr>
          </w:p>
        </w:tc>
        <w:tc>
          <w:tcPr>
            <w:tcW w:w="1220" w:type="dxa"/>
            <w:vAlign w:val="bottom"/>
            <w:tcBorders>
              <w:top w:val="single" w:sz="8" w:color="auto"/>
              <w:bottom w:val="single" w:sz="8" w:color="auto"/>
            </w:tcBorders>
          </w:tcPr>
          <w:p>
            <w:pPr>
              <w:jc w:val="right"/>
              <w:ind w:right="560"/>
              <w:spacing w:after="0"/>
              <w:rPr>
                <w:sz w:val="20"/>
                <w:szCs w:val="20"/>
                <w:color w:val="auto"/>
              </w:rPr>
            </w:pPr>
            <w:r>
              <w:rPr>
                <w:rFonts w:ascii="Arial" w:cs="Arial" w:eastAsia="Arial" w:hAnsi="Arial"/>
                <w:sz w:val="14"/>
                <w:szCs w:val="14"/>
                <w:b w:val="1"/>
                <w:bCs w:val="1"/>
                <w:color w:val="auto"/>
              </w:rPr>
              <w:t>2016</w:t>
            </w:r>
          </w:p>
        </w:tc>
      </w:tr>
      <w:tr>
        <w:trPr>
          <w:trHeight w:val="168"/>
        </w:trPr>
        <w:tc>
          <w:tcPr>
            <w:tcW w:w="47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100" w:type="dxa"/>
            <w:vAlign w:val="bottom"/>
            <w:gridSpan w:val="5"/>
          </w:tcPr>
          <w:p>
            <w:pPr>
              <w:jc w:val="center"/>
              <w:ind w:right="400"/>
              <w:spacing w:after="0"/>
              <w:rPr>
                <w:sz w:val="20"/>
                <w:szCs w:val="20"/>
                <w:color w:val="auto"/>
              </w:rPr>
            </w:pPr>
            <w:r>
              <w:rPr>
                <w:rFonts w:ascii="Arial" w:cs="Arial" w:eastAsia="Arial" w:hAnsi="Arial"/>
                <w:sz w:val="14"/>
                <w:szCs w:val="14"/>
                <w:b w:val="1"/>
                <w:bCs w:val="1"/>
                <w:color w:val="auto"/>
              </w:rPr>
              <w:t>(Amounts in millions)</w:t>
            </w:r>
          </w:p>
        </w:tc>
        <w:tc>
          <w:tcPr>
            <w:tcW w:w="38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203"/>
        </w:trPr>
        <w:tc>
          <w:tcPr>
            <w:tcW w:w="47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820" w:type="dxa"/>
            <w:vAlign w:val="bottom"/>
            <w:gridSpan w:val="3"/>
          </w:tcPr>
          <w:p>
            <w:pPr>
              <w:jc w:val="center"/>
              <w:ind w:left="821"/>
              <w:spacing w:after="0"/>
              <w:rPr>
                <w:sz w:val="20"/>
                <w:szCs w:val="20"/>
                <w:color w:val="auto"/>
              </w:rPr>
            </w:pPr>
            <w:r>
              <w:rPr>
                <w:rFonts w:ascii="Arial" w:cs="Arial" w:eastAsia="Arial" w:hAnsi="Arial"/>
                <w:sz w:val="14"/>
                <w:szCs w:val="14"/>
                <w:b w:val="1"/>
                <w:bCs w:val="1"/>
                <w:color w:val="auto"/>
              </w:rPr>
              <w:t>(Unaudited)</w:t>
            </w: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271"/>
        </w:trPr>
        <w:tc>
          <w:tcPr>
            <w:tcW w:w="4700" w:type="dxa"/>
            <w:vAlign w:val="bottom"/>
            <w:shd w:val="clear" w:color="auto" w:fill="CCEEFF"/>
          </w:tcPr>
          <w:p>
            <w:pPr>
              <w:ind w:left="40"/>
              <w:spacing w:after="0"/>
              <w:rPr>
                <w:sz w:val="20"/>
                <w:szCs w:val="20"/>
                <w:color w:val="auto"/>
              </w:rPr>
            </w:pPr>
            <w:r>
              <w:rPr>
                <w:rFonts w:ascii="Arial" w:cs="Arial" w:eastAsia="Arial" w:hAnsi="Arial"/>
                <w:sz w:val="16"/>
                <w:szCs w:val="16"/>
                <w:color w:val="auto"/>
              </w:rPr>
              <w:t>Net (loss) income</w:t>
            </w:r>
          </w:p>
        </w:tc>
        <w:tc>
          <w:tcPr>
            <w:tcW w:w="1040" w:type="dxa"/>
            <w:vAlign w:val="bottom"/>
            <w:shd w:val="clear" w:color="auto" w:fill="CCEEFF"/>
          </w:tcPr>
          <w:p>
            <w:pPr>
              <w:jc w:val="right"/>
              <w:ind w:right="843"/>
              <w:spacing w:after="0"/>
              <w:rPr>
                <w:sz w:val="20"/>
                <w:szCs w:val="20"/>
                <w:color w:val="auto"/>
              </w:rPr>
            </w:pPr>
            <w:r>
              <w:rPr>
                <w:rFonts w:ascii="Arial" w:cs="Arial" w:eastAsia="Arial" w:hAnsi="Arial"/>
                <w:sz w:val="16"/>
                <w:szCs w:val="16"/>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(97)</w:t>
            </w: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30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42</w:t>
            </w:r>
          </w:p>
        </w:tc>
        <w:tc>
          <w:tcPr>
            <w:tcW w:w="100" w:type="dxa"/>
            <w:vAlign w:val="bottom"/>
            <w:shd w:val="clear" w:color="auto" w:fill="CCEEFF"/>
          </w:tcPr>
          <w:p>
            <w:pPr>
              <w:spacing w:after="0"/>
              <w:rPr>
                <w:sz w:val="23"/>
                <w:szCs w:val="23"/>
                <w:color w:val="auto"/>
              </w:rPr>
            </w:pPr>
          </w:p>
        </w:tc>
        <w:tc>
          <w:tcPr>
            <w:tcW w:w="420" w:type="dxa"/>
            <w:vAlign w:val="bottom"/>
            <w:shd w:val="clear" w:color="auto" w:fill="CCEEFF"/>
          </w:tcPr>
          <w:p>
            <w:pPr>
              <w:jc w:val="right"/>
              <w:ind w:right="219"/>
              <w:spacing w:after="0"/>
              <w:rPr>
                <w:sz w:val="20"/>
                <w:szCs w:val="20"/>
                <w:color w:val="auto"/>
              </w:rPr>
            </w:pPr>
            <w:r>
              <w:rPr>
                <w:rFonts w:ascii="Arial" w:cs="Arial" w:eastAsia="Arial" w:hAnsi="Arial"/>
                <w:sz w:val="16"/>
                <w:szCs w:val="16"/>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(250)</w:t>
            </w:r>
          </w:p>
        </w:tc>
        <w:tc>
          <w:tcPr>
            <w:tcW w:w="100" w:type="dxa"/>
            <w:vAlign w:val="bottom"/>
            <w:shd w:val="clear" w:color="auto" w:fill="CCEEFF"/>
          </w:tcPr>
          <w:p>
            <w:pPr>
              <w:spacing w:after="0"/>
              <w:rPr>
                <w:sz w:val="23"/>
                <w:szCs w:val="23"/>
                <w:color w:val="auto"/>
              </w:rPr>
            </w:pPr>
          </w:p>
        </w:tc>
        <w:tc>
          <w:tcPr>
            <w:tcW w:w="38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22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99</w:t>
            </w:r>
          </w:p>
        </w:tc>
      </w:tr>
      <w:tr>
        <w:trPr>
          <w:trHeight w:val="262"/>
        </w:trPr>
        <w:tc>
          <w:tcPr>
            <w:tcW w:w="4700" w:type="dxa"/>
            <w:vAlign w:val="bottom"/>
          </w:tcPr>
          <w:p>
            <w:pPr>
              <w:ind w:left="40"/>
              <w:spacing w:after="0"/>
              <w:rPr>
                <w:sz w:val="20"/>
                <w:szCs w:val="20"/>
                <w:color w:val="auto"/>
              </w:rPr>
            </w:pPr>
            <w:r>
              <w:rPr>
                <w:rFonts w:ascii="Arial" w:cs="Arial" w:eastAsia="Arial" w:hAnsi="Arial"/>
                <w:sz w:val="16"/>
                <w:szCs w:val="16"/>
                <w:color w:val="auto"/>
              </w:rPr>
              <w:t>Other comprehensive income:</w:t>
            </w:r>
          </w:p>
        </w:tc>
        <w:tc>
          <w:tcPr>
            <w:tcW w:w="104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20" w:type="dxa"/>
            <w:vAlign w:val="bottom"/>
          </w:tcPr>
          <w:p>
            <w:pPr>
              <w:spacing w:after="0"/>
              <w:rPr>
                <w:sz w:val="22"/>
                <w:szCs w:val="22"/>
                <w:color w:val="auto"/>
              </w:rPr>
            </w:pPr>
          </w:p>
        </w:tc>
      </w:tr>
      <w:tr>
        <w:trPr>
          <w:trHeight w:val="278"/>
        </w:trPr>
        <w:tc>
          <w:tcPr>
            <w:tcW w:w="4700" w:type="dxa"/>
            <w:vAlign w:val="bottom"/>
            <w:shd w:val="clear" w:color="auto" w:fill="CCEEFF"/>
          </w:tcPr>
          <w:p>
            <w:pPr>
              <w:ind w:left="180"/>
              <w:spacing w:after="0"/>
              <w:rPr>
                <w:sz w:val="20"/>
                <w:szCs w:val="20"/>
                <w:color w:val="auto"/>
              </w:rPr>
            </w:pPr>
            <w:r>
              <w:rPr>
                <w:rFonts w:ascii="Arial" w:cs="Arial" w:eastAsia="Arial" w:hAnsi="Arial"/>
                <w:sz w:val="16"/>
                <w:szCs w:val="16"/>
                <w:color w:val="auto"/>
              </w:rPr>
              <w:t>Unrealized investment gain (loss)</w:t>
            </w:r>
          </w:p>
        </w:tc>
        <w:tc>
          <w:tcPr>
            <w:tcW w:w="1040" w:type="dxa"/>
            <w:vAlign w:val="bottom"/>
            <w:shd w:val="clear" w:color="auto" w:fill="CCEEFF"/>
          </w:tcPr>
          <w:p>
            <w:pPr>
              <w:spacing w:after="0"/>
              <w:rPr>
                <w:sz w:val="24"/>
                <w:szCs w:val="24"/>
                <w:color w:val="auto"/>
              </w:rPr>
            </w:pPr>
          </w:p>
        </w:tc>
        <w:tc>
          <w:tcPr>
            <w:tcW w:w="5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w:t>
            </w: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10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118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2</w:t>
            </w: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10</w:t>
            </w:r>
          </w:p>
        </w:tc>
      </w:tr>
      <w:tr>
        <w:trPr>
          <w:trHeight w:val="264"/>
        </w:trPr>
        <w:tc>
          <w:tcPr>
            <w:tcW w:w="4700" w:type="dxa"/>
            <w:vAlign w:val="bottom"/>
            <w:tcBorders>
              <w:bottom w:val="single" w:sz="8" w:color="CCEEFF"/>
            </w:tcBorders>
          </w:tcPr>
          <w:p>
            <w:pPr>
              <w:ind w:left="180"/>
              <w:spacing w:after="0"/>
              <w:rPr>
                <w:sz w:val="20"/>
                <w:szCs w:val="20"/>
                <w:color w:val="auto"/>
              </w:rPr>
            </w:pPr>
            <w:r>
              <w:rPr>
                <w:rFonts w:ascii="Arial" w:cs="Arial" w:eastAsia="Arial" w:hAnsi="Arial"/>
                <w:sz w:val="16"/>
                <w:szCs w:val="16"/>
                <w:color w:val="auto"/>
              </w:rPr>
              <w:t>Less: effect of income taxes</w:t>
            </w:r>
          </w:p>
        </w:tc>
        <w:tc>
          <w:tcPr>
            <w:tcW w:w="1040" w:type="dxa"/>
            <w:vAlign w:val="bottom"/>
            <w:tcBorders>
              <w:bottom w:val="single" w:sz="8" w:color="auto"/>
            </w:tcBorders>
          </w:tcPr>
          <w:p>
            <w:pPr>
              <w:spacing w:after="0"/>
              <w:rPr>
                <w:sz w:val="22"/>
                <w:szCs w:val="22"/>
                <w:color w:val="auto"/>
              </w:rPr>
            </w:pPr>
          </w:p>
        </w:tc>
        <w:tc>
          <w:tcPr>
            <w:tcW w:w="5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w:t>
            </w: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w:t>
            </w:r>
          </w:p>
        </w:tc>
        <w:tc>
          <w:tcPr>
            <w:tcW w:w="100" w:type="dxa"/>
            <w:vAlign w:val="bottom"/>
            <w:tcBorders>
              <w:bottom w:val="single" w:sz="8" w:color="CCEEFF"/>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1</w:t>
            </w:r>
          </w:p>
        </w:tc>
        <w:tc>
          <w:tcPr>
            <w:tcW w:w="10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3</w:t>
            </w:r>
          </w:p>
        </w:tc>
      </w:tr>
      <w:tr>
        <w:trPr>
          <w:trHeight w:val="250"/>
        </w:trPr>
        <w:tc>
          <w:tcPr>
            <w:tcW w:w="4700" w:type="dxa"/>
            <w:vAlign w:val="bottom"/>
            <w:shd w:val="clear" w:color="auto" w:fill="CCEEFF"/>
          </w:tcPr>
          <w:p>
            <w:pPr>
              <w:ind w:left="380"/>
              <w:spacing w:after="0"/>
              <w:rPr>
                <w:sz w:val="20"/>
                <w:szCs w:val="20"/>
                <w:color w:val="auto"/>
              </w:rPr>
            </w:pPr>
            <w:r>
              <w:rPr>
                <w:rFonts w:ascii="Arial" w:cs="Arial" w:eastAsia="Arial" w:hAnsi="Arial"/>
                <w:sz w:val="16"/>
                <w:szCs w:val="16"/>
                <w:color w:val="auto"/>
              </w:rPr>
              <w:t>Other comprehensive (loss) income, net of tax</w:t>
            </w:r>
          </w:p>
        </w:tc>
        <w:tc>
          <w:tcPr>
            <w:tcW w:w="1040" w:type="dxa"/>
            <w:vAlign w:val="bottom"/>
            <w:shd w:val="clear" w:color="auto" w:fill="CCEEFF"/>
          </w:tcPr>
          <w:p>
            <w:pPr>
              <w:spacing w:after="0"/>
              <w:rPr>
                <w:sz w:val="21"/>
                <w:szCs w:val="21"/>
                <w:color w:val="auto"/>
              </w:rPr>
            </w:pPr>
          </w:p>
        </w:tc>
        <w:tc>
          <w:tcPr>
            <w:tcW w:w="6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00" w:type="dxa"/>
            <w:vAlign w:val="bottom"/>
            <w:shd w:val="clear" w:color="auto" w:fill="CCEEFF"/>
          </w:tcPr>
          <w:p>
            <w:pPr>
              <w:spacing w:after="0"/>
              <w:rPr>
                <w:sz w:val="21"/>
                <w:szCs w:val="21"/>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0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118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1</w:t>
            </w:r>
          </w:p>
        </w:tc>
        <w:tc>
          <w:tcPr>
            <w:tcW w:w="10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22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7</w:t>
            </w:r>
          </w:p>
        </w:tc>
      </w:tr>
      <w:tr>
        <w:trPr>
          <w:trHeight w:val="242"/>
        </w:trPr>
        <w:tc>
          <w:tcPr>
            <w:tcW w:w="4700" w:type="dxa"/>
            <w:vAlign w:val="bottom"/>
          </w:tcPr>
          <w:p>
            <w:pPr>
              <w:ind w:left="40"/>
              <w:spacing w:after="0"/>
              <w:rPr>
                <w:sz w:val="20"/>
                <w:szCs w:val="20"/>
                <w:color w:val="auto"/>
              </w:rPr>
            </w:pPr>
            <w:r>
              <w:rPr>
                <w:rFonts w:ascii="Arial" w:cs="Arial" w:eastAsia="Arial" w:hAnsi="Arial"/>
                <w:sz w:val="16"/>
                <w:szCs w:val="16"/>
                <w:color w:val="auto"/>
              </w:rPr>
              <w:t>Comprehensive (loss) income</w:t>
            </w:r>
          </w:p>
        </w:tc>
        <w:tc>
          <w:tcPr>
            <w:tcW w:w="1040" w:type="dxa"/>
            <w:vAlign w:val="bottom"/>
            <w:tcBorders>
              <w:top w:val="single" w:sz="8" w:color="auto"/>
              <w:bottom w:val="single" w:sz="8" w:color="auto"/>
            </w:tcBorders>
          </w:tcPr>
          <w:p>
            <w:pPr>
              <w:jc w:val="right"/>
              <w:ind w:right="843"/>
              <w:spacing w:after="0"/>
              <w:rPr>
                <w:sz w:val="20"/>
                <w:szCs w:val="20"/>
                <w:color w:val="auto"/>
              </w:rPr>
            </w:pPr>
            <w:r>
              <w:rPr>
                <w:rFonts w:ascii="Arial" w:cs="Arial" w:eastAsia="Arial" w:hAnsi="Arial"/>
                <w:sz w:val="16"/>
                <w:szCs w:val="16"/>
                <w:color w:val="auto"/>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(97)</w:t>
            </w:r>
          </w:p>
        </w:tc>
        <w:tc>
          <w:tcPr>
            <w:tcW w:w="100" w:type="dxa"/>
            <w:vAlign w:val="bottom"/>
          </w:tcPr>
          <w:p>
            <w:pPr>
              <w:spacing w:after="0"/>
              <w:rPr>
                <w:sz w:val="21"/>
                <w:szCs w:val="21"/>
                <w:color w:val="auto"/>
              </w:rPr>
            </w:pPr>
          </w:p>
        </w:tc>
        <w:tc>
          <w:tcPr>
            <w:tcW w:w="300" w:type="dxa"/>
            <w:vAlign w:val="bottom"/>
            <w:tcBorders>
              <w:top w:val="single" w:sz="8" w:color="auto"/>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1300" w:type="dxa"/>
            <w:vAlign w:val="bottom"/>
            <w:tcBorders>
              <w:top w:val="single" w:sz="8" w:color="auto"/>
              <w:bottom w:val="single" w:sz="8" w:color="auto"/>
            </w:tcBorders>
          </w:tcPr>
          <w:p>
            <w:pPr>
              <w:jc w:val="right"/>
              <w:ind w:right="41"/>
              <w:spacing w:after="0"/>
              <w:rPr>
                <w:sz w:val="20"/>
                <w:szCs w:val="20"/>
                <w:color w:val="auto"/>
              </w:rPr>
            </w:pPr>
            <w:r>
              <w:rPr>
                <w:rFonts w:ascii="Arial" w:cs="Arial" w:eastAsia="Arial" w:hAnsi="Arial"/>
                <w:sz w:val="16"/>
                <w:szCs w:val="16"/>
                <w:color w:val="auto"/>
              </w:rPr>
              <w:t>41</w:t>
            </w:r>
          </w:p>
        </w:tc>
        <w:tc>
          <w:tcPr>
            <w:tcW w:w="100" w:type="dxa"/>
            <w:vAlign w:val="bottom"/>
          </w:tcPr>
          <w:p>
            <w:pPr>
              <w:spacing w:after="0"/>
              <w:rPr>
                <w:sz w:val="21"/>
                <w:szCs w:val="21"/>
                <w:color w:val="auto"/>
              </w:rPr>
            </w:pPr>
          </w:p>
        </w:tc>
        <w:tc>
          <w:tcPr>
            <w:tcW w:w="420" w:type="dxa"/>
            <w:vAlign w:val="bottom"/>
            <w:tcBorders>
              <w:top w:val="single" w:sz="8" w:color="auto"/>
              <w:bottom w:val="single" w:sz="8" w:color="auto"/>
            </w:tcBorders>
          </w:tcPr>
          <w:p>
            <w:pPr>
              <w:jc w:val="right"/>
              <w:ind w:right="219"/>
              <w:spacing w:after="0"/>
              <w:rPr>
                <w:sz w:val="20"/>
                <w:szCs w:val="20"/>
                <w:color w:val="auto"/>
              </w:rPr>
            </w:pPr>
            <w:r>
              <w:rPr>
                <w:rFonts w:ascii="Arial" w:cs="Arial" w:eastAsia="Arial" w:hAnsi="Arial"/>
                <w:sz w:val="16"/>
                <w:szCs w:val="16"/>
                <w:color w:val="auto"/>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(249)</w:t>
            </w:r>
          </w:p>
        </w:tc>
        <w:tc>
          <w:tcPr>
            <w:tcW w:w="100" w:type="dxa"/>
            <w:vAlign w:val="bottom"/>
          </w:tcPr>
          <w:p>
            <w:pPr>
              <w:spacing w:after="0"/>
              <w:rPr>
                <w:sz w:val="21"/>
                <w:szCs w:val="21"/>
                <w:color w:val="auto"/>
              </w:rPr>
            </w:pPr>
          </w:p>
        </w:tc>
        <w:tc>
          <w:tcPr>
            <w:tcW w:w="380" w:type="dxa"/>
            <w:vAlign w:val="bottom"/>
            <w:tcBorders>
              <w:top w:val="single" w:sz="8" w:color="auto"/>
              <w:bottom w:val="single" w:sz="8" w:color="auto"/>
            </w:tcBorders>
          </w:tcPr>
          <w:p>
            <w:pPr>
              <w:jc w:val="right"/>
              <w:ind w:right="179"/>
              <w:spacing w:after="0"/>
              <w:rPr>
                <w:sz w:val="20"/>
                <w:szCs w:val="20"/>
                <w:color w:val="auto"/>
              </w:rPr>
            </w:pPr>
            <w:r>
              <w:rPr>
                <w:rFonts w:ascii="Arial" w:cs="Arial" w:eastAsia="Arial" w:hAnsi="Arial"/>
                <w:sz w:val="16"/>
                <w:szCs w:val="16"/>
                <w:color w:val="auto"/>
              </w:rPr>
              <w:t>$</w:t>
            </w:r>
          </w:p>
        </w:tc>
        <w:tc>
          <w:tcPr>
            <w:tcW w:w="122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6"/>
                <w:szCs w:val="16"/>
                <w:color w:val="auto"/>
              </w:rPr>
              <w:t>106</w:t>
            </w:r>
          </w:p>
        </w:tc>
      </w:tr>
      <w:tr>
        <w:trPr>
          <w:trHeight w:val="20"/>
        </w:trPr>
        <w:tc>
          <w:tcPr>
            <w:tcW w:w="470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w:t>
      </w:r>
    </w:p>
    <w:p>
      <w:pPr>
        <w:spacing w:after="0" w:line="360" w:lineRule="exact"/>
        <w:rPr>
          <w:sz w:val="20"/>
          <w:szCs w:val="20"/>
          <w:color w:val="auto"/>
        </w:rPr>
      </w:pPr>
    </w:p>
    <w:p>
      <w:pPr>
        <w:ind w:left="7960"/>
        <w:spacing w:after="0"/>
        <w:rPr>
          <w:sz w:val="20"/>
          <w:szCs w:val="20"/>
          <w:color w:val="auto"/>
        </w:rPr>
      </w:pPr>
      <w:r>
        <w:rPr>
          <w:rFonts w:ascii="Arial" w:cs="Arial" w:eastAsia="Arial" w:hAnsi="Arial"/>
          <w:sz w:val="18"/>
          <w:szCs w:val="18"/>
          <w:color w:val="auto"/>
        </w:rPr>
        <w:t>Molina Healthcare, Inc. 2017 Form 10-Q | 3</w:t>
      </w:r>
    </w:p>
    <w:p>
      <w:pPr>
        <w:sectPr>
          <w:pgSz w:w="11900" w:h="16838" w:orient="portrait"/>
          <w:cols w:equalWidth="0" w:num="1">
            <w:col w:w="11420"/>
          </w:cols>
          <w:pgMar w:left="240" w:top="115" w:right="239" w:bottom="1440" w:gutter="0" w:footer="0" w:header="0"/>
        </w:sectPr>
      </w:pPr>
    </w:p>
    <w:bookmarkStart w:id="3" w:name="page4"/>
    <w:bookmarkEnd w:id="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MOLINA HEALTHCARE, INC.</w:t>
      </w:r>
    </w:p>
    <w:p>
      <w:pPr>
        <w:spacing w:after="0" w:line="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8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September 30,</w:t>
            </w:r>
          </w:p>
        </w:tc>
        <w:tc>
          <w:tcPr>
            <w:tcW w:w="200" w:type="dxa"/>
            <w:vAlign w:val="bottom"/>
          </w:tcPr>
          <w:p>
            <w:pPr>
              <w:spacing w:after="0"/>
              <w:rPr>
                <w:sz w:val="14"/>
                <w:szCs w:val="14"/>
                <w:color w:val="auto"/>
              </w:rPr>
            </w:pPr>
          </w:p>
        </w:tc>
        <w:tc>
          <w:tcPr>
            <w:tcW w:w="1280" w:type="dxa"/>
            <w:vAlign w:val="bottom"/>
          </w:tcPr>
          <w:p>
            <w:pPr>
              <w:jc w:val="right"/>
              <w:ind w:right="179"/>
              <w:spacing w:after="0"/>
              <w:rPr>
                <w:sz w:val="20"/>
                <w:szCs w:val="20"/>
                <w:color w:val="auto"/>
              </w:rPr>
            </w:pPr>
            <w:r>
              <w:rPr>
                <w:rFonts w:ascii="Arial" w:cs="Arial" w:eastAsia="Arial" w:hAnsi="Arial"/>
                <w:sz w:val="14"/>
                <w:szCs w:val="14"/>
                <w:b w:val="1"/>
                <w:bCs w:val="1"/>
                <w:color w:val="auto"/>
              </w:rPr>
              <w:t>December 31,</w:t>
            </w:r>
          </w:p>
        </w:tc>
      </w:tr>
      <w:tr>
        <w:trPr>
          <w:trHeight w:val="203"/>
        </w:trPr>
        <w:tc>
          <w:tcPr>
            <w:tcW w:w="834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center"/>
              <w:ind w:right="80"/>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ind w:right="499"/>
              <w:spacing w:after="0"/>
              <w:rPr>
                <w:sz w:val="20"/>
                <w:szCs w:val="20"/>
                <w:color w:val="auto"/>
              </w:rPr>
            </w:pPr>
            <w:r>
              <w:rPr>
                <w:rFonts w:ascii="Arial" w:cs="Arial" w:eastAsia="Arial" w:hAnsi="Arial"/>
                <w:sz w:val="14"/>
                <w:szCs w:val="14"/>
                <w:b w:val="1"/>
                <w:bCs w:val="1"/>
                <w:color w:val="auto"/>
              </w:rPr>
              <w:t>2016</w:t>
            </w:r>
          </w:p>
        </w:tc>
      </w:tr>
      <w:tr>
        <w:trPr>
          <w:trHeight w:val="168"/>
        </w:trPr>
        <w:tc>
          <w:tcPr>
            <w:tcW w:w="8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900" w:type="dxa"/>
            <w:vAlign w:val="bottom"/>
            <w:gridSpan w:val="4"/>
          </w:tcPr>
          <w:p>
            <w:pPr>
              <w:jc w:val="right"/>
              <w:ind w:right="719"/>
              <w:spacing w:after="0"/>
              <w:rPr>
                <w:sz w:val="20"/>
                <w:szCs w:val="20"/>
                <w:color w:val="auto"/>
              </w:rPr>
            </w:pPr>
            <w:r>
              <w:rPr>
                <w:rFonts w:ascii="Arial" w:cs="Arial" w:eastAsia="Arial" w:hAnsi="Arial"/>
                <w:sz w:val="14"/>
                <w:szCs w:val="14"/>
                <w:b w:val="1"/>
                <w:bCs w:val="1"/>
                <w:color w:val="auto"/>
              </w:rPr>
              <w:t>(Amounts in millions,</w:t>
            </w:r>
          </w:p>
        </w:tc>
      </w:tr>
      <w:tr>
        <w:trPr>
          <w:trHeight w:val="202"/>
        </w:trPr>
        <w:tc>
          <w:tcPr>
            <w:tcW w:w="8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900" w:type="dxa"/>
            <w:vAlign w:val="bottom"/>
            <w:gridSpan w:val="4"/>
          </w:tcPr>
          <w:p>
            <w:pPr>
              <w:jc w:val="right"/>
              <w:ind w:right="679"/>
              <w:spacing w:after="0"/>
              <w:rPr>
                <w:sz w:val="20"/>
                <w:szCs w:val="20"/>
                <w:color w:val="auto"/>
              </w:rPr>
            </w:pPr>
            <w:r>
              <w:rPr>
                <w:rFonts w:ascii="Arial" w:cs="Arial" w:eastAsia="Arial" w:hAnsi="Arial"/>
                <w:sz w:val="14"/>
                <w:szCs w:val="14"/>
                <w:b w:val="1"/>
                <w:bCs w:val="1"/>
                <w:color w:val="auto"/>
              </w:rPr>
              <w:t>except per-share data)</w:t>
            </w:r>
          </w:p>
        </w:tc>
      </w:tr>
      <w:tr>
        <w:trPr>
          <w:trHeight w:val="271"/>
        </w:trPr>
        <w:tc>
          <w:tcPr>
            <w:tcW w:w="83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4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(Unaudited)</w:t>
            </w:r>
          </w:p>
        </w:tc>
        <w:tc>
          <w:tcPr>
            <w:tcW w:w="200" w:type="dxa"/>
            <w:vAlign w:val="bottom"/>
          </w:tcPr>
          <w:p>
            <w:pPr>
              <w:spacing w:after="0"/>
              <w:rPr>
                <w:sz w:val="23"/>
                <w:szCs w:val="23"/>
                <w:color w:val="auto"/>
              </w:rPr>
            </w:pPr>
          </w:p>
        </w:tc>
        <w:tc>
          <w:tcPr>
            <w:tcW w:w="1280" w:type="dxa"/>
            <w:vAlign w:val="bottom"/>
          </w:tcPr>
          <w:p>
            <w:pPr>
              <w:spacing w:after="0"/>
              <w:rPr>
                <w:sz w:val="23"/>
                <w:szCs w:val="23"/>
                <w:color w:val="auto"/>
              </w:rPr>
            </w:pPr>
          </w:p>
        </w:tc>
      </w:tr>
      <w:tr>
        <w:trPr>
          <w:trHeight w:val="244"/>
        </w:trPr>
        <w:tc>
          <w:tcPr>
            <w:tcW w:w="8340" w:type="dxa"/>
            <w:vAlign w:val="bottom"/>
            <w:shd w:val="clear" w:color="auto" w:fill="CCEEFF"/>
          </w:tcPr>
          <w:p>
            <w:pPr>
              <w:ind w:left="5380"/>
              <w:spacing w:after="0"/>
              <w:rPr>
                <w:sz w:val="20"/>
                <w:szCs w:val="20"/>
                <w:color w:val="auto"/>
              </w:rPr>
            </w:pPr>
            <w:r>
              <w:rPr>
                <w:rFonts w:ascii="Arial" w:cs="Arial" w:eastAsia="Arial" w:hAnsi="Arial"/>
                <w:sz w:val="16"/>
                <w:szCs w:val="16"/>
                <w:b w:val="1"/>
                <w:bCs w:val="1"/>
                <w:color w:val="auto"/>
              </w:rPr>
              <w:t>ASSETS</w:t>
            </w:r>
          </w:p>
        </w:tc>
        <w:tc>
          <w:tcPr>
            <w:tcW w:w="180" w:type="dxa"/>
            <w:vAlign w:val="bottom"/>
            <w:shd w:val="clear" w:color="auto" w:fill="CCEEFF"/>
          </w:tcPr>
          <w:p>
            <w:pPr>
              <w:spacing w:after="0"/>
              <w:rPr>
                <w:sz w:val="21"/>
                <w:szCs w:val="21"/>
                <w:color w:val="auto"/>
              </w:rPr>
            </w:pPr>
          </w:p>
        </w:tc>
        <w:tc>
          <w:tcPr>
            <w:tcW w:w="13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280" w:type="dxa"/>
            <w:vAlign w:val="bottom"/>
            <w:shd w:val="clear" w:color="auto" w:fill="CCEEFF"/>
          </w:tcPr>
          <w:p>
            <w:pPr>
              <w:spacing w:after="0"/>
              <w:rPr>
                <w:sz w:val="21"/>
                <w:szCs w:val="21"/>
                <w:color w:val="auto"/>
              </w:rPr>
            </w:pPr>
          </w:p>
        </w:tc>
      </w:tr>
      <w:tr>
        <w:trPr>
          <w:trHeight w:val="262"/>
        </w:trPr>
        <w:tc>
          <w:tcPr>
            <w:tcW w:w="8340" w:type="dxa"/>
            <w:vAlign w:val="bottom"/>
          </w:tcPr>
          <w:p>
            <w:pPr>
              <w:ind w:left="40"/>
              <w:spacing w:after="0"/>
              <w:rPr>
                <w:sz w:val="20"/>
                <w:szCs w:val="20"/>
                <w:color w:val="auto"/>
              </w:rPr>
            </w:pPr>
            <w:r>
              <w:rPr>
                <w:rFonts w:ascii="Arial" w:cs="Arial" w:eastAsia="Arial" w:hAnsi="Arial"/>
                <w:sz w:val="16"/>
                <w:szCs w:val="16"/>
                <w:color w:val="auto"/>
              </w:rPr>
              <w:t>Current assets:</w:t>
            </w:r>
          </w:p>
        </w:tc>
        <w:tc>
          <w:tcPr>
            <w:tcW w:w="18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80" w:type="dxa"/>
            <w:vAlign w:val="bottom"/>
          </w:tcPr>
          <w:p>
            <w:pPr>
              <w:spacing w:after="0"/>
              <w:rPr>
                <w:sz w:val="22"/>
                <w:szCs w:val="22"/>
                <w:color w:val="auto"/>
              </w:rPr>
            </w:pPr>
          </w:p>
        </w:tc>
      </w:tr>
      <w:tr>
        <w:trPr>
          <w:trHeight w:val="278"/>
        </w:trPr>
        <w:tc>
          <w:tcPr>
            <w:tcW w:w="8340" w:type="dxa"/>
            <w:vAlign w:val="bottom"/>
            <w:shd w:val="clear" w:color="auto" w:fill="CCEEFF"/>
          </w:tcPr>
          <w:p>
            <w:pPr>
              <w:ind w:left="180"/>
              <w:spacing w:after="0"/>
              <w:rPr>
                <w:sz w:val="20"/>
                <w:szCs w:val="20"/>
                <w:color w:val="auto"/>
              </w:rPr>
            </w:pPr>
            <w:r>
              <w:rPr>
                <w:rFonts w:ascii="Arial" w:cs="Arial" w:eastAsia="Arial" w:hAnsi="Arial"/>
                <w:sz w:val="16"/>
                <w:szCs w:val="16"/>
                <w:color w:val="auto"/>
              </w:rPr>
              <w:t>Cash and cash equivalents</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2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3,934</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2,819</w:t>
            </w:r>
          </w:p>
        </w:tc>
      </w:tr>
      <w:tr>
        <w:trPr>
          <w:trHeight w:val="262"/>
        </w:trPr>
        <w:tc>
          <w:tcPr>
            <w:tcW w:w="8340" w:type="dxa"/>
            <w:vAlign w:val="bottom"/>
          </w:tcPr>
          <w:p>
            <w:pPr>
              <w:ind w:left="180"/>
              <w:spacing w:after="0"/>
              <w:rPr>
                <w:sz w:val="20"/>
                <w:szCs w:val="20"/>
                <w:color w:val="auto"/>
              </w:rPr>
            </w:pPr>
            <w:r>
              <w:rPr>
                <w:rFonts w:ascii="Arial" w:cs="Arial" w:eastAsia="Arial" w:hAnsi="Arial"/>
                <w:sz w:val="16"/>
                <w:szCs w:val="16"/>
                <w:color w:val="auto"/>
              </w:rPr>
              <w:t>Investments</w:t>
            </w:r>
          </w:p>
        </w:tc>
        <w:tc>
          <w:tcPr>
            <w:tcW w:w="180" w:type="dxa"/>
            <w:vAlign w:val="bottom"/>
          </w:tcPr>
          <w:p>
            <w:pPr>
              <w:spacing w:after="0"/>
              <w:rPr>
                <w:sz w:val="22"/>
                <w:szCs w:val="22"/>
                <w:color w:val="auto"/>
              </w:rPr>
            </w:pPr>
          </w:p>
        </w:tc>
        <w:tc>
          <w:tcPr>
            <w:tcW w:w="1320" w:type="dxa"/>
            <w:vAlign w:val="bottom"/>
          </w:tcPr>
          <w:p>
            <w:pPr>
              <w:jc w:val="right"/>
              <w:ind w:right="20"/>
              <w:spacing w:after="0"/>
              <w:rPr>
                <w:sz w:val="20"/>
                <w:szCs w:val="20"/>
                <w:color w:val="auto"/>
              </w:rPr>
            </w:pPr>
            <w:r>
              <w:rPr>
                <w:rFonts w:ascii="Arial" w:cs="Arial" w:eastAsia="Arial" w:hAnsi="Arial"/>
                <w:sz w:val="16"/>
                <w:szCs w:val="16"/>
                <w:color w:val="auto"/>
              </w:rPr>
              <w:t>1,787</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80" w:type="dxa"/>
            <w:vAlign w:val="bottom"/>
          </w:tcPr>
          <w:p>
            <w:pPr>
              <w:jc w:val="right"/>
              <w:ind w:right="19"/>
              <w:spacing w:after="0"/>
              <w:rPr>
                <w:sz w:val="20"/>
                <w:szCs w:val="20"/>
                <w:color w:val="auto"/>
              </w:rPr>
            </w:pPr>
            <w:r>
              <w:rPr>
                <w:rFonts w:ascii="Arial" w:cs="Arial" w:eastAsia="Arial" w:hAnsi="Arial"/>
                <w:sz w:val="16"/>
                <w:szCs w:val="16"/>
                <w:color w:val="auto"/>
              </w:rPr>
              <w:t>1,758</w:t>
            </w:r>
          </w:p>
        </w:tc>
      </w:tr>
      <w:tr>
        <w:trPr>
          <w:trHeight w:val="278"/>
        </w:trPr>
        <w:tc>
          <w:tcPr>
            <w:tcW w:w="8340" w:type="dxa"/>
            <w:vAlign w:val="bottom"/>
            <w:shd w:val="clear" w:color="auto" w:fill="CCEEFF"/>
          </w:tcPr>
          <w:p>
            <w:pPr>
              <w:ind w:left="180"/>
              <w:spacing w:after="0"/>
              <w:rPr>
                <w:sz w:val="20"/>
                <w:szCs w:val="20"/>
                <w:color w:val="auto"/>
              </w:rPr>
            </w:pPr>
            <w:r>
              <w:rPr>
                <w:rFonts w:ascii="Arial" w:cs="Arial" w:eastAsia="Arial" w:hAnsi="Arial"/>
                <w:sz w:val="16"/>
                <w:szCs w:val="16"/>
                <w:color w:val="auto"/>
              </w:rPr>
              <w:t>Restricted investments</w:t>
            </w:r>
          </w:p>
        </w:tc>
        <w:tc>
          <w:tcPr>
            <w:tcW w:w="180" w:type="dxa"/>
            <w:vAlign w:val="bottom"/>
            <w:shd w:val="clear" w:color="auto" w:fill="CCEEFF"/>
          </w:tcPr>
          <w:p>
            <w:pPr>
              <w:spacing w:after="0"/>
              <w:rPr>
                <w:sz w:val="24"/>
                <w:szCs w:val="24"/>
                <w:color w:val="auto"/>
              </w:rPr>
            </w:pPr>
          </w:p>
        </w:tc>
        <w:tc>
          <w:tcPr>
            <w:tcW w:w="132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326</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2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62"/>
        </w:trPr>
        <w:tc>
          <w:tcPr>
            <w:tcW w:w="8340" w:type="dxa"/>
            <w:vAlign w:val="bottom"/>
          </w:tcPr>
          <w:p>
            <w:pPr>
              <w:ind w:left="180"/>
              <w:spacing w:after="0"/>
              <w:rPr>
                <w:sz w:val="20"/>
                <w:szCs w:val="20"/>
                <w:color w:val="auto"/>
              </w:rPr>
            </w:pPr>
            <w:r>
              <w:rPr>
                <w:rFonts w:ascii="Arial" w:cs="Arial" w:eastAsia="Arial" w:hAnsi="Arial"/>
                <w:sz w:val="16"/>
                <w:szCs w:val="16"/>
                <w:color w:val="auto"/>
              </w:rPr>
              <w:t>Receivables</w:t>
            </w:r>
          </w:p>
        </w:tc>
        <w:tc>
          <w:tcPr>
            <w:tcW w:w="180" w:type="dxa"/>
            <w:vAlign w:val="bottom"/>
          </w:tcPr>
          <w:p>
            <w:pPr>
              <w:spacing w:after="0"/>
              <w:rPr>
                <w:sz w:val="22"/>
                <w:szCs w:val="22"/>
                <w:color w:val="auto"/>
              </w:rPr>
            </w:pPr>
          </w:p>
        </w:tc>
        <w:tc>
          <w:tcPr>
            <w:tcW w:w="1320" w:type="dxa"/>
            <w:vAlign w:val="bottom"/>
          </w:tcPr>
          <w:p>
            <w:pPr>
              <w:jc w:val="right"/>
              <w:ind w:right="20"/>
              <w:spacing w:after="0"/>
              <w:rPr>
                <w:sz w:val="20"/>
                <w:szCs w:val="20"/>
                <w:color w:val="auto"/>
              </w:rPr>
            </w:pPr>
            <w:r>
              <w:rPr>
                <w:rFonts w:ascii="Arial" w:cs="Arial" w:eastAsia="Arial" w:hAnsi="Arial"/>
                <w:sz w:val="16"/>
                <w:szCs w:val="16"/>
                <w:color w:val="auto"/>
              </w:rPr>
              <w:t>1,002</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80" w:type="dxa"/>
            <w:vAlign w:val="bottom"/>
          </w:tcPr>
          <w:p>
            <w:pPr>
              <w:jc w:val="right"/>
              <w:ind w:right="19"/>
              <w:spacing w:after="0"/>
              <w:rPr>
                <w:sz w:val="20"/>
                <w:szCs w:val="20"/>
                <w:color w:val="auto"/>
              </w:rPr>
            </w:pPr>
            <w:r>
              <w:rPr>
                <w:rFonts w:ascii="Arial" w:cs="Arial" w:eastAsia="Arial" w:hAnsi="Arial"/>
                <w:sz w:val="16"/>
                <w:szCs w:val="16"/>
                <w:color w:val="auto"/>
              </w:rPr>
              <w:t>974</w:t>
            </w:r>
          </w:p>
        </w:tc>
      </w:tr>
      <w:tr>
        <w:trPr>
          <w:trHeight w:val="278"/>
        </w:trPr>
        <w:tc>
          <w:tcPr>
            <w:tcW w:w="8340" w:type="dxa"/>
            <w:vAlign w:val="bottom"/>
            <w:shd w:val="clear" w:color="auto" w:fill="CCEEFF"/>
          </w:tcPr>
          <w:p>
            <w:pPr>
              <w:ind w:left="180"/>
              <w:spacing w:after="0"/>
              <w:rPr>
                <w:sz w:val="20"/>
                <w:szCs w:val="20"/>
                <w:color w:val="auto"/>
              </w:rPr>
            </w:pPr>
            <w:r>
              <w:rPr>
                <w:rFonts w:ascii="Arial" w:cs="Arial" w:eastAsia="Arial" w:hAnsi="Arial"/>
                <w:sz w:val="16"/>
                <w:szCs w:val="16"/>
                <w:color w:val="auto"/>
              </w:rPr>
              <w:t>Income taxes refundable</w:t>
            </w:r>
          </w:p>
        </w:tc>
        <w:tc>
          <w:tcPr>
            <w:tcW w:w="180" w:type="dxa"/>
            <w:vAlign w:val="bottom"/>
            <w:shd w:val="clear" w:color="auto" w:fill="CCEEFF"/>
          </w:tcPr>
          <w:p>
            <w:pPr>
              <w:spacing w:after="0"/>
              <w:rPr>
                <w:sz w:val="24"/>
                <w:szCs w:val="24"/>
                <w:color w:val="auto"/>
              </w:rPr>
            </w:pPr>
          </w:p>
        </w:tc>
        <w:tc>
          <w:tcPr>
            <w:tcW w:w="132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60</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2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39</w:t>
            </w:r>
          </w:p>
        </w:tc>
      </w:tr>
      <w:tr>
        <w:trPr>
          <w:trHeight w:val="262"/>
        </w:trPr>
        <w:tc>
          <w:tcPr>
            <w:tcW w:w="8340" w:type="dxa"/>
            <w:vAlign w:val="bottom"/>
          </w:tcPr>
          <w:p>
            <w:pPr>
              <w:ind w:left="180"/>
              <w:spacing w:after="0"/>
              <w:rPr>
                <w:sz w:val="20"/>
                <w:szCs w:val="20"/>
                <w:color w:val="auto"/>
              </w:rPr>
            </w:pPr>
            <w:r>
              <w:rPr>
                <w:rFonts w:ascii="Arial" w:cs="Arial" w:eastAsia="Arial" w:hAnsi="Arial"/>
                <w:sz w:val="16"/>
                <w:szCs w:val="16"/>
                <w:color w:val="auto"/>
              </w:rPr>
              <w:t>Prepaid expenses and other current assets</w:t>
            </w:r>
          </w:p>
        </w:tc>
        <w:tc>
          <w:tcPr>
            <w:tcW w:w="180" w:type="dxa"/>
            <w:vAlign w:val="bottom"/>
          </w:tcPr>
          <w:p>
            <w:pPr>
              <w:spacing w:after="0"/>
              <w:rPr>
                <w:sz w:val="22"/>
                <w:szCs w:val="22"/>
                <w:color w:val="auto"/>
              </w:rPr>
            </w:pPr>
          </w:p>
        </w:tc>
        <w:tc>
          <w:tcPr>
            <w:tcW w:w="1320" w:type="dxa"/>
            <w:vAlign w:val="bottom"/>
          </w:tcPr>
          <w:p>
            <w:pPr>
              <w:jc w:val="right"/>
              <w:ind w:right="20"/>
              <w:spacing w:after="0"/>
              <w:rPr>
                <w:sz w:val="20"/>
                <w:szCs w:val="20"/>
                <w:color w:val="auto"/>
              </w:rPr>
            </w:pPr>
            <w:r>
              <w:rPr>
                <w:rFonts w:ascii="Arial" w:cs="Arial" w:eastAsia="Arial" w:hAnsi="Arial"/>
                <w:sz w:val="16"/>
                <w:szCs w:val="16"/>
                <w:color w:val="auto"/>
              </w:rPr>
              <w:t>174</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80" w:type="dxa"/>
            <w:vAlign w:val="bottom"/>
          </w:tcPr>
          <w:p>
            <w:pPr>
              <w:jc w:val="right"/>
              <w:ind w:right="19"/>
              <w:spacing w:after="0"/>
              <w:rPr>
                <w:sz w:val="20"/>
                <w:szCs w:val="20"/>
                <w:color w:val="auto"/>
              </w:rPr>
            </w:pPr>
            <w:r>
              <w:rPr>
                <w:rFonts w:ascii="Arial" w:cs="Arial" w:eastAsia="Arial" w:hAnsi="Arial"/>
                <w:sz w:val="16"/>
                <w:szCs w:val="16"/>
                <w:color w:val="auto"/>
              </w:rPr>
              <w:t>131</w:t>
            </w:r>
          </w:p>
        </w:tc>
      </w:tr>
      <w:tr>
        <w:trPr>
          <w:trHeight w:val="271"/>
        </w:trPr>
        <w:tc>
          <w:tcPr>
            <w:tcW w:w="8340" w:type="dxa"/>
            <w:vAlign w:val="bottom"/>
            <w:shd w:val="clear" w:color="auto" w:fill="CCEEFF"/>
          </w:tcPr>
          <w:p>
            <w:pPr>
              <w:ind w:left="180"/>
              <w:spacing w:after="0"/>
              <w:rPr>
                <w:sz w:val="20"/>
                <w:szCs w:val="20"/>
                <w:color w:val="auto"/>
              </w:rPr>
            </w:pPr>
            <w:r>
              <w:rPr>
                <w:rFonts w:ascii="Arial" w:cs="Arial" w:eastAsia="Arial" w:hAnsi="Arial"/>
                <w:sz w:val="16"/>
                <w:szCs w:val="16"/>
                <w:color w:val="auto"/>
              </w:rPr>
              <w:t>Derivative asset</w:t>
            </w:r>
          </w:p>
        </w:tc>
        <w:tc>
          <w:tcPr>
            <w:tcW w:w="180" w:type="dxa"/>
            <w:vAlign w:val="bottom"/>
            <w:tcBorders>
              <w:bottom w:val="single" w:sz="8" w:color="auto"/>
            </w:tcBorders>
            <w:shd w:val="clear" w:color="auto" w:fill="CCEEFF"/>
          </w:tcPr>
          <w:p>
            <w:pPr>
              <w:spacing w:after="0"/>
              <w:rPr>
                <w:sz w:val="23"/>
                <w:szCs w:val="23"/>
                <w:color w:val="auto"/>
              </w:rPr>
            </w:pPr>
          </w:p>
        </w:tc>
        <w:tc>
          <w:tcPr>
            <w:tcW w:w="132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425</w:t>
            </w:r>
          </w:p>
        </w:tc>
        <w:tc>
          <w:tcPr>
            <w:tcW w:w="10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12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267</w:t>
            </w:r>
          </w:p>
        </w:tc>
      </w:tr>
      <w:tr>
        <w:trPr>
          <w:trHeight w:val="249"/>
        </w:trPr>
        <w:tc>
          <w:tcPr>
            <w:tcW w:w="8340" w:type="dxa"/>
            <w:vAlign w:val="bottom"/>
          </w:tcPr>
          <w:p>
            <w:pPr>
              <w:ind w:left="280"/>
              <w:spacing w:after="0"/>
              <w:rPr>
                <w:sz w:val="20"/>
                <w:szCs w:val="20"/>
                <w:color w:val="auto"/>
              </w:rPr>
            </w:pPr>
            <w:r>
              <w:rPr>
                <w:rFonts w:ascii="Arial" w:cs="Arial" w:eastAsia="Arial" w:hAnsi="Arial"/>
                <w:sz w:val="16"/>
                <w:szCs w:val="16"/>
                <w:color w:val="auto"/>
              </w:rPr>
              <w:t>Total current assets</w:t>
            </w:r>
          </w:p>
        </w:tc>
        <w:tc>
          <w:tcPr>
            <w:tcW w:w="180" w:type="dxa"/>
            <w:vAlign w:val="bottom"/>
          </w:tcPr>
          <w:p>
            <w:pPr>
              <w:spacing w:after="0"/>
              <w:rPr>
                <w:sz w:val="21"/>
                <w:szCs w:val="21"/>
                <w:color w:val="auto"/>
              </w:rPr>
            </w:pPr>
          </w:p>
        </w:tc>
        <w:tc>
          <w:tcPr>
            <w:tcW w:w="1320" w:type="dxa"/>
            <w:vAlign w:val="bottom"/>
          </w:tcPr>
          <w:p>
            <w:pPr>
              <w:jc w:val="right"/>
              <w:ind w:right="20"/>
              <w:spacing w:after="0"/>
              <w:rPr>
                <w:sz w:val="20"/>
                <w:szCs w:val="20"/>
                <w:color w:val="auto"/>
              </w:rPr>
            </w:pPr>
            <w:r>
              <w:rPr>
                <w:rFonts w:ascii="Arial" w:cs="Arial" w:eastAsia="Arial" w:hAnsi="Arial"/>
                <w:sz w:val="16"/>
                <w:szCs w:val="16"/>
                <w:color w:val="auto"/>
              </w:rPr>
              <w:t>7,708</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ind w:right="19"/>
              <w:spacing w:after="0"/>
              <w:rPr>
                <w:sz w:val="20"/>
                <w:szCs w:val="20"/>
                <w:color w:val="auto"/>
              </w:rPr>
            </w:pPr>
            <w:r>
              <w:rPr>
                <w:rFonts w:ascii="Arial" w:cs="Arial" w:eastAsia="Arial" w:hAnsi="Arial"/>
                <w:sz w:val="16"/>
                <w:szCs w:val="16"/>
                <w:color w:val="auto"/>
              </w:rPr>
              <w:t>5,988</w:t>
            </w:r>
          </w:p>
        </w:tc>
      </w:tr>
      <w:tr>
        <w:trPr>
          <w:trHeight w:val="278"/>
        </w:trPr>
        <w:tc>
          <w:tcPr>
            <w:tcW w:w="8340" w:type="dxa"/>
            <w:vAlign w:val="bottom"/>
            <w:shd w:val="clear" w:color="auto" w:fill="CCEEFF"/>
          </w:tcPr>
          <w:p>
            <w:pPr>
              <w:ind w:left="40"/>
              <w:spacing w:after="0"/>
              <w:rPr>
                <w:sz w:val="20"/>
                <w:szCs w:val="20"/>
                <w:color w:val="auto"/>
              </w:rPr>
            </w:pPr>
            <w:r>
              <w:rPr>
                <w:rFonts w:ascii="Arial" w:cs="Arial" w:eastAsia="Arial" w:hAnsi="Arial"/>
                <w:sz w:val="16"/>
                <w:szCs w:val="16"/>
                <w:color w:val="auto"/>
              </w:rPr>
              <w:t>Property, equipment, and capitalized software, net</w:t>
            </w:r>
          </w:p>
        </w:tc>
        <w:tc>
          <w:tcPr>
            <w:tcW w:w="180" w:type="dxa"/>
            <w:vAlign w:val="bottom"/>
            <w:shd w:val="clear" w:color="auto" w:fill="CCEEFF"/>
          </w:tcPr>
          <w:p>
            <w:pPr>
              <w:spacing w:after="0"/>
              <w:rPr>
                <w:sz w:val="24"/>
                <w:szCs w:val="24"/>
                <w:color w:val="auto"/>
              </w:rPr>
            </w:pPr>
          </w:p>
        </w:tc>
        <w:tc>
          <w:tcPr>
            <w:tcW w:w="132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397</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2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454</w:t>
            </w:r>
          </w:p>
        </w:tc>
      </w:tr>
      <w:tr>
        <w:trPr>
          <w:trHeight w:val="262"/>
        </w:trPr>
        <w:tc>
          <w:tcPr>
            <w:tcW w:w="8340" w:type="dxa"/>
            <w:vAlign w:val="bottom"/>
          </w:tcPr>
          <w:p>
            <w:pPr>
              <w:ind w:left="40"/>
              <w:spacing w:after="0"/>
              <w:rPr>
                <w:sz w:val="20"/>
                <w:szCs w:val="20"/>
                <w:color w:val="auto"/>
              </w:rPr>
            </w:pPr>
            <w:r>
              <w:rPr>
                <w:rFonts w:ascii="Arial" w:cs="Arial" w:eastAsia="Arial" w:hAnsi="Arial"/>
                <w:sz w:val="16"/>
                <w:szCs w:val="16"/>
                <w:color w:val="auto"/>
              </w:rPr>
              <w:t>Deferred contract costs</w:t>
            </w:r>
          </w:p>
        </w:tc>
        <w:tc>
          <w:tcPr>
            <w:tcW w:w="180" w:type="dxa"/>
            <w:vAlign w:val="bottom"/>
          </w:tcPr>
          <w:p>
            <w:pPr>
              <w:spacing w:after="0"/>
              <w:rPr>
                <w:sz w:val="22"/>
                <w:szCs w:val="22"/>
                <w:color w:val="auto"/>
              </w:rPr>
            </w:pPr>
          </w:p>
        </w:tc>
        <w:tc>
          <w:tcPr>
            <w:tcW w:w="1320" w:type="dxa"/>
            <w:vAlign w:val="bottom"/>
          </w:tcPr>
          <w:p>
            <w:pPr>
              <w:jc w:val="right"/>
              <w:ind w:right="20"/>
              <w:spacing w:after="0"/>
              <w:rPr>
                <w:sz w:val="20"/>
                <w:szCs w:val="20"/>
                <w:color w:val="auto"/>
              </w:rPr>
            </w:pPr>
            <w:r>
              <w:rPr>
                <w:rFonts w:ascii="Arial" w:cs="Arial" w:eastAsia="Arial" w:hAnsi="Arial"/>
                <w:sz w:val="16"/>
                <w:szCs w:val="16"/>
                <w:color w:val="auto"/>
              </w:rPr>
              <w:t>97</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80" w:type="dxa"/>
            <w:vAlign w:val="bottom"/>
          </w:tcPr>
          <w:p>
            <w:pPr>
              <w:jc w:val="right"/>
              <w:ind w:right="19"/>
              <w:spacing w:after="0"/>
              <w:rPr>
                <w:sz w:val="20"/>
                <w:szCs w:val="20"/>
                <w:color w:val="auto"/>
              </w:rPr>
            </w:pPr>
            <w:r>
              <w:rPr>
                <w:rFonts w:ascii="Arial" w:cs="Arial" w:eastAsia="Arial" w:hAnsi="Arial"/>
                <w:sz w:val="16"/>
                <w:szCs w:val="16"/>
                <w:color w:val="auto"/>
              </w:rPr>
              <w:t>86</w:t>
            </w:r>
          </w:p>
        </w:tc>
      </w:tr>
      <w:tr>
        <w:trPr>
          <w:trHeight w:val="278"/>
        </w:trPr>
        <w:tc>
          <w:tcPr>
            <w:tcW w:w="8340" w:type="dxa"/>
            <w:vAlign w:val="bottom"/>
            <w:shd w:val="clear" w:color="auto" w:fill="CCEEFF"/>
          </w:tcPr>
          <w:p>
            <w:pPr>
              <w:ind w:left="40"/>
              <w:spacing w:after="0"/>
              <w:rPr>
                <w:sz w:val="20"/>
                <w:szCs w:val="20"/>
                <w:color w:val="auto"/>
              </w:rPr>
            </w:pPr>
            <w:r>
              <w:rPr>
                <w:rFonts w:ascii="Arial" w:cs="Arial" w:eastAsia="Arial" w:hAnsi="Arial"/>
                <w:sz w:val="16"/>
                <w:szCs w:val="16"/>
                <w:color w:val="auto"/>
              </w:rPr>
              <w:t>Intangible assets, net</w:t>
            </w:r>
          </w:p>
        </w:tc>
        <w:tc>
          <w:tcPr>
            <w:tcW w:w="180" w:type="dxa"/>
            <w:vAlign w:val="bottom"/>
            <w:shd w:val="clear" w:color="auto" w:fill="CCEEFF"/>
          </w:tcPr>
          <w:p>
            <w:pPr>
              <w:spacing w:after="0"/>
              <w:rPr>
                <w:sz w:val="24"/>
                <w:szCs w:val="24"/>
                <w:color w:val="auto"/>
              </w:rPr>
            </w:pPr>
          </w:p>
        </w:tc>
        <w:tc>
          <w:tcPr>
            <w:tcW w:w="132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101</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2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140</w:t>
            </w:r>
          </w:p>
        </w:tc>
      </w:tr>
      <w:tr>
        <w:trPr>
          <w:trHeight w:val="262"/>
        </w:trPr>
        <w:tc>
          <w:tcPr>
            <w:tcW w:w="8340" w:type="dxa"/>
            <w:vAlign w:val="bottom"/>
          </w:tcPr>
          <w:p>
            <w:pPr>
              <w:ind w:left="40"/>
              <w:spacing w:after="0"/>
              <w:rPr>
                <w:sz w:val="20"/>
                <w:szCs w:val="20"/>
                <w:color w:val="auto"/>
              </w:rPr>
            </w:pPr>
            <w:r>
              <w:rPr>
                <w:rFonts w:ascii="Arial" w:cs="Arial" w:eastAsia="Arial" w:hAnsi="Arial"/>
                <w:sz w:val="16"/>
                <w:szCs w:val="16"/>
                <w:color w:val="auto"/>
              </w:rPr>
              <w:t>Goodwill</w:t>
            </w:r>
          </w:p>
        </w:tc>
        <w:tc>
          <w:tcPr>
            <w:tcW w:w="180" w:type="dxa"/>
            <w:vAlign w:val="bottom"/>
          </w:tcPr>
          <w:p>
            <w:pPr>
              <w:spacing w:after="0"/>
              <w:rPr>
                <w:sz w:val="22"/>
                <w:szCs w:val="22"/>
                <w:color w:val="auto"/>
              </w:rPr>
            </w:pPr>
          </w:p>
        </w:tc>
        <w:tc>
          <w:tcPr>
            <w:tcW w:w="1320" w:type="dxa"/>
            <w:vAlign w:val="bottom"/>
          </w:tcPr>
          <w:p>
            <w:pPr>
              <w:jc w:val="right"/>
              <w:ind w:right="20"/>
              <w:spacing w:after="0"/>
              <w:rPr>
                <w:sz w:val="20"/>
                <w:szCs w:val="20"/>
                <w:color w:val="auto"/>
              </w:rPr>
            </w:pPr>
            <w:r>
              <w:rPr>
                <w:rFonts w:ascii="Arial" w:cs="Arial" w:eastAsia="Arial" w:hAnsi="Arial"/>
                <w:sz w:val="16"/>
                <w:szCs w:val="16"/>
                <w:color w:val="auto"/>
              </w:rPr>
              <w:t>430</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80" w:type="dxa"/>
            <w:vAlign w:val="bottom"/>
          </w:tcPr>
          <w:p>
            <w:pPr>
              <w:jc w:val="right"/>
              <w:ind w:right="19"/>
              <w:spacing w:after="0"/>
              <w:rPr>
                <w:sz w:val="20"/>
                <w:szCs w:val="20"/>
                <w:color w:val="auto"/>
              </w:rPr>
            </w:pPr>
            <w:r>
              <w:rPr>
                <w:rFonts w:ascii="Arial" w:cs="Arial" w:eastAsia="Arial" w:hAnsi="Arial"/>
                <w:sz w:val="16"/>
                <w:szCs w:val="16"/>
                <w:color w:val="auto"/>
              </w:rPr>
              <w:t>620</w:t>
            </w:r>
          </w:p>
        </w:tc>
      </w:tr>
      <w:tr>
        <w:trPr>
          <w:trHeight w:val="278"/>
        </w:trPr>
        <w:tc>
          <w:tcPr>
            <w:tcW w:w="8340" w:type="dxa"/>
            <w:vAlign w:val="bottom"/>
            <w:shd w:val="clear" w:color="auto" w:fill="CCEEFF"/>
          </w:tcPr>
          <w:p>
            <w:pPr>
              <w:ind w:left="40"/>
              <w:spacing w:after="0"/>
              <w:rPr>
                <w:sz w:val="20"/>
                <w:szCs w:val="20"/>
                <w:color w:val="auto"/>
              </w:rPr>
            </w:pPr>
            <w:r>
              <w:rPr>
                <w:rFonts w:ascii="Arial" w:cs="Arial" w:eastAsia="Arial" w:hAnsi="Arial"/>
                <w:sz w:val="16"/>
                <w:szCs w:val="16"/>
                <w:color w:val="auto"/>
              </w:rPr>
              <w:t>Restricted investments</w:t>
            </w:r>
          </w:p>
        </w:tc>
        <w:tc>
          <w:tcPr>
            <w:tcW w:w="180" w:type="dxa"/>
            <w:vAlign w:val="bottom"/>
            <w:shd w:val="clear" w:color="auto" w:fill="CCEEFF"/>
          </w:tcPr>
          <w:p>
            <w:pPr>
              <w:spacing w:after="0"/>
              <w:rPr>
                <w:sz w:val="24"/>
                <w:szCs w:val="24"/>
                <w:color w:val="auto"/>
              </w:rPr>
            </w:pPr>
          </w:p>
        </w:tc>
        <w:tc>
          <w:tcPr>
            <w:tcW w:w="132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117</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2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110</w:t>
            </w:r>
          </w:p>
        </w:tc>
      </w:tr>
      <w:tr>
        <w:trPr>
          <w:trHeight w:val="262"/>
        </w:trPr>
        <w:tc>
          <w:tcPr>
            <w:tcW w:w="8340" w:type="dxa"/>
            <w:vAlign w:val="bottom"/>
          </w:tcPr>
          <w:p>
            <w:pPr>
              <w:ind w:left="40"/>
              <w:spacing w:after="0"/>
              <w:rPr>
                <w:sz w:val="20"/>
                <w:szCs w:val="20"/>
                <w:color w:val="auto"/>
              </w:rPr>
            </w:pPr>
            <w:r>
              <w:rPr>
                <w:rFonts w:ascii="Arial" w:cs="Arial" w:eastAsia="Arial" w:hAnsi="Arial"/>
                <w:sz w:val="16"/>
                <w:szCs w:val="16"/>
                <w:color w:val="auto"/>
              </w:rPr>
              <w:t>Deferred income taxes</w:t>
            </w:r>
          </w:p>
        </w:tc>
        <w:tc>
          <w:tcPr>
            <w:tcW w:w="180" w:type="dxa"/>
            <w:vAlign w:val="bottom"/>
          </w:tcPr>
          <w:p>
            <w:pPr>
              <w:spacing w:after="0"/>
              <w:rPr>
                <w:sz w:val="22"/>
                <w:szCs w:val="22"/>
                <w:color w:val="auto"/>
              </w:rPr>
            </w:pPr>
          </w:p>
        </w:tc>
        <w:tc>
          <w:tcPr>
            <w:tcW w:w="1320" w:type="dxa"/>
            <w:vAlign w:val="bottom"/>
          </w:tcPr>
          <w:p>
            <w:pPr>
              <w:jc w:val="right"/>
              <w:ind w:right="20"/>
              <w:spacing w:after="0"/>
              <w:rPr>
                <w:sz w:val="20"/>
                <w:szCs w:val="20"/>
                <w:color w:val="auto"/>
              </w:rPr>
            </w:pPr>
            <w:r>
              <w:rPr>
                <w:rFonts w:ascii="Arial" w:cs="Arial" w:eastAsia="Arial" w:hAnsi="Arial"/>
                <w:sz w:val="16"/>
                <w:szCs w:val="16"/>
                <w:color w:val="auto"/>
              </w:rPr>
              <w:t>62</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80" w:type="dxa"/>
            <w:vAlign w:val="bottom"/>
          </w:tcPr>
          <w:p>
            <w:pPr>
              <w:jc w:val="right"/>
              <w:ind w:right="19"/>
              <w:spacing w:after="0"/>
              <w:rPr>
                <w:sz w:val="20"/>
                <w:szCs w:val="20"/>
                <w:color w:val="auto"/>
              </w:rPr>
            </w:pPr>
            <w:r>
              <w:rPr>
                <w:rFonts w:ascii="Arial" w:cs="Arial" w:eastAsia="Arial" w:hAnsi="Arial"/>
                <w:sz w:val="16"/>
                <w:szCs w:val="16"/>
                <w:color w:val="auto"/>
              </w:rPr>
              <w:t>10</w:t>
            </w:r>
          </w:p>
        </w:tc>
      </w:tr>
      <w:tr>
        <w:trPr>
          <w:trHeight w:val="271"/>
        </w:trPr>
        <w:tc>
          <w:tcPr>
            <w:tcW w:w="8340" w:type="dxa"/>
            <w:vAlign w:val="bottom"/>
            <w:shd w:val="clear" w:color="auto" w:fill="CCEEFF"/>
          </w:tcPr>
          <w:p>
            <w:pPr>
              <w:ind w:left="40"/>
              <w:spacing w:after="0"/>
              <w:rPr>
                <w:sz w:val="20"/>
                <w:szCs w:val="20"/>
                <w:color w:val="auto"/>
              </w:rPr>
            </w:pPr>
            <w:r>
              <w:rPr>
                <w:rFonts w:ascii="Arial" w:cs="Arial" w:eastAsia="Arial" w:hAnsi="Arial"/>
                <w:sz w:val="16"/>
                <w:szCs w:val="16"/>
                <w:color w:val="auto"/>
              </w:rPr>
              <w:t>Other assets</w:t>
            </w:r>
          </w:p>
        </w:tc>
        <w:tc>
          <w:tcPr>
            <w:tcW w:w="180" w:type="dxa"/>
            <w:vAlign w:val="bottom"/>
            <w:tcBorders>
              <w:bottom w:val="single" w:sz="8" w:color="auto"/>
            </w:tcBorders>
            <w:shd w:val="clear" w:color="auto" w:fill="CCEEFF"/>
          </w:tcPr>
          <w:p>
            <w:pPr>
              <w:spacing w:after="0"/>
              <w:rPr>
                <w:sz w:val="23"/>
                <w:szCs w:val="23"/>
                <w:color w:val="auto"/>
              </w:rPr>
            </w:pPr>
          </w:p>
        </w:tc>
        <w:tc>
          <w:tcPr>
            <w:tcW w:w="132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42</w:t>
            </w:r>
          </w:p>
        </w:tc>
        <w:tc>
          <w:tcPr>
            <w:tcW w:w="10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12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41</w:t>
            </w:r>
          </w:p>
        </w:tc>
      </w:tr>
      <w:tr>
        <w:trPr>
          <w:trHeight w:val="277"/>
        </w:trPr>
        <w:tc>
          <w:tcPr>
            <w:tcW w:w="834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8,954</w:t>
            </w:r>
          </w:p>
        </w:tc>
        <w:tc>
          <w:tcPr>
            <w:tcW w:w="100" w:type="dxa"/>
            <w:vAlign w:val="bottom"/>
            <w:tcBorders>
              <w:bottom w:val="single" w:sz="8" w:color="CCEEFF"/>
            </w:tcBorders>
          </w:tcPr>
          <w:p>
            <w:pPr>
              <w:spacing w:after="0"/>
              <w:rPr>
                <w:sz w:val="24"/>
                <w:szCs w:val="24"/>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7,449</w:t>
            </w:r>
          </w:p>
        </w:tc>
      </w:tr>
      <w:tr>
        <w:trPr>
          <w:trHeight w:val="271"/>
        </w:trPr>
        <w:tc>
          <w:tcPr>
            <w:tcW w:w="834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3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280" w:type="dxa"/>
            <w:vAlign w:val="bottom"/>
            <w:shd w:val="clear" w:color="auto" w:fill="CCEEFF"/>
          </w:tcPr>
          <w:p>
            <w:pPr>
              <w:spacing w:after="0"/>
              <w:rPr>
                <w:sz w:val="23"/>
                <w:szCs w:val="23"/>
                <w:color w:val="auto"/>
              </w:rPr>
            </w:pPr>
          </w:p>
        </w:tc>
      </w:tr>
      <w:tr>
        <w:trPr>
          <w:trHeight w:val="239"/>
        </w:trPr>
        <w:tc>
          <w:tcPr>
            <w:tcW w:w="8340" w:type="dxa"/>
            <w:vAlign w:val="bottom"/>
          </w:tcPr>
          <w:p>
            <w:pPr>
              <w:ind w:left="4000"/>
              <w:spacing w:after="0"/>
              <w:rPr>
                <w:sz w:val="20"/>
                <w:szCs w:val="20"/>
                <w:color w:val="auto"/>
              </w:rPr>
            </w:pPr>
            <w:r>
              <w:rPr>
                <w:rFonts w:ascii="Arial" w:cs="Arial" w:eastAsia="Arial" w:hAnsi="Arial"/>
                <w:sz w:val="16"/>
                <w:szCs w:val="16"/>
                <w:b w:val="1"/>
                <w:bCs w:val="1"/>
                <w:color w:val="auto"/>
              </w:rPr>
              <w:t>LIABILITIES AND STOCKHOLDERS’ EQUITY</w:t>
            </w:r>
          </w:p>
        </w:tc>
        <w:tc>
          <w:tcPr>
            <w:tcW w:w="18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80" w:type="dxa"/>
            <w:vAlign w:val="bottom"/>
          </w:tcPr>
          <w:p>
            <w:pPr>
              <w:spacing w:after="0"/>
              <w:rPr>
                <w:sz w:val="20"/>
                <w:szCs w:val="20"/>
                <w:color w:val="auto"/>
              </w:rPr>
            </w:pPr>
          </w:p>
        </w:tc>
      </w:tr>
      <w:tr>
        <w:trPr>
          <w:trHeight w:val="274"/>
        </w:trPr>
        <w:tc>
          <w:tcPr>
            <w:tcW w:w="8340" w:type="dxa"/>
            <w:vAlign w:val="bottom"/>
            <w:shd w:val="clear" w:color="auto" w:fill="CCEEFF"/>
          </w:tcPr>
          <w:p>
            <w:pPr>
              <w:ind w:left="40"/>
              <w:spacing w:after="0"/>
              <w:rPr>
                <w:sz w:val="20"/>
                <w:szCs w:val="20"/>
                <w:color w:val="auto"/>
              </w:rPr>
            </w:pPr>
            <w:r>
              <w:rPr>
                <w:rFonts w:ascii="Arial" w:cs="Arial" w:eastAsia="Arial" w:hAnsi="Arial"/>
                <w:sz w:val="16"/>
                <w:szCs w:val="16"/>
                <w:color w:val="auto"/>
              </w:rPr>
              <w:t>Current liabilities:</w:t>
            </w:r>
          </w:p>
        </w:tc>
        <w:tc>
          <w:tcPr>
            <w:tcW w:w="180" w:type="dxa"/>
            <w:vAlign w:val="bottom"/>
            <w:shd w:val="clear" w:color="auto" w:fill="CCEEFF"/>
          </w:tcPr>
          <w:p>
            <w:pPr>
              <w:spacing w:after="0"/>
              <w:rPr>
                <w:sz w:val="23"/>
                <w:szCs w:val="23"/>
                <w:color w:val="auto"/>
              </w:rPr>
            </w:pPr>
          </w:p>
        </w:tc>
        <w:tc>
          <w:tcPr>
            <w:tcW w:w="13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280" w:type="dxa"/>
            <w:vAlign w:val="bottom"/>
            <w:shd w:val="clear" w:color="auto" w:fill="CCEEFF"/>
          </w:tcPr>
          <w:p>
            <w:pPr>
              <w:spacing w:after="0"/>
              <w:rPr>
                <w:sz w:val="23"/>
                <w:szCs w:val="23"/>
                <w:color w:val="auto"/>
              </w:rPr>
            </w:pPr>
          </w:p>
        </w:tc>
      </w:tr>
      <w:tr>
        <w:trPr>
          <w:trHeight w:val="262"/>
        </w:trPr>
        <w:tc>
          <w:tcPr>
            <w:tcW w:w="8340" w:type="dxa"/>
            <w:vAlign w:val="bottom"/>
          </w:tcPr>
          <w:p>
            <w:pPr>
              <w:ind w:left="180"/>
              <w:spacing w:after="0"/>
              <w:rPr>
                <w:sz w:val="20"/>
                <w:szCs w:val="20"/>
                <w:color w:val="auto"/>
              </w:rPr>
            </w:pPr>
            <w:r>
              <w:rPr>
                <w:rFonts w:ascii="Arial" w:cs="Arial" w:eastAsia="Arial" w:hAnsi="Arial"/>
                <w:sz w:val="16"/>
                <w:szCs w:val="16"/>
                <w:color w:val="auto"/>
              </w:rPr>
              <w:t>Medical claims and benefits payable</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320" w:type="dxa"/>
            <w:vAlign w:val="bottom"/>
          </w:tcPr>
          <w:p>
            <w:pPr>
              <w:jc w:val="right"/>
              <w:ind w:right="20"/>
              <w:spacing w:after="0"/>
              <w:rPr>
                <w:sz w:val="20"/>
                <w:szCs w:val="20"/>
                <w:color w:val="auto"/>
              </w:rPr>
            </w:pPr>
            <w:r>
              <w:rPr>
                <w:rFonts w:ascii="Arial" w:cs="Arial" w:eastAsia="Arial" w:hAnsi="Arial"/>
                <w:sz w:val="16"/>
                <w:szCs w:val="16"/>
                <w:color w:val="auto"/>
              </w:rPr>
              <w:t>2,478</w:t>
            </w:r>
          </w:p>
        </w:tc>
        <w:tc>
          <w:tcPr>
            <w:tcW w:w="100" w:type="dxa"/>
            <w:vAlign w:val="bottom"/>
          </w:tcPr>
          <w:p>
            <w:pPr>
              <w:spacing w:after="0"/>
              <w:rPr>
                <w:sz w:val="22"/>
                <w:szCs w:val="22"/>
                <w:color w:val="auto"/>
              </w:rPr>
            </w:pP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280" w:type="dxa"/>
            <w:vAlign w:val="bottom"/>
          </w:tcPr>
          <w:p>
            <w:pPr>
              <w:jc w:val="right"/>
              <w:ind w:right="19"/>
              <w:spacing w:after="0"/>
              <w:rPr>
                <w:sz w:val="20"/>
                <w:szCs w:val="20"/>
                <w:color w:val="auto"/>
              </w:rPr>
            </w:pPr>
            <w:r>
              <w:rPr>
                <w:rFonts w:ascii="Arial" w:cs="Arial" w:eastAsia="Arial" w:hAnsi="Arial"/>
                <w:sz w:val="16"/>
                <w:szCs w:val="16"/>
                <w:color w:val="auto"/>
              </w:rPr>
              <w:t>1,929</w:t>
            </w:r>
          </w:p>
        </w:tc>
      </w:tr>
      <w:tr>
        <w:trPr>
          <w:trHeight w:val="278"/>
        </w:trPr>
        <w:tc>
          <w:tcPr>
            <w:tcW w:w="8340" w:type="dxa"/>
            <w:vAlign w:val="bottom"/>
            <w:shd w:val="clear" w:color="auto" w:fill="CCEEFF"/>
          </w:tcPr>
          <w:p>
            <w:pPr>
              <w:ind w:left="180"/>
              <w:spacing w:after="0"/>
              <w:rPr>
                <w:sz w:val="20"/>
                <w:szCs w:val="20"/>
                <w:color w:val="auto"/>
              </w:rPr>
            </w:pPr>
            <w:r>
              <w:rPr>
                <w:rFonts w:ascii="Arial" w:cs="Arial" w:eastAsia="Arial" w:hAnsi="Arial"/>
                <w:sz w:val="16"/>
                <w:szCs w:val="16"/>
                <w:color w:val="auto"/>
              </w:rPr>
              <w:t>Amounts due government agencies</w:t>
            </w:r>
          </w:p>
        </w:tc>
        <w:tc>
          <w:tcPr>
            <w:tcW w:w="180" w:type="dxa"/>
            <w:vAlign w:val="bottom"/>
            <w:shd w:val="clear" w:color="auto" w:fill="CCEEFF"/>
          </w:tcPr>
          <w:p>
            <w:pPr>
              <w:spacing w:after="0"/>
              <w:rPr>
                <w:sz w:val="24"/>
                <w:szCs w:val="24"/>
                <w:color w:val="auto"/>
              </w:rPr>
            </w:pPr>
          </w:p>
        </w:tc>
        <w:tc>
          <w:tcPr>
            <w:tcW w:w="132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1,324</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2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1,202</w:t>
            </w:r>
          </w:p>
        </w:tc>
      </w:tr>
      <w:tr>
        <w:trPr>
          <w:trHeight w:val="262"/>
        </w:trPr>
        <w:tc>
          <w:tcPr>
            <w:tcW w:w="8340" w:type="dxa"/>
            <w:vAlign w:val="bottom"/>
          </w:tcPr>
          <w:p>
            <w:pPr>
              <w:ind w:left="180"/>
              <w:spacing w:after="0"/>
              <w:rPr>
                <w:sz w:val="20"/>
                <w:szCs w:val="20"/>
                <w:color w:val="auto"/>
              </w:rPr>
            </w:pPr>
            <w:r>
              <w:rPr>
                <w:rFonts w:ascii="Arial" w:cs="Arial" w:eastAsia="Arial" w:hAnsi="Arial"/>
                <w:sz w:val="16"/>
                <w:szCs w:val="16"/>
                <w:color w:val="auto"/>
              </w:rPr>
              <w:t>Accounts payable and accrued liabilities</w:t>
            </w:r>
          </w:p>
        </w:tc>
        <w:tc>
          <w:tcPr>
            <w:tcW w:w="180" w:type="dxa"/>
            <w:vAlign w:val="bottom"/>
          </w:tcPr>
          <w:p>
            <w:pPr>
              <w:spacing w:after="0"/>
              <w:rPr>
                <w:sz w:val="22"/>
                <w:szCs w:val="22"/>
                <w:color w:val="auto"/>
              </w:rPr>
            </w:pPr>
          </w:p>
        </w:tc>
        <w:tc>
          <w:tcPr>
            <w:tcW w:w="1320" w:type="dxa"/>
            <w:vAlign w:val="bottom"/>
          </w:tcPr>
          <w:p>
            <w:pPr>
              <w:jc w:val="right"/>
              <w:ind w:right="20"/>
              <w:spacing w:after="0"/>
              <w:rPr>
                <w:sz w:val="20"/>
                <w:szCs w:val="20"/>
                <w:color w:val="auto"/>
              </w:rPr>
            </w:pPr>
            <w:r>
              <w:rPr>
                <w:rFonts w:ascii="Arial" w:cs="Arial" w:eastAsia="Arial" w:hAnsi="Arial"/>
                <w:sz w:val="16"/>
                <w:szCs w:val="16"/>
                <w:color w:val="auto"/>
              </w:rPr>
              <w:t>485</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80" w:type="dxa"/>
            <w:vAlign w:val="bottom"/>
          </w:tcPr>
          <w:p>
            <w:pPr>
              <w:jc w:val="right"/>
              <w:ind w:right="19"/>
              <w:spacing w:after="0"/>
              <w:rPr>
                <w:sz w:val="20"/>
                <w:szCs w:val="20"/>
                <w:color w:val="auto"/>
              </w:rPr>
            </w:pPr>
            <w:r>
              <w:rPr>
                <w:rFonts w:ascii="Arial" w:cs="Arial" w:eastAsia="Arial" w:hAnsi="Arial"/>
                <w:sz w:val="16"/>
                <w:szCs w:val="16"/>
                <w:color w:val="auto"/>
              </w:rPr>
              <w:t>385</w:t>
            </w:r>
          </w:p>
        </w:tc>
      </w:tr>
      <w:tr>
        <w:trPr>
          <w:trHeight w:val="278"/>
        </w:trPr>
        <w:tc>
          <w:tcPr>
            <w:tcW w:w="8340" w:type="dxa"/>
            <w:vAlign w:val="bottom"/>
            <w:shd w:val="clear" w:color="auto" w:fill="CCEEFF"/>
          </w:tcPr>
          <w:p>
            <w:pPr>
              <w:ind w:left="180"/>
              <w:spacing w:after="0"/>
              <w:rPr>
                <w:sz w:val="20"/>
                <w:szCs w:val="20"/>
                <w:color w:val="auto"/>
              </w:rPr>
            </w:pPr>
            <w:r>
              <w:rPr>
                <w:rFonts w:ascii="Arial" w:cs="Arial" w:eastAsia="Arial" w:hAnsi="Arial"/>
                <w:sz w:val="16"/>
                <w:szCs w:val="16"/>
                <w:color w:val="auto"/>
              </w:rPr>
              <w:t>Deferred revenue</w:t>
            </w:r>
          </w:p>
        </w:tc>
        <w:tc>
          <w:tcPr>
            <w:tcW w:w="180" w:type="dxa"/>
            <w:vAlign w:val="bottom"/>
            <w:shd w:val="clear" w:color="auto" w:fill="CCEEFF"/>
          </w:tcPr>
          <w:p>
            <w:pPr>
              <w:spacing w:after="0"/>
              <w:rPr>
                <w:sz w:val="24"/>
                <w:szCs w:val="24"/>
                <w:color w:val="auto"/>
              </w:rPr>
            </w:pPr>
          </w:p>
        </w:tc>
        <w:tc>
          <w:tcPr>
            <w:tcW w:w="132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468</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2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315</w:t>
            </w:r>
          </w:p>
        </w:tc>
      </w:tr>
      <w:tr>
        <w:trPr>
          <w:trHeight w:val="262"/>
        </w:trPr>
        <w:tc>
          <w:tcPr>
            <w:tcW w:w="8340" w:type="dxa"/>
            <w:vAlign w:val="bottom"/>
          </w:tcPr>
          <w:p>
            <w:pPr>
              <w:ind w:left="180"/>
              <w:spacing w:after="0"/>
              <w:rPr>
                <w:sz w:val="20"/>
                <w:szCs w:val="20"/>
                <w:color w:val="auto"/>
              </w:rPr>
            </w:pPr>
            <w:r>
              <w:rPr>
                <w:rFonts w:ascii="Arial" w:cs="Arial" w:eastAsia="Arial" w:hAnsi="Arial"/>
                <w:sz w:val="16"/>
                <w:szCs w:val="16"/>
                <w:color w:val="auto"/>
              </w:rPr>
              <w:t>Current portion of long-term debt</w:t>
            </w:r>
          </w:p>
        </w:tc>
        <w:tc>
          <w:tcPr>
            <w:tcW w:w="180" w:type="dxa"/>
            <w:vAlign w:val="bottom"/>
          </w:tcPr>
          <w:p>
            <w:pPr>
              <w:spacing w:after="0"/>
              <w:rPr>
                <w:sz w:val="22"/>
                <w:szCs w:val="22"/>
                <w:color w:val="auto"/>
              </w:rPr>
            </w:pPr>
          </w:p>
        </w:tc>
        <w:tc>
          <w:tcPr>
            <w:tcW w:w="1320" w:type="dxa"/>
            <w:vAlign w:val="bottom"/>
          </w:tcPr>
          <w:p>
            <w:pPr>
              <w:jc w:val="right"/>
              <w:ind w:right="20"/>
              <w:spacing w:after="0"/>
              <w:rPr>
                <w:sz w:val="20"/>
                <w:szCs w:val="20"/>
                <w:color w:val="auto"/>
              </w:rPr>
            </w:pPr>
            <w:r>
              <w:rPr>
                <w:rFonts w:ascii="Arial" w:cs="Arial" w:eastAsia="Arial" w:hAnsi="Arial"/>
                <w:sz w:val="16"/>
                <w:szCs w:val="16"/>
                <w:color w:val="auto"/>
              </w:rPr>
              <w:t>782</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80" w:type="dxa"/>
            <w:vAlign w:val="bottom"/>
          </w:tcPr>
          <w:p>
            <w:pPr>
              <w:jc w:val="right"/>
              <w:ind w:right="19"/>
              <w:spacing w:after="0"/>
              <w:rPr>
                <w:sz w:val="20"/>
                <w:szCs w:val="20"/>
                <w:color w:val="auto"/>
              </w:rPr>
            </w:pPr>
            <w:r>
              <w:rPr>
                <w:rFonts w:ascii="Arial" w:cs="Arial" w:eastAsia="Arial" w:hAnsi="Arial"/>
                <w:sz w:val="16"/>
                <w:szCs w:val="16"/>
                <w:color w:val="auto"/>
              </w:rPr>
              <w:t>472</w:t>
            </w:r>
          </w:p>
        </w:tc>
      </w:tr>
      <w:tr>
        <w:trPr>
          <w:trHeight w:val="271"/>
        </w:trPr>
        <w:tc>
          <w:tcPr>
            <w:tcW w:w="8340" w:type="dxa"/>
            <w:vAlign w:val="bottom"/>
            <w:shd w:val="clear" w:color="auto" w:fill="CCEEFF"/>
          </w:tcPr>
          <w:p>
            <w:pPr>
              <w:ind w:left="180"/>
              <w:spacing w:after="0"/>
              <w:rPr>
                <w:sz w:val="20"/>
                <w:szCs w:val="20"/>
                <w:color w:val="auto"/>
              </w:rPr>
            </w:pPr>
            <w:r>
              <w:rPr>
                <w:rFonts w:ascii="Arial" w:cs="Arial" w:eastAsia="Arial" w:hAnsi="Arial"/>
                <w:sz w:val="16"/>
                <w:szCs w:val="16"/>
                <w:color w:val="auto"/>
              </w:rPr>
              <w:t>Derivative liability</w:t>
            </w:r>
          </w:p>
        </w:tc>
        <w:tc>
          <w:tcPr>
            <w:tcW w:w="180" w:type="dxa"/>
            <w:vAlign w:val="bottom"/>
            <w:tcBorders>
              <w:bottom w:val="single" w:sz="8" w:color="auto"/>
            </w:tcBorders>
            <w:shd w:val="clear" w:color="auto" w:fill="CCEEFF"/>
          </w:tcPr>
          <w:p>
            <w:pPr>
              <w:spacing w:after="0"/>
              <w:rPr>
                <w:sz w:val="23"/>
                <w:szCs w:val="23"/>
                <w:color w:val="auto"/>
              </w:rPr>
            </w:pPr>
          </w:p>
        </w:tc>
        <w:tc>
          <w:tcPr>
            <w:tcW w:w="132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425</w:t>
            </w:r>
          </w:p>
        </w:tc>
        <w:tc>
          <w:tcPr>
            <w:tcW w:w="10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12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267</w:t>
            </w:r>
          </w:p>
        </w:tc>
      </w:tr>
      <w:tr>
        <w:trPr>
          <w:trHeight w:val="249"/>
        </w:trPr>
        <w:tc>
          <w:tcPr>
            <w:tcW w:w="8340" w:type="dxa"/>
            <w:vAlign w:val="bottom"/>
          </w:tcPr>
          <w:p>
            <w:pPr>
              <w:ind w:left="280"/>
              <w:spacing w:after="0"/>
              <w:rPr>
                <w:sz w:val="20"/>
                <w:szCs w:val="20"/>
                <w:color w:val="auto"/>
              </w:rPr>
            </w:pPr>
            <w:r>
              <w:rPr>
                <w:rFonts w:ascii="Arial" w:cs="Arial" w:eastAsia="Arial" w:hAnsi="Arial"/>
                <w:sz w:val="16"/>
                <w:szCs w:val="16"/>
                <w:color w:val="auto"/>
              </w:rPr>
              <w:t>Total current liabilities</w:t>
            </w:r>
          </w:p>
        </w:tc>
        <w:tc>
          <w:tcPr>
            <w:tcW w:w="180" w:type="dxa"/>
            <w:vAlign w:val="bottom"/>
          </w:tcPr>
          <w:p>
            <w:pPr>
              <w:spacing w:after="0"/>
              <w:rPr>
                <w:sz w:val="21"/>
                <w:szCs w:val="21"/>
                <w:color w:val="auto"/>
              </w:rPr>
            </w:pPr>
          </w:p>
        </w:tc>
        <w:tc>
          <w:tcPr>
            <w:tcW w:w="1320" w:type="dxa"/>
            <w:vAlign w:val="bottom"/>
          </w:tcPr>
          <w:p>
            <w:pPr>
              <w:jc w:val="right"/>
              <w:ind w:right="20"/>
              <w:spacing w:after="0"/>
              <w:rPr>
                <w:sz w:val="20"/>
                <w:szCs w:val="20"/>
                <w:color w:val="auto"/>
              </w:rPr>
            </w:pPr>
            <w:r>
              <w:rPr>
                <w:rFonts w:ascii="Arial" w:cs="Arial" w:eastAsia="Arial" w:hAnsi="Arial"/>
                <w:sz w:val="16"/>
                <w:szCs w:val="16"/>
                <w:color w:val="auto"/>
              </w:rPr>
              <w:t>5,962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ind w:right="19"/>
              <w:spacing w:after="0"/>
              <w:rPr>
                <w:sz w:val="20"/>
                <w:szCs w:val="20"/>
                <w:color w:val="auto"/>
              </w:rPr>
            </w:pPr>
            <w:r>
              <w:rPr>
                <w:rFonts w:ascii="Arial" w:cs="Arial" w:eastAsia="Arial" w:hAnsi="Arial"/>
                <w:sz w:val="16"/>
                <w:szCs w:val="16"/>
                <w:color w:val="auto"/>
              </w:rPr>
              <w:t>4,570</w:t>
            </w:r>
          </w:p>
        </w:tc>
      </w:tr>
      <w:tr>
        <w:trPr>
          <w:trHeight w:val="278"/>
        </w:trPr>
        <w:tc>
          <w:tcPr>
            <w:tcW w:w="8340" w:type="dxa"/>
            <w:vAlign w:val="bottom"/>
            <w:shd w:val="clear" w:color="auto" w:fill="CCEEFF"/>
          </w:tcPr>
          <w:p>
            <w:pPr>
              <w:ind w:left="40"/>
              <w:spacing w:after="0"/>
              <w:rPr>
                <w:sz w:val="20"/>
                <w:szCs w:val="20"/>
                <w:color w:val="auto"/>
              </w:rPr>
            </w:pPr>
            <w:r>
              <w:rPr>
                <w:rFonts w:ascii="Arial" w:cs="Arial" w:eastAsia="Arial" w:hAnsi="Arial"/>
                <w:sz w:val="16"/>
                <w:szCs w:val="16"/>
                <w:color w:val="auto"/>
              </w:rPr>
              <w:t>Long-term debt</w:t>
            </w:r>
          </w:p>
        </w:tc>
        <w:tc>
          <w:tcPr>
            <w:tcW w:w="180" w:type="dxa"/>
            <w:vAlign w:val="bottom"/>
            <w:shd w:val="clear" w:color="auto" w:fill="CCEEFF"/>
          </w:tcPr>
          <w:p>
            <w:pPr>
              <w:spacing w:after="0"/>
              <w:rPr>
                <w:sz w:val="24"/>
                <w:szCs w:val="24"/>
                <w:color w:val="auto"/>
              </w:rPr>
            </w:pPr>
          </w:p>
        </w:tc>
        <w:tc>
          <w:tcPr>
            <w:tcW w:w="132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1,317</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2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975</w:t>
            </w:r>
          </w:p>
        </w:tc>
      </w:tr>
      <w:tr>
        <w:trPr>
          <w:trHeight w:val="262"/>
        </w:trPr>
        <w:tc>
          <w:tcPr>
            <w:tcW w:w="8340" w:type="dxa"/>
            <w:vAlign w:val="bottom"/>
          </w:tcPr>
          <w:p>
            <w:pPr>
              <w:ind w:left="40"/>
              <w:spacing w:after="0"/>
              <w:rPr>
                <w:sz w:val="20"/>
                <w:szCs w:val="20"/>
                <w:color w:val="auto"/>
              </w:rPr>
            </w:pPr>
            <w:r>
              <w:rPr>
                <w:rFonts w:ascii="Arial" w:cs="Arial" w:eastAsia="Arial" w:hAnsi="Arial"/>
                <w:sz w:val="16"/>
                <w:szCs w:val="16"/>
                <w:color w:val="auto"/>
              </w:rPr>
              <w:t>Lease financing obligations</w:t>
            </w:r>
          </w:p>
        </w:tc>
        <w:tc>
          <w:tcPr>
            <w:tcW w:w="180" w:type="dxa"/>
            <w:vAlign w:val="bottom"/>
          </w:tcPr>
          <w:p>
            <w:pPr>
              <w:spacing w:after="0"/>
              <w:rPr>
                <w:sz w:val="22"/>
                <w:szCs w:val="22"/>
                <w:color w:val="auto"/>
              </w:rPr>
            </w:pPr>
          </w:p>
        </w:tc>
        <w:tc>
          <w:tcPr>
            <w:tcW w:w="1320" w:type="dxa"/>
            <w:vAlign w:val="bottom"/>
          </w:tcPr>
          <w:p>
            <w:pPr>
              <w:jc w:val="right"/>
              <w:ind w:right="20"/>
              <w:spacing w:after="0"/>
              <w:rPr>
                <w:sz w:val="20"/>
                <w:szCs w:val="20"/>
                <w:color w:val="auto"/>
              </w:rPr>
            </w:pPr>
            <w:r>
              <w:rPr>
                <w:rFonts w:ascii="Arial" w:cs="Arial" w:eastAsia="Arial" w:hAnsi="Arial"/>
                <w:sz w:val="16"/>
                <w:szCs w:val="16"/>
                <w:color w:val="auto"/>
              </w:rPr>
              <w:t>198</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80" w:type="dxa"/>
            <w:vAlign w:val="bottom"/>
          </w:tcPr>
          <w:p>
            <w:pPr>
              <w:jc w:val="right"/>
              <w:ind w:right="19"/>
              <w:spacing w:after="0"/>
              <w:rPr>
                <w:sz w:val="20"/>
                <w:szCs w:val="20"/>
                <w:color w:val="auto"/>
              </w:rPr>
            </w:pPr>
            <w:r>
              <w:rPr>
                <w:rFonts w:ascii="Arial" w:cs="Arial" w:eastAsia="Arial" w:hAnsi="Arial"/>
                <w:sz w:val="16"/>
                <w:szCs w:val="16"/>
                <w:color w:val="auto"/>
              </w:rPr>
              <w:t>198</w:t>
            </w:r>
          </w:p>
        </w:tc>
      </w:tr>
      <w:tr>
        <w:trPr>
          <w:trHeight w:val="278"/>
        </w:trPr>
        <w:tc>
          <w:tcPr>
            <w:tcW w:w="8340" w:type="dxa"/>
            <w:vAlign w:val="bottom"/>
            <w:shd w:val="clear" w:color="auto" w:fill="CCEEFF"/>
          </w:tcPr>
          <w:p>
            <w:pPr>
              <w:ind w:left="40"/>
              <w:spacing w:after="0"/>
              <w:rPr>
                <w:sz w:val="20"/>
                <w:szCs w:val="20"/>
                <w:color w:val="auto"/>
              </w:rPr>
            </w:pPr>
            <w:r>
              <w:rPr>
                <w:rFonts w:ascii="Arial" w:cs="Arial" w:eastAsia="Arial" w:hAnsi="Arial"/>
                <w:sz w:val="16"/>
                <w:szCs w:val="16"/>
                <w:color w:val="auto"/>
              </w:rPr>
              <w:t>Deferred income taxes</w:t>
            </w:r>
          </w:p>
        </w:tc>
        <w:tc>
          <w:tcPr>
            <w:tcW w:w="180" w:type="dxa"/>
            <w:vAlign w:val="bottom"/>
            <w:shd w:val="clear" w:color="auto" w:fill="CCEEFF"/>
          </w:tcPr>
          <w:p>
            <w:pPr>
              <w:spacing w:after="0"/>
              <w:rPr>
                <w:sz w:val="24"/>
                <w:szCs w:val="24"/>
                <w:color w:val="auto"/>
              </w:rPr>
            </w:pPr>
          </w:p>
        </w:tc>
        <w:tc>
          <w:tcPr>
            <w:tcW w:w="142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24"/>
                <w:szCs w:val="24"/>
                <w:color w:val="auto"/>
              </w:rPr>
            </w:pPr>
          </w:p>
        </w:tc>
        <w:tc>
          <w:tcPr>
            <w:tcW w:w="12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15</w:t>
            </w:r>
          </w:p>
        </w:tc>
      </w:tr>
      <w:tr>
        <w:trPr>
          <w:trHeight w:val="264"/>
        </w:trPr>
        <w:tc>
          <w:tcPr>
            <w:tcW w:w="834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Other long-term liabilities</w:t>
            </w:r>
          </w:p>
        </w:tc>
        <w:tc>
          <w:tcPr>
            <w:tcW w:w="18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48</w:t>
            </w: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42</w:t>
            </w:r>
          </w:p>
        </w:tc>
      </w:tr>
      <w:tr>
        <w:trPr>
          <w:trHeight w:val="250"/>
        </w:trPr>
        <w:tc>
          <w:tcPr>
            <w:tcW w:w="8340" w:type="dxa"/>
            <w:vAlign w:val="bottom"/>
            <w:shd w:val="clear" w:color="auto" w:fill="CCEEFF"/>
          </w:tcPr>
          <w:p>
            <w:pPr>
              <w:ind w:left="40"/>
              <w:spacing w:after="0"/>
              <w:rPr>
                <w:sz w:val="20"/>
                <w:szCs w:val="20"/>
                <w:color w:val="auto"/>
              </w:rPr>
            </w:pPr>
            <w:r>
              <w:rPr>
                <w:rFonts w:ascii="Arial" w:cs="Arial" w:eastAsia="Arial" w:hAnsi="Arial"/>
                <w:sz w:val="16"/>
                <w:szCs w:val="16"/>
                <w:color w:val="auto"/>
              </w:rPr>
              <w:t>Total liabilities</w:t>
            </w:r>
          </w:p>
        </w:tc>
        <w:tc>
          <w:tcPr>
            <w:tcW w:w="180" w:type="dxa"/>
            <w:vAlign w:val="bottom"/>
            <w:tcBorders>
              <w:bottom w:val="single" w:sz="8" w:color="auto"/>
            </w:tcBorders>
            <w:shd w:val="clear" w:color="auto" w:fill="CCEEFF"/>
          </w:tcPr>
          <w:p>
            <w:pPr>
              <w:spacing w:after="0"/>
              <w:rPr>
                <w:sz w:val="21"/>
                <w:szCs w:val="21"/>
                <w:color w:val="auto"/>
              </w:rPr>
            </w:pPr>
          </w:p>
        </w:tc>
        <w:tc>
          <w:tcPr>
            <w:tcW w:w="132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7,525</w:t>
            </w:r>
          </w:p>
        </w:tc>
        <w:tc>
          <w:tcPr>
            <w:tcW w:w="100" w:type="dxa"/>
            <w:vAlign w:val="bottom"/>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12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5,800</w:t>
            </w:r>
          </w:p>
        </w:tc>
      </w:tr>
      <w:tr>
        <w:trPr>
          <w:trHeight w:val="189"/>
        </w:trPr>
        <w:tc>
          <w:tcPr>
            <w:tcW w:w="83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80" w:type="dxa"/>
            <w:vAlign w:val="bottom"/>
          </w:tcPr>
          <w:p>
            <w:pPr>
              <w:spacing w:after="0"/>
              <w:rPr>
                <w:sz w:val="16"/>
                <w:szCs w:val="16"/>
                <w:color w:val="auto"/>
              </w:rPr>
            </w:pPr>
          </w:p>
        </w:tc>
      </w:tr>
      <w:tr>
        <w:trPr>
          <w:trHeight w:val="270"/>
        </w:trPr>
        <w:tc>
          <w:tcPr>
            <w:tcW w:w="8340" w:type="dxa"/>
            <w:vAlign w:val="bottom"/>
            <w:shd w:val="clear" w:color="auto" w:fill="CCEEFF"/>
          </w:tcPr>
          <w:p>
            <w:pPr>
              <w:ind w:left="40"/>
              <w:spacing w:after="0"/>
              <w:rPr>
                <w:sz w:val="20"/>
                <w:szCs w:val="20"/>
                <w:color w:val="auto"/>
              </w:rPr>
            </w:pPr>
            <w:r>
              <w:rPr>
                <w:rFonts w:ascii="Arial" w:cs="Arial" w:eastAsia="Arial" w:hAnsi="Arial"/>
                <w:sz w:val="16"/>
                <w:szCs w:val="16"/>
                <w:color w:val="auto"/>
              </w:rPr>
              <w:t>Stockholders’ equity:</w:t>
            </w:r>
          </w:p>
        </w:tc>
        <w:tc>
          <w:tcPr>
            <w:tcW w:w="180" w:type="dxa"/>
            <w:vAlign w:val="bottom"/>
            <w:shd w:val="clear" w:color="auto" w:fill="CCEEFF"/>
          </w:tcPr>
          <w:p>
            <w:pPr>
              <w:spacing w:after="0"/>
              <w:rPr>
                <w:sz w:val="23"/>
                <w:szCs w:val="23"/>
                <w:color w:val="auto"/>
              </w:rPr>
            </w:pPr>
          </w:p>
        </w:tc>
        <w:tc>
          <w:tcPr>
            <w:tcW w:w="13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280" w:type="dxa"/>
            <w:vAlign w:val="bottom"/>
            <w:shd w:val="clear" w:color="auto" w:fill="CCEEFF"/>
          </w:tcPr>
          <w:p>
            <w:pPr>
              <w:spacing w:after="0"/>
              <w:rPr>
                <w:sz w:val="23"/>
                <w:szCs w:val="23"/>
                <w:color w:val="auto"/>
              </w:rPr>
            </w:pPr>
          </w:p>
        </w:tc>
      </w:tr>
      <w:tr>
        <w:trPr>
          <w:trHeight w:val="198"/>
        </w:trPr>
        <w:tc>
          <w:tcPr>
            <w:tcW w:w="8340" w:type="dxa"/>
            <w:vAlign w:val="bottom"/>
          </w:tcPr>
          <w:p>
            <w:pPr>
              <w:ind w:left="180"/>
              <w:spacing w:after="0"/>
              <w:rPr>
                <w:sz w:val="20"/>
                <w:szCs w:val="20"/>
                <w:color w:val="auto"/>
              </w:rPr>
            </w:pPr>
            <w:r>
              <w:rPr>
                <w:rFonts w:ascii="Arial" w:cs="Arial" w:eastAsia="Arial" w:hAnsi="Arial"/>
                <w:sz w:val="16"/>
                <w:szCs w:val="16"/>
                <w:color w:val="auto"/>
              </w:rPr>
              <w:t>Common stock, $0.001 par value; 150 shares authorized; outstanding: 57 shares at September 30, 2017 and at</w:t>
            </w:r>
          </w:p>
        </w:tc>
        <w:tc>
          <w:tcPr>
            <w:tcW w:w="1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80" w:type="dxa"/>
            <w:vAlign w:val="bottom"/>
          </w:tcPr>
          <w:p>
            <w:pPr>
              <w:spacing w:after="0"/>
              <w:rPr>
                <w:sz w:val="17"/>
                <w:szCs w:val="17"/>
                <w:color w:val="auto"/>
              </w:rPr>
            </w:pPr>
          </w:p>
        </w:tc>
      </w:tr>
      <w:tr>
        <w:trPr>
          <w:trHeight w:val="226"/>
        </w:trPr>
        <w:tc>
          <w:tcPr>
            <w:tcW w:w="8340" w:type="dxa"/>
            <w:vAlign w:val="bottom"/>
          </w:tcPr>
          <w:p>
            <w:pPr>
              <w:ind w:left="340"/>
              <w:spacing w:after="0"/>
              <w:rPr>
                <w:sz w:val="20"/>
                <w:szCs w:val="20"/>
                <w:color w:val="auto"/>
              </w:rPr>
            </w:pPr>
            <w:r>
              <w:rPr>
                <w:rFonts w:ascii="Arial" w:cs="Arial" w:eastAsia="Arial" w:hAnsi="Arial"/>
                <w:sz w:val="16"/>
                <w:szCs w:val="16"/>
                <w:color w:val="auto"/>
              </w:rPr>
              <w:t>December 31, 2016</w:t>
            </w:r>
          </w:p>
        </w:tc>
        <w:tc>
          <w:tcPr>
            <w:tcW w:w="180" w:type="dxa"/>
            <w:vAlign w:val="bottom"/>
          </w:tcPr>
          <w:p>
            <w:pPr>
              <w:spacing w:after="0"/>
              <w:rPr>
                <w:sz w:val="19"/>
                <w:szCs w:val="19"/>
                <w:color w:val="auto"/>
              </w:rPr>
            </w:pPr>
          </w:p>
        </w:tc>
        <w:tc>
          <w:tcPr>
            <w:tcW w:w="14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9"/>
                <w:szCs w:val="19"/>
                <w:color w:val="auto"/>
              </w:rPr>
            </w:pPr>
          </w:p>
        </w:tc>
        <w:tc>
          <w:tcPr>
            <w:tcW w:w="128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278"/>
        </w:trPr>
        <w:tc>
          <w:tcPr>
            <w:tcW w:w="8340" w:type="dxa"/>
            <w:vAlign w:val="bottom"/>
            <w:shd w:val="clear" w:color="auto" w:fill="CCEEFF"/>
          </w:tcPr>
          <w:p>
            <w:pPr>
              <w:ind w:left="180"/>
              <w:spacing w:after="0"/>
              <w:rPr>
                <w:sz w:val="20"/>
                <w:szCs w:val="20"/>
                <w:color w:val="auto"/>
              </w:rPr>
            </w:pPr>
            <w:r>
              <w:rPr>
                <w:rFonts w:ascii="Arial" w:cs="Arial" w:eastAsia="Arial" w:hAnsi="Arial"/>
                <w:sz w:val="16"/>
                <w:szCs w:val="16"/>
                <w:color w:val="auto"/>
              </w:rPr>
              <w:t>Preferred stock, $0.001 par value; 20 shares authorized, no shares issued and outstanding</w:t>
            </w:r>
          </w:p>
        </w:tc>
        <w:tc>
          <w:tcPr>
            <w:tcW w:w="180" w:type="dxa"/>
            <w:vAlign w:val="bottom"/>
            <w:shd w:val="clear" w:color="auto" w:fill="CCEEFF"/>
          </w:tcPr>
          <w:p>
            <w:pPr>
              <w:spacing w:after="0"/>
              <w:rPr>
                <w:sz w:val="24"/>
                <w:szCs w:val="24"/>
                <w:color w:val="auto"/>
              </w:rPr>
            </w:pPr>
          </w:p>
        </w:tc>
        <w:tc>
          <w:tcPr>
            <w:tcW w:w="142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24"/>
                <w:szCs w:val="24"/>
                <w:color w:val="auto"/>
              </w:rPr>
            </w:pPr>
          </w:p>
        </w:tc>
        <w:tc>
          <w:tcPr>
            <w:tcW w:w="12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62"/>
        </w:trPr>
        <w:tc>
          <w:tcPr>
            <w:tcW w:w="8340" w:type="dxa"/>
            <w:vAlign w:val="bottom"/>
          </w:tcPr>
          <w:p>
            <w:pPr>
              <w:ind w:left="180"/>
              <w:spacing w:after="0"/>
              <w:rPr>
                <w:sz w:val="20"/>
                <w:szCs w:val="20"/>
                <w:color w:val="auto"/>
              </w:rPr>
            </w:pPr>
            <w:r>
              <w:rPr>
                <w:rFonts w:ascii="Arial" w:cs="Arial" w:eastAsia="Arial" w:hAnsi="Arial"/>
                <w:sz w:val="16"/>
                <w:szCs w:val="16"/>
                <w:color w:val="auto"/>
              </w:rPr>
              <w:t>Additional paid-in capital</w:t>
            </w:r>
          </w:p>
        </w:tc>
        <w:tc>
          <w:tcPr>
            <w:tcW w:w="180" w:type="dxa"/>
            <w:vAlign w:val="bottom"/>
          </w:tcPr>
          <w:p>
            <w:pPr>
              <w:spacing w:after="0"/>
              <w:rPr>
                <w:sz w:val="22"/>
                <w:szCs w:val="22"/>
                <w:color w:val="auto"/>
              </w:rPr>
            </w:pPr>
          </w:p>
        </w:tc>
        <w:tc>
          <w:tcPr>
            <w:tcW w:w="1320" w:type="dxa"/>
            <w:vAlign w:val="bottom"/>
          </w:tcPr>
          <w:p>
            <w:pPr>
              <w:jc w:val="right"/>
              <w:ind w:right="20"/>
              <w:spacing w:after="0"/>
              <w:rPr>
                <w:sz w:val="20"/>
                <w:szCs w:val="20"/>
                <w:color w:val="auto"/>
              </w:rPr>
            </w:pPr>
            <w:r>
              <w:rPr>
                <w:rFonts w:ascii="Arial" w:cs="Arial" w:eastAsia="Arial" w:hAnsi="Arial"/>
                <w:sz w:val="16"/>
                <w:szCs w:val="16"/>
                <w:color w:val="auto"/>
              </w:rPr>
              <w:t>870</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80" w:type="dxa"/>
            <w:vAlign w:val="bottom"/>
          </w:tcPr>
          <w:p>
            <w:pPr>
              <w:jc w:val="right"/>
              <w:ind w:right="19"/>
              <w:spacing w:after="0"/>
              <w:rPr>
                <w:sz w:val="20"/>
                <w:szCs w:val="20"/>
                <w:color w:val="auto"/>
              </w:rPr>
            </w:pPr>
            <w:r>
              <w:rPr>
                <w:rFonts w:ascii="Arial" w:cs="Arial" w:eastAsia="Arial" w:hAnsi="Arial"/>
                <w:sz w:val="16"/>
                <w:szCs w:val="16"/>
                <w:color w:val="auto"/>
              </w:rPr>
              <w:t>841</w:t>
            </w:r>
          </w:p>
        </w:tc>
      </w:tr>
      <w:tr>
        <w:trPr>
          <w:trHeight w:val="278"/>
        </w:trPr>
        <w:tc>
          <w:tcPr>
            <w:tcW w:w="8340" w:type="dxa"/>
            <w:vAlign w:val="bottom"/>
            <w:shd w:val="clear" w:color="auto" w:fill="CCEEFF"/>
          </w:tcPr>
          <w:p>
            <w:pPr>
              <w:ind w:left="180"/>
              <w:spacing w:after="0"/>
              <w:rPr>
                <w:sz w:val="20"/>
                <w:szCs w:val="20"/>
                <w:color w:val="auto"/>
              </w:rPr>
            </w:pPr>
            <w:r>
              <w:rPr>
                <w:rFonts w:ascii="Arial" w:cs="Arial" w:eastAsia="Arial" w:hAnsi="Arial"/>
                <w:sz w:val="16"/>
                <w:szCs w:val="16"/>
                <w:color w:val="auto"/>
              </w:rPr>
              <w:t>Accumulated other comprehensive loss</w:t>
            </w:r>
          </w:p>
        </w:tc>
        <w:tc>
          <w:tcPr>
            <w:tcW w:w="180" w:type="dxa"/>
            <w:vAlign w:val="bottom"/>
            <w:shd w:val="clear" w:color="auto" w:fill="CCEEFF"/>
          </w:tcPr>
          <w:p>
            <w:pPr>
              <w:spacing w:after="0"/>
              <w:rPr>
                <w:sz w:val="24"/>
                <w:szCs w:val="24"/>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w:t>
            </w:r>
          </w:p>
        </w:tc>
      </w:tr>
      <w:tr>
        <w:trPr>
          <w:trHeight w:val="264"/>
        </w:trPr>
        <w:tc>
          <w:tcPr>
            <w:tcW w:w="8340" w:type="dxa"/>
            <w:vAlign w:val="bottom"/>
            <w:tcBorders>
              <w:bottom w:val="single" w:sz="8" w:color="CCEEFF"/>
            </w:tcBorders>
          </w:tcPr>
          <w:p>
            <w:pPr>
              <w:ind w:left="180"/>
              <w:spacing w:after="0"/>
              <w:rPr>
                <w:sz w:val="20"/>
                <w:szCs w:val="20"/>
                <w:color w:val="auto"/>
              </w:rPr>
            </w:pPr>
            <w:r>
              <w:rPr>
                <w:rFonts w:ascii="Arial" w:cs="Arial" w:eastAsia="Arial" w:hAnsi="Arial"/>
                <w:sz w:val="16"/>
                <w:szCs w:val="16"/>
                <w:color w:val="auto"/>
              </w:rPr>
              <w:t>Retained earnings</w:t>
            </w:r>
          </w:p>
        </w:tc>
        <w:tc>
          <w:tcPr>
            <w:tcW w:w="18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560</w:t>
            </w: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810</w:t>
            </w:r>
          </w:p>
        </w:tc>
      </w:tr>
      <w:tr>
        <w:trPr>
          <w:trHeight w:val="250"/>
        </w:trPr>
        <w:tc>
          <w:tcPr>
            <w:tcW w:w="8340" w:type="dxa"/>
            <w:vAlign w:val="bottom"/>
            <w:shd w:val="clear" w:color="auto" w:fill="CCEEFF"/>
          </w:tcPr>
          <w:p>
            <w:pPr>
              <w:ind w:left="40"/>
              <w:spacing w:after="0"/>
              <w:rPr>
                <w:sz w:val="20"/>
                <w:szCs w:val="20"/>
                <w:color w:val="auto"/>
              </w:rPr>
            </w:pPr>
            <w:r>
              <w:rPr>
                <w:rFonts w:ascii="Arial" w:cs="Arial" w:eastAsia="Arial" w:hAnsi="Arial"/>
                <w:sz w:val="16"/>
                <w:szCs w:val="16"/>
                <w:color w:val="auto"/>
              </w:rPr>
              <w:t>Total stockholders’ equity</w:t>
            </w:r>
          </w:p>
        </w:tc>
        <w:tc>
          <w:tcPr>
            <w:tcW w:w="180" w:type="dxa"/>
            <w:vAlign w:val="bottom"/>
            <w:tcBorders>
              <w:bottom w:val="single" w:sz="8" w:color="auto"/>
            </w:tcBorders>
            <w:shd w:val="clear" w:color="auto" w:fill="CCEEFF"/>
          </w:tcPr>
          <w:p>
            <w:pPr>
              <w:spacing w:after="0"/>
              <w:rPr>
                <w:sz w:val="21"/>
                <w:szCs w:val="21"/>
                <w:color w:val="auto"/>
              </w:rPr>
            </w:pPr>
          </w:p>
        </w:tc>
        <w:tc>
          <w:tcPr>
            <w:tcW w:w="132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1,429</w:t>
            </w:r>
          </w:p>
        </w:tc>
        <w:tc>
          <w:tcPr>
            <w:tcW w:w="100" w:type="dxa"/>
            <w:vAlign w:val="bottom"/>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12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1,649</w:t>
            </w:r>
          </w:p>
        </w:tc>
      </w:tr>
      <w:tr>
        <w:trPr>
          <w:trHeight w:val="228"/>
        </w:trPr>
        <w:tc>
          <w:tcPr>
            <w:tcW w:w="834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320" w:type="dxa"/>
            <w:vAlign w:val="bottom"/>
          </w:tcPr>
          <w:p>
            <w:pPr>
              <w:jc w:val="right"/>
              <w:ind w:right="20"/>
              <w:spacing w:after="0"/>
              <w:rPr>
                <w:sz w:val="20"/>
                <w:szCs w:val="20"/>
                <w:color w:val="auto"/>
              </w:rPr>
            </w:pPr>
            <w:r>
              <w:rPr>
                <w:rFonts w:ascii="Arial" w:cs="Arial" w:eastAsia="Arial" w:hAnsi="Arial"/>
                <w:sz w:val="16"/>
                <w:szCs w:val="16"/>
                <w:color w:val="auto"/>
              </w:rPr>
              <w:t>8,954</w:t>
            </w:r>
          </w:p>
        </w:tc>
        <w:tc>
          <w:tcPr>
            <w:tcW w:w="1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280" w:type="dxa"/>
            <w:vAlign w:val="bottom"/>
          </w:tcPr>
          <w:p>
            <w:pPr>
              <w:jc w:val="right"/>
              <w:ind w:right="19"/>
              <w:spacing w:after="0"/>
              <w:rPr>
                <w:sz w:val="20"/>
                <w:szCs w:val="20"/>
                <w:color w:val="auto"/>
              </w:rPr>
            </w:pPr>
            <w:r>
              <w:rPr>
                <w:rFonts w:ascii="Arial" w:cs="Arial" w:eastAsia="Arial" w:hAnsi="Arial"/>
                <w:sz w:val="16"/>
                <w:szCs w:val="16"/>
                <w:color w:val="auto"/>
              </w:rPr>
              <w:t>7,449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5296535</wp:posOffset>
            </wp:positionH>
            <wp:positionV relativeFrom="paragraph">
              <wp:posOffset>10160</wp:posOffset>
            </wp:positionV>
            <wp:extent cx="195516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955165" cy="8890"/>
                    </a:xfrm>
                    <a:prstGeom prst="rect">
                      <a:avLst/>
                    </a:prstGeom>
                    <a:noFill/>
                  </pic:spPr>
                </pic:pic>
              </a:graphicData>
            </a:graphic>
          </wp:anchor>
        </w:drawing>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5296535</wp:posOffset>
            </wp:positionH>
            <wp:positionV relativeFrom="paragraph">
              <wp:posOffset>-125095</wp:posOffset>
            </wp:positionV>
            <wp:extent cx="195516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955165" cy="8890"/>
                    </a:xfrm>
                    <a:prstGeom prst="rect">
                      <a:avLst/>
                    </a:prstGeom>
                    <a:noFill/>
                  </pic:spPr>
                </pic:pic>
              </a:graphicData>
            </a:graphic>
          </wp:anchor>
        </w:drawing>
      </w:r>
    </w:p>
    <w:p>
      <w:pPr>
        <w:spacing w:after="0" w:line="23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Molina Healthcare, Inc. 2017 Form 10-Q | 4</w:t>
      </w:r>
    </w:p>
    <w:p>
      <w:pPr>
        <w:sectPr>
          <w:pgSz w:w="11900" w:h="16838" w:orient="portrait"/>
          <w:cols w:equalWidth="0" w:num="1">
            <w:col w:w="11420"/>
          </w:cols>
          <w:pgMar w:left="240" w:top="116" w:right="239" w:bottom="1440" w:gutter="0" w:footer="0" w:header="0"/>
        </w:sectPr>
      </w:pPr>
    </w:p>
    <w:bookmarkStart w:id="4" w:name="page5"/>
    <w:bookmarkEnd w:id="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MOLINA HEALTHCARE, INC.</w:t>
      </w:r>
    </w:p>
    <w:p>
      <w:pPr>
        <w:spacing w:after="0" w:line="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8120" w:type="dxa"/>
            <w:vAlign w:val="bottom"/>
          </w:tcPr>
          <w:p>
            <w:pPr>
              <w:spacing w:after="0"/>
              <w:rPr>
                <w:sz w:val="17"/>
                <w:szCs w:val="17"/>
                <w:color w:val="auto"/>
              </w:rPr>
            </w:pPr>
          </w:p>
        </w:tc>
        <w:tc>
          <w:tcPr>
            <w:tcW w:w="3300" w:type="dxa"/>
            <w:vAlign w:val="bottom"/>
            <w:tcBorders>
              <w:bottom w:val="single" w:sz="8" w:color="auto"/>
            </w:tcBorders>
            <w:gridSpan w:val="5"/>
          </w:tcPr>
          <w:p>
            <w:pPr>
              <w:jc w:val="center"/>
              <w:spacing w:after="0"/>
              <w:rPr>
                <w:sz w:val="20"/>
                <w:szCs w:val="20"/>
                <w:color w:val="auto"/>
              </w:rPr>
            </w:pPr>
            <w:r>
              <w:rPr>
                <w:rFonts w:ascii="Arial" w:cs="Arial" w:eastAsia="Arial" w:hAnsi="Arial"/>
                <w:sz w:val="14"/>
                <w:szCs w:val="14"/>
                <w:b w:val="1"/>
                <w:bCs w:val="1"/>
                <w:color w:val="auto"/>
              </w:rPr>
              <w:t>Nine Months Ended September 30,</w:t>
            </w:r>
          </w:p>
        </w:tc>
      </w:tr>
      <w:tr>
        <w:trPr>
          <w:trHeight w:val="264"/>
        </w:trPr>
        <w:tc>
          <w:tcPr>
            <w:tcW w:w="8120" w:type="dxa"/>
            <w:vAlign w:val="bottom"/>
          </w:tcPr>
          <w:p>
            <w:pPr>
              <w:spacing w:after="0"/>
              <w:rPr>
                <w:sz w:val="22"/>
                <w:szCs w:val="22"/>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2017</w:t>
            </w:r>
          </w:p>
        </w:tc>
        <w:tc>
          <w:tcPr>
            <w:tcW w:w="60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2016</w:t>
            </w:r>
          </w:p>
        </w:tc>
        <w:tc>
          <w:tcPr>
            <w:tcW w:w="600" w:type="dxa"/>
            <w:vAlign w:val="bottom"/>
            <w:tcBorders>
              <w:bottom w:val="single" w:sz="8" w:color="auto"/>
            </w:tcBorders>
          </w:tcPr>
          <w:p>
            <w:pPr>
              <w:spacing w:after="0"/>
              <w:rPr>
                <w:sz w:val="22"/>
                <w:szCs w:val="22"/>
                <w:color w:val="auto"/>
              </w:rPr>
            </w:pPr>
          </w:p>
        </w:tc>
      </w:tr>
      <w:tr>
        <w:trPr>
          <w:trHeight w:val="168"/>
        </w:trPr>
        <w:tc>
          <w:tcPr>
            <w:tcW w:w="8120" w:type="dxa"/>
            <w:vAlign w:val="bottom"/>
          </w:tcPr>
          <w:p>
            <w:pPr>
              <w:spacing w:after="0"/>
              <w:rPr>
                <w:sz w:val="14"/>
                <w:szCs w:val="14"/>
                <w:color w:val="auto"/>
              </w:rPr>
            </w:pPr>
          </w:p>
        </w:tc>
        <w:tc>
          <w:tcPr>
            <w:tcW w:w="2700" w:type="dxa"/>
            <w:vAlign w:val="bottom"/>
            <w:gridSpan w:val="4"/>
          </w:tcPr>
          <w:p>
            <w:pPr>
              <w:jc w:val="center"/>
              <w:ind w:left="544"/>
              <w:spacing w:after="0"/>
              <w:rPr>
                <w:sz w:val="20"/>
                <w:szCs w:val="20"/>
                <w:color w:val="auto"/>
              </w:rPr>
            </w:pPr>
            <w:r>
              <w:rPr>
                <w:rFonts w:ascii="Arial" w:cs="Arial" w:eastAsia="Arial" w:hAnsi="Arial"/>
                <w:sz w:val="14"/>
                <w:szCs w:val="14"/>
                <w:b w:val="1"/>
                <w:bCs w:val="1"/>
                <w:color w:val="auto"/>
              </w:rPr>
              <w:t>(Amounts in millions)</w:t>
            </w:r>
          </w:p>
        </w:tc>
        <w:tc>
          <w:tcPr>
            <w:tcW w:w="600" w:type="dxa"/>
            <w:vAlign w:val="bottom"/>
          </w:tcPr>
          <w:p>
            <w:pPr>
              <w:spacing w:after="0"/>
              <w:rPr>
                <w:sz w:val="14"/>
                <w:szCs w:val="14"/>
                <w:color w:val="auto"/>
              </w:rPr>
            </w:pPr>
          </w:p>
        </w:tc>
      </w:tr>
      <w:tr>
        <w:trPr>
          <w:trHeight w:val="203"/>
        </w:trPr>
        <w:tc>
          <w:tcPr>
            <w:tcW w:w="8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700" w:type="dxa"/>
            <w:vAlign w:val="bottom"/>
            <w:gridSpan w:val="3"/>
          </w:tcPr>
          <w:p>
            <w:pPr>
              <w:jc w:val="center"/>
              <w:ind w:right="302"/>
              <w:spacing w:after="0"/>
              <w:rPr>
                <w:sz w:val="20"/>
                <w:szCs w:val="20"/>
                <w:color w:val="auto"/>
              </w:rPr>
            </w:pPr>
            <w:r>
              <w:rPr>
                <w:rFonts w:ascii="Arial" w:cs="Arial" w:eastAsia="Arial" w:hAnsi="Arial"/>
                <w:sz w:val="14"/>
                <w:szCs w:val="14"/>
                <w:b w:val="1"/>
                <w:bCs w:val="1"/>
                <w:color w:val="auto"/>
              </w:rPr>
              <w:t>(Unaudited)</w:t>
            </w:r>
          </w:p>
        </w:tc>
        <w:tc>
          <w:tcPr>
            <w:tcW w:w="600" w:type="dxa"/>
            <w:vAlign w:val="bottom"/>
          </w:tcPr>
          <w:p>
            <w:pPr>
              <w:spacing w:after="0"/>
              <w:rPr>
                <w:sz w:val="17"/>
                <w:szCs w:val="17"/>
                <w:color w:val="auto"/>
              </w:rPr>
            </w:pPr>
          </w:p>
        </w:tc>
      </w:tr>
      <w:tr>
        <w:trPr>
          <w:trHeight w:val="271"/>
        </w:trPr>
        <w:tc>
          <w:tcPr>
            <w:tcW w:w="8120" w:type="dxa"/>
            <w:vAlign w:val="bottom"/>
            <w:shd w:val="clear" w:color="auto" w:fill="CCEEFF"/>
          </w:tcPr>
          <w:p>
            <w:pPr>
              <w:ind w:left="40"/>
              <w:spacing w:after="0"/>
              <w:rPr>
                <w:sz w:val="20"/>
                <w:szCs w:val="20"/>
                <w:color w:val="auto"/>
              </w:rPr>
            </w:pPr>
            <w:r>
              <w:rPr>
                <w:rFonts w:ascii="Arial" w:cs="Arial" w:eastAsia="Arial" w:hAnsi="Arial"/>
                <w:sz w:val="16"/>
                <w:szCs w:val="16"/>
                <w:color w:val="auto"/>
              </w:rPr>
              <w:t>Operating activities:</w:t>
            </w:r>
          </w:p>
        </w:tc>
        <w:tc>
          <w:tcPr>
            <w:tcW w:w="1000" w:type="dxa"/>
            <w:vAlign w:val="bottom"/>
            <w:shd w:val="clear" w:color="auto" w:fill="CCEEFF"/>
          </w:tcPr>
          <w:p>
            <w:pPr>
              <w:spacing w:after="0"/>
              <w:rPr>
                <w:sz w:val="23"/>
                <w:szCs w:val="23"/>
                <w:color w:val="auto"/>
              </w:rPr>
            </w:pPr>
          </w:p>
        </w:tc>
        <w:tc>
          <w:tcPr>
            <w:tcW w:w="6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00" w:type="dxa"/>
            <w:vAlign w:val="bottom"/>
            <w:shd w:val="clear" w:color="auto" w:fill="CCEEFF"/>
          </w:tcPr>
          <w:p>
            <w:pPr>
              <w:spacing w:after="0"/>
              <w:rPr>
                <w:sz w:val="23"/>
                <w:szCs w:val="23"/>
                <w:color w:val="auto"/>
              </w:rPr>
            </w:pPr>
          </w:p>
        </w:tc>
        <w:tc>
          <w:tcPr>
            <w:tcW w:w="600" w:type="dxa"/>
            <w:vAlign w:val="bottom"/>
            <w:shd w:val="clear" w:color="auto" w:fill="CCEEFF"/>
          </w:tcPr>
          <w:p>
            <w:pPr>
              <w:spacing w:after="0"/>
              <w:rPr>
                <w:sz w:val="23"/>
                <w:szCs w:val="23"/>
                <w:color w:val="auto"/>
              </w:rPr>
            </w:pPr>
          </w:p>
        </w:tc>
      </w:tr>
      <w:tr>
        <w:trPr>
          <w:trHeight w:val="262"/>
        </w:trPr>
        <w:tc>
          <w:tcPr>
            <w:tcW w:w="8120" w:type="dxa"/>
            <w:vAlign w:val="bottom"/>
          </w:tcPr>
          <w:p>
            <w:pPr>
              <w:ind w:left="40"/>
              <w:spacing w:after="0"/>
              <w:rPr>
                <w:sz w:val="20"/>
                <w:szCs w:val="20"/>
                <w:color w:val="auto"/>
              </w:rPr>
            </w:pPr>
            <w:r>
              <w:rPr>
                <w:rFonts w:ascii="Arial" w:cs="Arial" w:eastAsia="Arial" w:hAnsi="Arial"/>
                <w:sz w:val="16"/>
                <w:szCs w:val="16"/>
                <w:color w:val="auto"/>
              </w:rPr>
              <w:t>Net (loss) income</w:t>
            </w:r>
          </w:p>
        </w:tc>
        <w:tc>
          <w:tcPr>
            <w:tcW w:w="1000" w:type="dxa"/>
            <w:vAlign w:val="bottom"/>
          </w:tcPr>
          <w:p>
            <w:pPr>
              <w:jc w:val="right"/>
              <w:ind w:right="824"/>
              <w:spacing w:after="0"/>
              <w:rPr>
                <w:sz w:val="20"/>
                <w:szCs w:val="20"/>
                <w:color w:val="auto"/>
              </w:rPr>
            </w:pPr>
            <w:r>
              <w:rPr>
                <w:rFonts w:ascii="Arial" w:cs="Arial" w:eastAsia="Arial" w:hAnsi="Arial"/>
                <w:sz w:val="16"/>
                <w:szCs w:val="16"/>
                <w:color w:val="auto"/>
                <w:w w:val="89"/>
              </w:rPr>
              <w:t>$</w:t>
            </w:r>
          </w:p>
        </w:tc>
        <w:tc>
          <w:tcPr>
            <w:tcW w:w="600" w:type="dxa"/>
            <w:vAlign w:val="bottom"/>
          </w:tcPr>
          <w:p>
            <w:pPr>
              <w:jc w:val="right"/>
              <w:spacing w:after="0"/>
              <w:rPr>
                <w:sz w:val="20"/>
                <w:szCs w:val="20"/>
                <w:color w:val="auto"/>
              </w:rPr>
            </w:pPr>
            <w:r>
              <w:rPr>
                <w:rFonts w:ascii="Arial" w:cs="Arial" w:eastAsia="Arial" w:hAnsi="Arial"/>
                <w:sz w:val="16"/>
                <w:szCs w:val="16"/>
                <w:color w:val="auto"/>
              </w:rPr>
              <w:t>(250)</w:t>
            </w:r>
          </w:p>
        </w:tc>
        <w:tc>
          <w:tcPr>
            <w:tcW w:w="100" w:type="dxa"/>
            <w:vAlign w:val="bottom"/>
          </w:tcPr>
          <w:p>
            <w:pPr>
              <w:spacing w:after="0"/>
              <w:rPr>
                <w:sz w:val="22"/>
                <w:szCs w:val="22"/>
                <w:color w:val="auto"/>
              </w:rPr>
            </w:pPr>
          </w:p>
        </w:tc>
        <w:tc>
          <w:tcPr>
            <w:tcW w:w="1000" w:type="dxa"/>
            <w:vAlign w:val="bottom"/>
          </w:tcPr>
          <w:p>
            <w:pPr>
              <w:jc w:val="right"/>
              <w:ind w:right="802"/>
              <w:spacing w:after="0"/>
              <w:rPr>
                <w:sz w:val="20"/>
                <w:szCs w:val="20"/>
                <w:color w:val="auto"/>
              </w:rPr>
            </w:pPr>
            <w:r>
              <w:rPr>
                <w:rFonts w:ascii="Arial" w:cs="Arial" w:eastAsia="Arial" w:hAnsi="Arial"/>
                <w:sz w:val="16"/>
                <w:szCs w:val="16"/>
                <w:color w:val="auto"/>
              </w:rPr>
              <w:t>$</w:t>
            </w:r>
          </w:p>
        </w:tc>
        <w:tc>
          <w:tcPr>
            <w:tcW w:w="600" w:type="dxa"/>
            <w:vAlign w:val="bottom"/>
          </w:tcPr>
          <w:p>
            <w:pPr>
              <w:jc w:val="right"/>
              <w:ind w:right="19"/>
              <w:spacing w:after="0"/>
              <w:rPr>
                <w:sz w:val="20"/>
                <w:szCs w:val="20"/>
                <w:color w:val="auto"/>
              </w:rPr>
            </w:pPr>
            <w:r>
              <w:rPr>
                <w:rFonts w:ascii="Arial" w:cs="Arial" w:eastAsia="Arial" w:hAnsi="Arial"/>
                <w:sz w:val="16"/>
                <w:szCs w:val="16"/>
                <w:color w:val="auto"/>
              </w:rPr>
              <w:t>99</w:t>
            </w:r>
          </w:p>
        </w:tc>
      </w:tr>
      <w:tr>
        <w:trPr>
          <w:trHeight w:val="278"/>
        </w:trPr>
        <w:tc>
          <w:tcPr>
            <w:tcW w:w="8120" w:type="dxa"/>
            <w:vAlign w:val="bottom"/>
            <w:shd w:val="clear" w:color="auto" w:fill="CCEEFF"/>
          </w:tcPr>
          <w:p>
            <w:pPr>
              <w:ind w:left="40"/>
              <w:spacing w:after="0"/>
              <w:rPr>
                <w:sz w:val="20"/>
                <w:szCs w:val="20"/>
                <w:color w:val="auto"/>
              </w:rPr>
            </w:pPr>
            <w:r>
              <w:rPr>
                <w:rFonts w:ascii="Arial" w:cs="Arial" w:eastAsia="Arial" w:hAnsi="Arial"/>
                <w:sz w:val="16"/>
                <w:szCs w:val="16"/>
                <w:color w:val="auto"/>
              </w:rPr>
              <w:t>Adjustments to reconcile net (loss) income to net cash provided by operating activities:</w:t>
            </w:r>
          </w:p>
        </w:tc>
        <w:tc>
          <w:tcPr>
            <w:tcW w:w="1000" w:type="dxa"/>
            <w:vAlign w:val="bottom"/>
            <w:shd w:val="clear" w:color="auto" w:fill="CCEEFF"/>
          </w:tcPr>
          <w:p>
            <w:pPr>
              <w:spacing w:after="0"/>
              <w:rPr>
                <w:sz w:val="24"/>
                <w:szCs w:val="24"/>
                <w:color w:val="auto"/>
              </w:rPr>
            </w:pPr>
          </w:p>
        </w:tc>
        <w:tc>
          <w:tcPr>
            <w:tcW w:w="6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600" w:type="dxa"/>
            <w:vAlign w:val="bottom"/>
            <w:shd w:val="clear" w:color="auto" w:fill="CCEEFF"/>
          </w:tcPr>
          <w:p>
            <w:pPr>
              <w:spacing w:after="0"/>
              <w:rPr>
                <w:sz w:val="24"/>
                <w:szCs w:val="24"/>
                <w:color w:val="auto"/>
              </w:rPr>
            </w:pPr>
          </w:p>
        </w:tc>
      </w:tr>
      <w:tr>
        <w:trPr>
          <w:trHeight w:val="262"/>
        </w:trPr>
        <w:tc>
          <w:tcPr>
            <w:tcW w:w="8120" w:type="dxa"/>
            <w:vAlign w:val="bottom"/>
          </w:tcPr>
          <w:p>
            <w:pPr>
              <w:ind w:left="180"/>
              <w:spacing w:after="0"/>
              <w:rPr>
                <w:sz w:val="20"/>
                <w:szCs w:val="20"/>
                <w:color w:val="auto"/>
              </w:rPr>
            </w:pPr>
            <w:r>
              <w:rPr>
                <w:rFonts w:ascii="Arial" w:cs="Arial" w:eastAsia="Arial" w:hAnsi="Arial"/>
                <w:sz w:val="16"/>
                <w:szCs w:val="16"/>
                <w:color w:val="auto"/>
              </w:rPr>
              <w:t>Depreciation and amortization</w:t>
            </w:r>
          </w:p>
        </w:tc>
        <w:tc>
          <w:tcPr>
            <w:tcW w:w="1000" w:type="dxa"/>
            <w:vAlign w:val="bottom"/>
          </w:tcPr>
          <w:p>
            <w:pPr>
              <w:spacing w:after="0"/>
              <w:rPr>
                <w:sz w:val="22"/>
                <w:szCs w:val="22"/>
                <w:color w:val="auto"/>
              </w:rPr>
            </w:pPr>
          </w:p>
        </w:tc>
        <w:tc>
          <w:tcPr>
            <w:tcW w:w="600" w:type="dxa"/>
            <w:vAlign w:val="bottom"/>
          </w:tcPr>
          <w:p>
            <w:pPr>
              <w:jc w:val="right"/>
              <w:ind w:right="19"/>
              <w:spacing w:after="0"/>
              <w:rPr>
                <w:sz w:val="20"/>
                <w:szCs w:val="20"/>
                <w:color w:val="auto"/>
              </w:rPr>
            </w:pPr>
            <w:r>
              <w:rPr>
                <w:rFonts w:ascii="Arial" w:cs="Arial" w:eastAsia="Arial" w:hAnsi="Arial"/>
                <w:sz w:val="16"/>
                <w:szCs w:val="16"/>
                <w:color w:val="auto"/>
              </w:rPr>
              <w:t>139</w:t>
            </w:r>
          </w:p>
        </w:tc>
        <w:tc>
          <w:tcPr>
            <w:tcW w:w="10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600" w:type="dxa"/>
            <w:vAlign w:val="bottom"/>
          </w:tcPr>
          <w:p>
            <w:pPr>
              <w:jc w:val="right"/>
              <w:ind w:right="19"/>
              <w:spacing w:after="0"/>
              <w:rPr>
                <w:sz w:val="20"/>
                <w:szCs w:val="20"/>
                <w:color w:val="auto"/>
              </w:rPr>
            </w:pPr>
            <w:r>
              <w:rPr>
                <w:rFonts w:ascii="Arial" w:cs="Arial" w:eastAsia="Arial" w:hAnsi="Arial"/>
                <w:sz w:val="16"/>
                <w:szCs w:val="16"/>
                <w:color w:val="auto"/>
              </w:rPr>
              <w:t>135</w:t>
            </w:r>
          </w:p>
        </w:tc>
      </w:tr>
      <w:tr>
        <w:trPr>
          <w:trHeight w:val="278"/>
        </w:trPr>
        <w:tc>
          <w:tcPr>
            <w:tcW w:w="8120" w:type="dxa"/>
            <w:vAlign w:val="bottom"/>
            <w:shd w:val="clear" w:color="auto" w:fill="CCEEFF"/>
          </w:tcPr>
          <w:p>
            <w:pPr>
              <w:ind w:left="180"/>
              <w:spacing w:after="0"/>
              <w:rPr>
                <w:sz w:val="20"/>
                <w:szCs w:val="20"/>
                <w:color w:val="auto"/>
              </w:rPr>
            </w:pPr>
            <w:r>
              <w:rPr>
                <w:rFonts w:ascii="Arial" w:cs="Arial" w:eastAsia="Arial" w:hAnsi="Arial"/>
                <w:sz w:val="16"/>
                <w:szCs w:val="16"/>
                <w:color w:val="auto"/>
              </w:rPr>
              <w:t>Impairment losses</w:t>
            </w:r>
          </w:p>
        </w:tc>
        <w:tc>
          <w:tcPr>
            <w:tcW w:w="1000" w:type="dxa"/>
            <w:vAlign w:val="bottom"/>
            <w:shd w:val="clear" w:color="auto" w:fill="CCEEFF"/>
          </w:tcPr>
          <w:p>
            <w:pPr>
              <w:spacing w:after="0"/>
              <w:rPr>
                <w:sz w:val="24"/>
                <w:szCs w:val="24"/>
                <w:color w:val="auto"/>
              </w:rPr>
            </w:pPr>
          </w:p>
        </w:tc>
        <w:tc>
          <w:tcPr>
            <w:tcW w:w="6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201</w:t>
            </w:r>
          </w:p>
        </w:tc>
        <w:tc>
          <w:tcPr>
            <w:tcW w:w="10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6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62"/>
        </w:trPr>
        <w:tc>
          <w:tcPr>
            <w:tcW w:w="8120" w:type="dxa"/>
            <w:vAlign w:val="bottom"/>
          </w:tcPr>
          <w:p>
            <w:pPr>
              <w:ind w:left="180"/>
              <w:spacing w:after="0"/>
              <w:rPr>
                <w:sz w:val="20"/>
                <w:szCs w:val="20"/>
                <w:color w:val="auto"/>
              </w:rPr>
            </w:pPr>
            <w:r>
              <w:rPr>
                <w:rFonts w:ascii="Arial" w:cs="Arial" w:eastAsia="Arial" w:hAnsi="Arial"/>
                <w:sz w:val="16"/>
                <w:szCs w:val="16"/>
                <w:color w:val="auto"/>
              </w:rPr>
              <w:t>Deferred income taxes</w:t>
            </w:r>
          </w:p>
        </w:tc>
        <w:tc>
          <w:tcPr>
            <w:tcW w:w="1000" w:type="dxa"/>
            <w:vAlign w:val="bottom"/>
          </w:tcPr>
          <w:p>
            <w:pPr>
              <w:spacing w:after="0"/>
              <w:rPr>
                <w:sz w:val="22"/>
                <w:szCs w:val="22"/>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(68)</w:t>
            </w:r>
          </w:p>
        </w:tc>
        <w:tc>
          <w:tcPr>
            <w:tcW w:w="10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600" w:type="dxa"/>
            <w:vAlign w:val="bottom"/>
          </w:tcPr>
          <w:p>
            <w:pPr>
              <w:jc w:val="right"/>
              <w:ind w:right="19"/>
              <w:spacing w:after="0"/>
              <w:rPr>
                <w:sz w:val="20"/>
                <w:szCs w:val="20"/>
                <w:color w:val="auto"/>
              </w:rPr>
            </w:pPr>
            <w:r>
              <w:rPr>
                <w:rFonts w:ascii="Arial" w:cs="Arial" w:eastAsia="Arial" w:hAnsi="Arial"/>
                <w:sz w:val="16"/>
                <w:szCs w:val="16"/>
                <w:color w:val="auto"/>
              </w:rPr>
              <w:t>20</w:t>
            </w:r>
          </w:p>
        </w:tc>
      </w:tr>
      <w:tr>
        <w:trPr>
          <w:trHeight w:val="278"/>
        </w:trPr>
        <w:tc>
          <w:tcPr>
            <w:tcW w:w="8120" w:type="dxa"/>
            <w:vAlign w:val="bottom"/>
            <w:shd w:val="clear" w:color="auto" w:fill="CCEEFF"/>
          </w:tcPr>
          <w:p>
            <w:pPr>
              <w:ind w:left="180"/>
              <w:spacing w:after="0"/>
              <w:rPr>
                <w:sz w:val="20"/>
                <w:szCs w:val="20"/>
                <w:color w:val="auto"/>
              </w:rPr>
            </w:pPr>
            <w:r>
              <w:rPr>
                <w:rFonts w:ascii="Arial" w:cs="Arial" w:eastAsia="Arial" w:hAnsi="Arial"/>
                <w:sz w:val="16"/>
                <w:szCs w:val="16"/>
                <w:color w:val="auto"/>
              </w:rPr>
              <w:t>Share-based compensation, including accelerated share-based compensation</w:t>
            </w:r>
          </w:p>
        </w:tc>
        <w:tc>
          <w:tcPr>
            <w:tcW w:w="1000" w:type="dxa"/>
            <w:vAlign w:val="bottom"/>
            <w:shd w:val="clear" w:color="auto" w:fill="CCEEFF"/>
          </w:tcPr>
          <w:p>
            <w:pPr>
              <w:spacing w:after="0"/>
              <w:rPr>
                <w:sz w:val="24"/>
                <w:szCs w:val="24"/>
                <w:color w:val="auto"/>
              </w:rPr>
            </w:pPr>
          </w:p>
        </w:tc>
        <w:tc>
          <w:tcPr>
            <w:tcW w:w="6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38</w:t>
            </w:r>
          </w:p>
        </w:tc>
        <w:tc>
          <w:tcPr>
            <w:tcW w:w="10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6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24</w:t>
            </w:r>
          </w:p>
        </w:tc>
      </w:tr>
      <w:tr>
        <w:trPr>
          <w:trHeight w:val="262"/>
        </w:trPr>
        <w:tc>
          <w:tcPr>
            <w:tcW w:w="8120" w:type="dxa"/>
            <w:vAlign w:val="bottom"/>
          </w:tcPr>
          <w:p>
            <w:pPr>
              <w:ind w:left="180"/>
              <w:spacing w:after="0"/>
              <w:rPr>
                <w:sz w:val="20"/>
                <w:szCs w:val="20"/>
                <w:color w:val="auto"/>
              </w:rPr>
            </w:pPr>
            <w:r>
              <w:rPr>
                <w:rFonts w:ascii="Arial" w:cs="Arial" w:eastAsia="Arial" w:hAnsi="Arial"/>
                <w:sz w:val="16"/>
                <w:szCs w:val="16"/>
                <w:color w:val="auto"/>
              </w:rPr>
              <w:t>Non-cash restructuring charges</w:t>
            </w:r>
          </w:p>
        </w:tc>
        <w:tc>
          <w:tcPr>
            <w:tcW w:w="1000" w:type="dxa"/>
            <w:vAlign w:val="bottom"/>
          </w:tcPr>
          <w:p>
            <w:pPr>
              <w:spacing w:after="0"/>
              <w:rPr>
                <w:sz w:val="22"/>
                <w:szCs w:val="22"/>
                <w:color w:val="auto"/>
              </w:rPr>
            </w:pPr>
          </w:p>
        </w:tc>
        <w:tc>
          <w:tcPr>
            <w:tcW w:w="600" w:type="dxa"/>
            <w:vAlign w:val="bottom"/>
          </w:tcPr>
          <w:p>
            <w:pPr>
              <w:jc w:val="right"/>
              <w:ind w:right="19"/>
              <w:spacing w:after="0"/>
              <w:rPr>
                <w:sz w:val="20"/>
                <w:szCs w:val="20"/>
                <w:color w:val="auto"/>
              </w:rPr>
            </w:pPr>
            <w:r>
              <w:rPr>
                <w:rFonts w:ascii="Arial" w:cs="Arial" w:eastAsia="Arial" w:hAnsi="Arial"/>
                <w:sz w:val="16"/>
                <w:szCs w:val="16"/>
                <w:color w:val="auto"/>
              </w:rPr>
              <w:t>49</w:t>
            </w:r>
          </w:p>
        </w:tc>
        <w:tc>
          <w:tcPr>
            <w:tcW w:w="10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60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278"/>
        </w:trPr>
        <w:tc>
          <w:tcPr>
            <w:tcW w:w="8120" w:type="dxa"/>
            <w:vAlign w:val="bottom"/>
            <w:shd w:val="clear" w:color="auto" w:fill="CCEEFF"/>
          </w:tcPr>
          <w:p>
            <w:pPr>
              <w:ind w:left="180"/>
              <w:spacing w:after="0"/>
              <w:rPr>
                <w:sz w:val="20"/>
                <w:szCs w:val="20"/>
                <w:color w:val="auto"/>
              </w:rPr>
            </w:pPr>
            <w:r>
              <w:rPr>
                <w:rFonts w:ascii="Arial" w:cs="Arial" w:eastAsia="Arial" w:hAnsi="Arial"/>
                <w:sz w:val="16"/>
                <w:szCs w:val="16"/>
                <w:color w:val="auto"/>
              </w:rPr>
              <w:t>Amortization of convertible senior notes and lease financing obligations</w:t>
            </w:r>
          </w:p>
        </w:tc>
        <w:tc>
          <w:tcPr>
            <w:tcW w:w="1000" w:type="dxa"/>
            <w:vAlign w:val="bottom"/>
            <w:shd w:val="clear" w:color="auto" w:fill="CCEEFF"/>
          </w:tcPr>
          <w:p>
            <w:pPr>
              <w:spacing w:after="0"/>
              <w:rPr>
                <w:sz w:val="24"/>
                <w:szCs w:val="24"/>
                <w:color w:val="auto"/>
              </w:rPr>
            </w:pPr>
          </w:p>
        </w:tc>
        <w:tc>
          <w:tcPr>
            <w:tcW w:w="6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24</w:t>
            </w:r>
          </w:p>
        </w:tc>
        <w:tc>
          <w:tcPr>
            <w:tcW w:w="10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6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23</w:t>
            </w:r>
          </w:p>
        </w:tc>
      </w:tr>
      <w:tr>
        <w:trPr>
          <w:trHeight w:val="262"/>
        </w:trPr>
        <w:tc>
          <w:tcPr>
            <w:tcW w:w="8120" w:type="dxa"/>
            <w:vAlign w:val="bottom"/>
          </w:tcPr>
          <w:p>
            <w:pPr>
              <w:ind w:left="180"/>
              <w:spacing w:after="0"/>
              <w:rPr>
                <w:sz w:val="20"/>
                <w:szCs w:val="20"/>
                <w:color w:val="auto"/>
              </w:rPr>
            </w:pPr>
            <w:r>
              <w:rPr>
                <w:rFonts w:ascii="Arial" w:cs="Arial" w:eastAsia="Arial" w:hAnsi="Arial"/>
                <w:sz w:val="16"/>
                <w:szCs w:val="16"/>
                <w:color w:val="auto"/>
              </w:rPr>
              <w:t>Other, net</w:t>
            </w:r>
          </w:p>
        </w:tc>
        <w:tc>
          <w:tcPr>
            <w:tcW w:w="1000" w:type="dxa"/>
            <w:vAlign w:val="bottom"/>
          </w:tcPr>
          <w:p>
            <w:pPr>
              <w:spacing w:after="0"/>
              <w:rPr>
                <w:sz w:val="22"/>
                <w:szCs w:val="22"/>
                <w:color w:val="auto"/>
              </w:rPr>
            </w:pPr>
          </w:p>
        </w:tc>
        <w:tc>
          <w:tcPr>
            <w:tcW w:w="600" w:type="dxa"/>
            <w:vAlign w:val="bottom"/>
          </w:tcPr>
          <w:p>
            <w:pPr>
              <w:jc w:val="right"/>
              <w:ind w:right="19"/>
              <w:spacing w:after="0"/>
              <w:rPr>
                <w:sz w:val="20"/>
                <w:szCs w:val="20"/>
                <w:color w:val="auto"/>
              </w:rPr>
            </w:pPr>
            <w:r>
              <w:rPr>
                <w:rFonts w:ascii="Arial" w:cs="Arial" w:eastAsia="Arial" w:hAnsi="Arial"/>
                <w:sz w:val="16"/>
                <w:szCs w:val="16"/>
                <w:color w:val="auto"/>
              </w:rPr>
              <w:t>13</w:t>
            </w:r>
          </w:p>
        </w:tc>
        <w:tc>
          <w:tcPr>
            <w:tcW w:w="10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600" w:type="dxa"/>
            <w:vAlign w:val="bottom"/>
          </w:tcPr>
          <w:p>
            <w:pPr>
              <w:jc w:val="right"/>
              <w:ind w:right="19"/>
              <w:spacing w:after="0"/>
              <w:rPr>
                <w:sz w:val="20"/>
                <w:szCs w:val="20"/>
                <w:color w:val="auto"/>
              </w:rPr>
            </w:pPr>
            <w:r>
              <w:rPr>
                <w:rFonts w:ascii="Arial" w:cs="Arial" w:eastAsia="Arial" w:hAnsi="Arial"/>
                <w:sz w:val="16"/>
                <w:szCs w:val="16"/>
                <w:color w:val="auto"/>
              </w:rPr>
              <w:t>14</w:t>
            </w:r>
          </w:p>
        </w:tc>
      </w:tr>
      <w:tr>
        <w:trPr>
          <w:trHeight w:val="278"/>
        </w:trPr>
        <w:tc>
          <w:tcPr>
            <w:tcW w:w="8120" w:type="dxa"/>
            <w:vAlign w:val="bottom"/>
            <w:shd w:val="clear" w:color="auto" w:fill="CCEEFF"/>
          </w:tcPr>
          <w:p>
            <w:pPr>
              <w:ind w:left="180"/>
              <w:spacing w:after="0"/>
              <w:rPr>
                <w:sz w:val="20"/>
                <w:szCs w:val="20"/>
                <w:color w:val="auto"/>
              </w:rPr>
            </w:pPr>
            <w:r>
              <w:rPr>
                <w:rFonts w:ascii="Arial" w:cs="Arial" w:eastAsia="Arial" w:hAnsi="Arial"/>
                <w:sz w:val="16"/>
                <w:szCs w:val="16"/>
                <w:color w:val="auto"/>
              </w:rPr>
              <w:t>Changes in operating assets and liabilities:</w:t>
            </w:r>
          </w:p>
        </w:tc>
        <w:tc>
          <w:tcPr>
            <w:tcW w:w="1000" w:type="dxa"/>
            <w:vAlign w:val="bottom"/>
            <w:shd w:val="clear" w:color="auto" w:fill="CCEEFF"/>
          </w:tcPr>
          <w:p>
            <w:pPr>
              <w:spacing w:after="0"/>
              <w:rPr>
                <w:sz w:val="24"/>
                <w:szCs w:val="24"/>
                <w:color w:val="auto"/>
              </w:rPr>
            </w:pPr>
          </w:p>
        </w:tc>
        <w:tc>
          <w:tcPr>
            <w:tcW w:w="6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600" w:type="dxa"/>
            <w:vAlign w:val="bottom"/>
            <w:shd w:val="clear" w:color="auto" w:fill="CCEEFF"/>
          </w:tcPr>
          <w:p>
            <w:pPr>
              <w:spacing w:after="0"/>
              <w:rPr>
                <w:sz w:val="24"/>
                <w:szCs w:val="24"/>
                <w:color w:val="auto"/>
              </w:rPr>
            </w:pPr>
          </w:p>
        </w:tc>
      </w:tr>
      <w:tr>
        <w:trPr>
          <w:trHeight w:val="262"/>
        </w:trPr>
        <w:tc>
          <w:tcPr>
            <w:tcW w:w="8120" w:type="dxa"/>
            <w:vAlign w:val="bottom"/>
          </w:tcPr>
          <w:p>
            <w:pPr>
              <w:ind w:left="280"/>
              <w:spacing w:after="0"/>
              <w:rPr>
                <w:sz w:val="20"/>
                <w:szCs w:val="20"/>
                <w:color w:val="auto"/>
              </w:rPr>
            </w:pPr>
            <w:r>
              <w:rPr>
                <w:rFonts w:ascii="Arial" w:cs="Arial" w:eastAsia="Arial" w:hAnsi="Arial"/>
                <w:sz w:val="16"/>
                <w:szCs w:val="16"/>
                <w:color w:val="auto"/>
              </w:rPr>
              <w:t>Receivables</w:t>
            </w:r>
          </w:p>
        </w:tc>
        <w:tc>
          <w:tcPr>
            <w:tcW w:w="1000" w:type="dxa"/>
            <w:vAlign w:val="bottom"/>
          </w:tcPr>
          <w:p>
            <w:pPr>
              <w:spacing w:after="0"/>
              <w:rPr>
                <w:sz w:val="22"/>
                <w:szCs w:val="22"/>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(28)</w:t>
            </w:r>
          </w:p>
        </w:tc>
        <w:tc>
          <w:tcPr>
            <w:tcW w:w="10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(427)</w:t>
            </w:r>
          </w:p>
        </w:tc>
      </w:tr>
      <w:tr>
        <w:trPr>
          <w:trHeight w:val="278"/>
        </w:trPr>
        <w:tc>
          <w:tcPr>
            <w:tcW w:w="8120" w:type="dxa"/>
            <w:vAlign w:val="bottom"/>
            <w:shd w:val="clear" w:color="auto" w:fill="CCEEFF"/>
          </w:tcPr>
          <w:p>
            <w:pPr>
              <w:ind w:left="280"/>
              <w:spacing w:after="0"/>
              <w:rPr>
                <w:sz w:val="20"/>
                <w:szCs w:val="20"/>
                <w:color w:val="auto"/>
              </w:rPr>
            </w:pPr>
            <w:r>
              <w:rPr>
                <w:rFonts w:ascii="Arial" w:cs="Arial" w:eastAsia="Arial" w:hAnsi="Arial"/>
                <w:sz w:val="16"/>
                <w:szCs w:val="16"/>
                <w:color w:val="auto"/>
              </w:rPr>
              <w:t>Prepaid expenses and other assets</w:t>
            </w:r>
          </w:p>
        </w:tc>
        <w:tc>
          <w:tcPr>
            <w:tcW w:w="1000" w:type="dxa"/>
            <w:vAlign w:val="bottom"/>
            <w:shd w:val="clear" w:color="auto" w:fill="CCEEFF"/>
          </w:tcPr>
          <w:p>
            <w:pPr>
              <w:spacing w:after="0"/>
              <w:rPr>
                <w:sz w:val="24"/>
                <w:szCs w:val="24"/>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w:t>
            </w:r>
          </w:p>
        </w:tc>
        <w:tc>
          <w:tcPr>
            <w:tcW w:w="10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(116)</w:t>
            </w:r>
          </w:p>
        </w:tc>
      </w:tr>
      <w:tr>
        <w:trPr>
          <w:trHeight w:val="262"/>
        </w:trPr>
        <w:tc>
          <w:tcPr>
            <w:tcW w:w="8120" w:type="dxa"/>
            <w:vAlign w:val="bottom"/>
          </w:tcPr>
          <w:p>
            <w:pPr>
              <w:ind w:left="280"/>
              <w:spacing w:after="0"/>
              <w:rPr>
                <w:sz w:val="20"/>
                <w:szCs w:val="20"/>
                <w:color w:val="auto"/>
              </w:rPr>
            </w:pPr>
            <w:r>
              <w:rPr>
                <w:rFonts w:ascii="Arial" w:cs="Arial" w:eastAsia="Arial" w:hAnsi="Arial"/>
                <w:sz w:val="16"/>
                <w:szCs w:val="16"/>
                <w:color w:val="auto"/>
              </w:rPr>
              <w:t>Medical claims and benefits payable</w:t>
            </w:r>
          </w:p>
        </w:tc>
        <w:tc>
          <w:tcPr>
            <w:tcW w:w="1000" w:type="dxa"/>
            <w:vAlign w:val="bottom"/>
          </w:tcPr>
          <w:p>
            <w:pPr>
              <w:spacing w:after="0"/>
              <w:rPr>
                <w:sz w:val="22"/>
                <w:szCs w:val="22"/>
                <w:color w:val="auto"/>
              </w:rPr>
            </w:pPr>
          </w:p>
        </w:tc>
        <w:tc>
          <w:tcPr>
            <w:tcW w:w="600" w:type="dxa"/>
            <w:vAlign w:val="bottom"/>
          </w:tcPr>
          <w:p>
            <w:pPr>
              <w:jc w:val="right"/>
              <w:ind w:right="19"/>
              <w:spacing w:after="0"/>
              <w:rPr>
                <w:sz w:val="20"/>
                <w:szCs w:val="20"/>
                <w:color w:val="auto"/>
              </w:rPr>
            </w:pPr>
            <w:r>
              <w:rPr>
                <w:rFonts w:ascii="Arial" w:cs="Arial" w:eastAsia="Arial" w:hAnsi="Arial"/>
                <w:sz w:val="16"/>
                <w:szCs w:val="16"/>
                <w:color w:val="auto"/>
              </w:rPr>
              <w:t>549</w:t>
            </w:r>
          </w:p>
        </w:tc>
        <w:tc>
          <w:tcPr>
            <w:tcW w:w="10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600" w:type="dxa"/>
            <w:vAlign w:val="bottom"/>
          </w:tcPr>
          <w:p>
            <w:pPr>
              <w:jc w:val="right"/>
              <w:ind w:right="19"/>
              <w:spacing w:after="0"/>
              <w:rPr>
                <w:sz w:val="20"/>
                <w:szCs w:val="20"/>
                <w:color w:val="auto"/>
              </w:rPr>
            </w:pPr>
            <w:r>
              <w:rPr>
                <w:rFonts w:ascii="Arial" w:cs="Arial" w:eastAsia="Arial" w:hAnsi="Arial"/>
                <w:sz w:val="16"/>
                <w:szCs w:val="16"/>
                <w:color w:val="auto"/>
              </w:rPr>
              <w:t>168</w:t>
            </w:r>
          </w:p>
        </w:tc>
      </w:tr>
      <w:tr>
        <w:trPr>
          <w:trHeight w:val="278"/>
        </w:trPr>
        <w:tc>
          <w:tcPr>
            <w:tcW w:w="8120" w:type="dxa"/>
            <w:vAlign w:val="bottom"/>
            <w:shd w:val="clear" w:color="auto" w:fill="CCEEFF"/>
          </w:tcPr>
          <w:p>
            <w:pPr>
              <w:ind w:left="280"/>
              <w:spacing w:after="0"/>
              <w:rPr>
                <w:sz w:val="20"/>
                <w:szCs w:val="20"/>
                <w:color w:val="auto"/>
              </w:rPr>
            </w:pPr>
            <w:r>
              <w:rPr>
                <w:rFonts w:ascii="Arial" w:cs="Arial" w:eastAsia="Arial" w:hAnsi="Arial"/>
                <w:sz w:val="16"/>
                <w:szCs w:val="16"/>
                <w:color w:val="auto"/>
              </w:rPr>
              <w:t>Amounts due government agencies</w:t>
            </w:r>
          </w:p>
        </w:tc>
        <w:tc>
          <w:tcPr>
            <w:tcW w:w="1000" w:type="dxa"/>
            <w:vAlign w:val="bottom"/>
            <w:shd w:val="clear" w:color="auto" w:fill="CCEEFF"/>
          </w:tcPr>
          <w:p>
            <w:pPr>
              <w:spacing w:after="0"/>
              <w:rPr>
                <w:sz w:val="24"/>
                <w:szCs w:val="24"/>
                <w:color w:val="auto"/>
              </w:rPr>
            </w:pPr>
          </w:p>
        </w:tc>
        <w:tc>
          <w:tcPr>
            <w:tcW w:w="6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122</w:t>
            </w:r>
          </w:p>
        </w:tc>
        <w:tc>
          <w:tcPr>
            <w:tcW w:w="10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6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503</w:t>
            </w:r>
          </w:p>
        </w:tc>
      </w:tr>
      <w:tr>
        <w:trPr>
          <w:trHeight w:val="262"/>
        </w:trPr>
        <w:tc>
          <w:tcPr>
            <w:tcW w:w="8120" w:type="dxa"/>
            <w:vAlign w:val="bottom"/>
          </w:tcPr>
          <w:p>
            <w:pPr>
              <w:ind w:left="280"/>
              <w:spacing w:after="0"/>
              <w:rPr>
                <w:sz w:val="20"/>
                <w:szCs w:val="20"/>
                <w:color w:val="auto"/>
              </w:rPr>
            </w:pPr>
            <w:r>
              <w:rPr>
                <w:rFonts w:ascii="Arial" w:cs="Arial" w:eastAsia="Arial" w:hAnsi="Arial"/>
                <w:sz w:val="16"/>
                <w:szCs w:val="16"/>
                <w:color w:val="auto"/>
              </w:rPr>
              <w:t>Accounts payable and accrued liabilities</w:t>
            </w:r>
          </w:p>
        </w:tc>
        <w:tc>
          <w:tcPr>
            <w:tcW w:w="1000" w:type="dxa"/>
            <w:vAlign w:val="bottom"/>
          </w:tcPr>
          <w:p>
            <w:pPr>
              <w:spacing w:after="0"/>
              <w:rPr>
                <w:sz w:val="22"/>
                <w:szCs w:val="22"/>
                <w:color w:val="auto"/>
              </w:rPr>
            </w:pPr>
          </w:p>
        </w:tc>
        <w:tc>
          <w:tcPr>
            <w:tcW w:w="600" w:type="dxa"/>
            <w:vAlign w:val="bottom"/>
          </w:tcPr>
          <w:p>
            <w:pPr>
              <w:jc w:val="right"/>
              <w:ind w:right="19"/>
              <w:spacing w:after="0"/>
              <w:rPr>
                <w:sz w:val="20"/>
                <w:szCs w:val="20"/>
                <w:color w:val="auto"/>
              </w:rPr>
            </w:pPr>
            <w:r>
              <w:rPr>
                <w:rFonts w:ascii="Arial" w:cs="Arial" w:eastAsia="Arial" w:hAnsi="Arial"/>
                <w:sz w:val="16"/>
                <w:szCs w:val="16"/>
                <w:color w:val="auto"/>
              </w:rPr>
              <w:t>90</w:t>
            </w:r>
          </w:p>
        </w:tc>
        <w:tc>
          <w:tcPr>
            <w:tcW w:w="10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600" w:type="dxa"/>
            <w:vAlign w:val="bottom"/>
          </w:tcPr>
          <w:p>
            <w:pPr>
              <w:jc w:val="right"/>
              <w:ind w:right="19"/>
              <w:spacing w:after="0"/>
              <w:rPr>
                <w:sz w:val="20"/>
                <w:szCs w:val="20"/>
                <w:color w:val="auto"/>
              </w:rPr>
            </w:pPr>
            <w:r>
              <w:rPr>
                <w:rFonts w:ascii="Arial" w:cs="Arial" w:eastAsia="Arial" w:hAnsi="Arial"/>
                <w:sz w:val="16"/>
                <w:szCs w:val="16"/>
                <w:color w:val="auto"/>
              </w:rPr>
              <w:t>1</w:t>
            </w:r>
          </w:p>
        </w:tc>
      </w:tr>
      <w:tr>
        <w:trPr>
          <w:trHeight w:val="278"/>
        </w:trPr>
        <w:tc>
          <w:tcPr>
            <w:tcW w:w="8120" w:type="dxa"/>
            <w:vAlign w:val="bottom"/>
            <w:shd w:val="clear" w:color="auto" w:fill="CCEEFF"/>
          </w:tcPr>
          <w:p>
            <w:pPr>
              <w:ind w:left="280"/>
              <w:spacing w:after="0"/>
              <w:rPr>
                <w:sz w:val="20"/>
                <w:szCs w:val="20"/>
                <w:color w:val="auto"/>
              </w:rPr>
            </w:pPr>
            <w:r>
              <w:rPr>
                <w:rFonts w:ascii="Arial" w:cs="Arial" w:eastAsia="Arial" w:hAnsi="Arial"/>
                <w:sz w:val="16"/>
                <w:szCs w:val="16"/>
                <w:color w:val="auto"/>
              </w:rPr>
              <w:t>Deferred revenue</w:t>
            </w:r>
          </w:p>
        </w:tc>
        <w:tc>
          <w:tcPr>
            <w:tcW w:w="1000" w:type="dxa"/>
            <w:vAlign w:val="bottom"/>
            <w:shd w:val="clear" w:color="auto" w:fill="CCEEFF"/>
          </w:tcPr>
          <w:p>
            <w:pPr>
              <w:spacing w:after="0"/>
              <w:rPr>
                <w:sz w:val="24"/>
                <w:szCs w:val="24"/>
                <w:color w:val="auto"/>
              </w:rPr>
            </w:pPr>
          </w:p>
        </w:tc>
        <w:tc>
          <w:tcPr>
            <w:tcW w:w="6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153</w:t>
            </w:r>
          </w:p>
        </w:tc>
        <w:tc>
          <w:tcPr>
            <w:tcW w:w="10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6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157</w:t>
            </w:r>
          </w:p>
        </w:tc>
      </w:tr>
      <w:tr>
        <w:trPr>
          <w:trHeight w:val="264"/>
        </w:trPr>
        <w:tc>
          <w:tcPr>
            <w:tcW w:w="8120" w:type="dxa"/>
            <w:vAlign w:val="bottom"/>
            <w:tcBorders>
              <w:bottom w:val="single" w:sz="8" w:color="CCEEFF"/>
            </w:tcBorders>
          </w:tcPr>
          <w:p>
            <w:pPr>
              <w:ind w:left="280"/>
              <w:spacing w:after="0"/>
              <w:rPr>
                <w:sz w:val="20"/>
                <w:szCs w:val="20"/>
                <w:color w:val="auto"/>
              </w:rPr>
            </w:pPr>
            <w:r>
              <w:rPr>
                <w:rFonts w:ascii="Arial" w:cs="Arial" w:eastAsia="Arial" w:hAnsi="Arial"/>
                <w:sz w:val="16"/>
                <w:szCs w:val="16"/>
                <w:color w:val="auto"/>
              </w:rPr>
              <w:t>Income taxes</w:t>
            </w:r>
          </w:p>
        </w:tc>
        <w:tc>
          <w:tcPr>
            <w:tcW w:w="100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w:t>
            </w:r>
          </w:p>
        </w:tc>
        <w:tc>
          <w:tcPr>
            <w:tcW w:w="100" w:type="dxa"/>
            <w:vAlign w:val="bottom"/>
            <w:tcBorders>
              <w:bottom w:val="single" w:sz="8" w:color="CCEEFF"/>
            </w:tcBorders>
          </w:tcPr>
          <w:p>
            <w:pPr>
              <w:spacing w:after="0"/>
              <w:rPr>
                <w:sz w:val="22"/>
                <w:szCs w:val="22"/>
                <w:color w:val="auto"/>
              </w:rPr>
            </w:pPr>
          </w:p>
        </w:tc>
        <w:tc>
          <w:tcPr>
            <w:tcW w:w="100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32</w:t>
            </w:r>
          </w:p>
        </w:tc>
      </w:tr>
      <w:tr>
        <w:trPr>
          <w:trHeight w:val="257"/>
        </w:trPr>
        <w:tc>
          <w:tcPr>
            <w:tcW w:w="8120" w:type="dxa"/>
            <w:vAlign w:val="bottom"/>
            <w:shd w:val="clear" w:color="auto" w:fill="CCEEFF"/>
          </w:tcPr>
          <w:p>
            <w:pPr>
              <w:ind w:left="380"/>
              <w:spacing w:after="0"/>
              <w:rPr>
                <w:sz w:val="20"/>
                <w:szCs w:val="20"/>
                <w:color w:val="auto"/>
              </w:rPr>
            </w:pPr>
            <w:r>
              <w:rPr>
                <w:rFonts w:ascii="Arial" w:cs="Arial" w:eastAsia="Arial" w:hAnsi="Arial"/>
                <w:sz w:val="16"/>
                <w:szCs w:val="16"/>
                <w:color w:val="auto"/>
              </w:rPr>
              <w:t>Net cash provided by operating activities</w:t>
            </w:r>
          </w:p>
        </w:tc>
        <w:tc>
          <w:tcPr>
            <w:tcW w:w="1000" w:type="dxa"/>
            <w:vAlign w:val="bottom"/>
            <w:tcBorders>
              <w:bottom w:val="single" w:sz="8" w:color="auto"/>
            </w:tcBorders>
            <w:shd w:val="clear" w:color="auto" w:fill="CCEEFF"/>
          </w:tcPr>
          <w:p>
            <w:pPr>
              <w:spacing w:after="0"/>
              <w:rPr>
                <w:sz w:val="22"/>
                <w:szCs w:val="22"/>
                <w:color w:val="auto"/>
              </w:rPr>
            </w:pPr>
          </w:p>
        </w:tc>
        <w:tc>
          <w:tcPr>
            <w:tcW w:w="6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957</w:t>
            </w:r>
          </w:p>
        </w:tc>
        <w:tc>
          <w:tcPr>
            <w:tcW w:w="100" w:type="dxa"/>
            <w:vAlign w:val="bottom"/>
            <w:shd w:val="clear" w:color="auto" w:fill="CCEEFF"/>
          </w:tcPr>
          <w:p>
            <w:pPr>
              <w:spacing w:after="0"/>
              <w:rPr>
                <w:sz w:val="22"/>
                <w:szCs w:val="22"/>
                <w:color w:val="auto"/>
              </w:rPr>
            </w:pPr>
          </w:p>
        </w:tc>
        <w:tc>
          <w:tcPr>
            <w:tcW w:w="1000" w:type="dxa"/>
            <w:vAlign w:val="bottom"/>
            <w:tcBorders>
              <w:bottom w:val="single" w:sz="8" w:color="auto"/>
            </w:tcBorders>
            <w:shd w:val="clear" w:color="auto" w:fill="CCEEFF"/>
          </w:tcPr>
          <w:p>
            <w:pPr>
              <w:spacing w:after="0"/>
              <w:rPr>
                <w:sz w:val="22"/>
                <w:szCs w:val="22"/>
                <w:color w:val="auto"/>
              </w:rPr>
            </w:pPr>
          </w:p>
        </w:tc>
        <w:tc>
          <w:tcPr>
            <w:tcW w:w="6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633</w:t>
            </w:r>
          </w:p>
        </w:tc>
      </w:tr>
      <w:tr>
        <w:trPr>
          <w:trHeight w:val="256"/>
        </w:trPr>
        <w:tc>
          <w:tcPr>
            <w:tcW w:w="8120" w:type="dxa"/>
            <w:vAlign w:val="bottom"/>
          </w:tcPr>
          <w:p>
            <w:pPr>
              <w:ind w:left="40"/>
              <w:spacing w:after="0"/>
              <w:rPr>
                <w:sz w:val="20"/>
                <w:szCs w:val="20"/>
                <w:color w:val="auto"/>
              </w:rPr>
            </w:pPr>
            <w:r>
              <w:rPr>
                <w:rFonts w:ascii="Arial" w:cs="Arial" w:eastAsia="Arial" w:hAnsi="Arial"/>
                <w:sz w:val="16"/>
                <w:szCs w:val="16"/>
                <w:color w:val="auto"/>
              </w:rPr>
              <w:t>Investing activities:</w:t>
            </w:r>
          </w:p>
        </w:tc>
        <w:tc>
          <w:tcPr>
            <w:tcW w:w="100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600" w:type="dxa"/>
            <w:vAlign w:val="bottom"/>
          </w:tcPr>
          <w:p>
            <w:pPr>
              <w:spacing w:after="0"/>
              <w:rPr>
                <w:sz w:val="22"/>
                <w:szCs w:val="22"/>
                <w:color w:val="auto"/>
              </w:rPr>
            </w:pPr>
          </w:p>
        </w:tc>
      </w:tr>
      <w:tr>
        <w:trPr>
          <w:trHeight w:val="278"/>
        </w:trPr>
        <w:tc>
          <w:tcPr>
            <w:tcW w:w="8120" w:type="dxa"/>
            <w:vAlign w:val="bottom"/>
            <w:shd w:val="clear" w:color="auto" w:fill="CCEEFF"/>
          </w:tcPr>
          <w:p>
            <w:pPr>
              <w:ind w:left="180"/>
              <w:spacing w:after="0"/>
              <w:rPr>
                <w:sz w:val="20"/>
                <w:szCs w:val="20"/>
                <w:color w:val="auto"/>
              </w:rPr>
            </w:pPr>
            <w:r>
              <w:rPr>
                <w:rFonts w:ascii="Arial" w:cs="Arial" w:eastAsia="Arial" w:hAnsi="Arial"/>
                <w:sz w:val="16"/>
                <w:szCs w:val="16"/>
                <w:color w:val="auto"/>
              </w:rPr>
              <w:t>Purchases of investments</w:t>
            </w:r>
          </w:p>
        </w:tc>
        <w:tc>
          <w:tcPr>
            <w:tcW w:w="1000" w:type="dxa"/>
            <w:vAlign w:val="bottom"/>
            <w:shd w:val="clear" w:color="auto" w:fill="CCEEFF"/>
          </w:tcPr>
          <w:p>
            <w:pPr>
              <w:spacing w:after="0"/>
              <w:rPr>
                <w:sz w:val="24"/>
                <w:szCs w:val="24"/>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(1,896)</w:t>
            </w:r>
          </w:p>
        </w:tc>
        <w:tc>
          <w:tcPr>
            <w:tcW w:w="10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(1,444)</w:t>
            </w:r>
          </w:p>
        </w:tc>
      </w:tr>
      <w:tr>
        <w:trPr>
          <w:trHeight w:val="262"/>
        </w:trPr>
        <w:tc>
          <w:tcPr>
            <w:tcW w:w="8120" w:type="dxa"/>
            <w:vAlign w:val="bottom"/>
          </w:tcPr>
          <w:p>
            <w:pPr>
              <w:ind w:left="180"/>
              <w:spacing w:after="0"/>
              <w:rPr>
                <w:sz w:val="20"/>
                <w:szCs w:val="20"/>
                <w:color w:val="auto"/>
              </w:rPr>
            </w:pPr>
            <w:r>
              <w:rPr>
                <w:rFonts w:ascii="Arial" w:cs="Arial" w:eastAsia="Arial" w:hAnsi="Arial"/>
                <w:sz w:val="16"/>
                <w:szCs w:val="16"/>
                <w:color w:val="auto"/>
              </w:rPr>
              <w:t>Proceeds from sales and maturities of investments</w:t>
            </w:r>
          </w:p>
        </w:tc>
        <w:tc>
          <w:tcPr>
            <w:tcW w:w="1000" w:type="dxa"/>
            <w:vAlign w:val="bottom"/>
          </w:tcPr>
          <w:p>
            <w:pPr>
              <w:spacing w:after="0"/>
              <w:rPr>
                <w:sz w:val="22"/>
                <w:szCs w:val="22"/>
                <w:color w:val="auto"/>
              </w:rPr>
            </w:pPr>
          </w:p>
        </w:tc>
        <w:tc>
          <w:tcPr>
            <w:tcW w:w="600" w:type="dxa"/>
            <w:vAlign w:val="bottom"/>
          </w:tcPr>
          <w:p>
            <w:pPr>
              <w:jc w:val="right"/>
              <w:ind w:right="19"/>
              <w:spacing w:after="0"/>
              <w:rPr>
                <w:sz w:val="20"/>
                <w:szCs w:val="20"/>
                <w:color w:val="auto"/>
              </w:rPr>
            </w:pPr>
            <w:r>
              <w:rPr>
                <w:rFonts w:ascii="Arial" w:cs="Arial" w:eastAsia="Arial" w:hAnsi="Arial"/>
                <w:sz w:val="16"/>
                <w:szCs w:val="16"/>
                <w:color w:val="auto"/>
              </w:rPr>
              <w:t>1,538</w:t>
            </w:r>
          </w:p>
        </w:tc>
        <w:tc>
          <w:tcPr>
            <w:tcW w:w="10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600" w:type="dxa"/>
            <w:vAlign w:val="bottom"/>
          </w:tcPr>
          <w:p>
            <w:pPr>
              <w:jc w:val="right"/>
              <w:ind w:right="19"/>
              <w:spacing w:after="0"/>
              <w:rPr>
                <w:sz w:val="20"/>
                <w:szCs w:val="20"/>
                <w:color w:val="auto"/>
              </w:rPr>
            </w:pPr>
            <w:r>
              <w:rPr>
                <w:rFonts w:ascii="Arial" w:cs="Arial" w:eastAsia="Arial" w:hAnsi="Arial"/>
                <w:sz w:val="16"/>
                <w:szCs w:val="16"/>
                <w:color w:val="auto"/>
              </w:rPr>
              <w:t>1,512</w:t>
            </w:r>
          </w:p>
        </w:tc>
      </w:tr>
      <w:tr>
        <w:trPr>
          <w:trHeight w:val="278"/>
        </w:trPr>
        <w:tc>
          <w:tcPr>
            <w:tcW w:w="8120" w:type="dxa"/>
            <w:vAlign w:val="bottom"/>
            <w:shd w:val="clear" w:color="auto" w:fill="CCEEFF"/>
          </w:tcPr>
          <w:p>
            <w:pPr>
              <w:ind w:left="180"/>
              <w:spacing w:after="0"/>
              <w:rPr>
                <w:sz w:val="20"/>
                <w:szCs w:val="20"/>
                <w:color w:val="auto"/>
              </w:rPr>
            </w:pPr>
            <w:r>
              <w:rPr>
                <w:rFonts w:ascii="Arial" w:cs="Arial" w:eastAsia="Arial" w:hAnsi="Arial"/>
                <w:sz w:val="16"/>
                <w:szCs w:val="16"/>
                <w:color w:val="auto"/>
              </w:rPr>
              <w:t>Purchases of property, equipment and capitalized software</w:t>
            </w:r>
          </w:p>
        </w:tc>
        <w:tc>
          <w:tcPr>
            <w:tcW w:w="1000" w:type="dxa"/>
            <w:vAlign w:val="bottom"/>
            <w:shd w:val="clear" w:color="auto" w:fill="CCEEFF"/>
          </w:tcPr>
          <w:p>
            <w:pPr>
              <w:spacing w:after="0"/>
              <w:rPr>
                <w:sz w:val="24"/>
                <w:szCs w:val="24"/>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(85)</w:t>
            </w:r>
          </w:p>
        </w:tc>
        <w:tc>
          <w:tcPr>
            <w:tcW w:w="10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(143)</w:t>
            </w:r>
          </w:p>
        </w:tc>
      </w:tr>
      <w:tr>
        <w:trPr>
          <w:trHeight w:val="262"/>
        </w:trPr>
        <w:tc>
          <w:tcPr>
            <w:tcW w:w="8120" w:type="dxa"/>
            <w:vAlign w:val="bottom"/>
          </w:tcPr>
          <w:p>
            <w:pPr>
              <w:ind w:left="180"/>
              <w:spacing w:after="0"/>
              <w:rPr>
                <w:sz w:val="20"/>
                <w:szCs w:val="20"/>
                <w:color w:val="auto"/>
              </w:rPr>
            </w:pPr>
            <w:r>
              <w:rPr>
                <w:rFonts w:ascii="Arial" w:cs="Arial" w:eastAsia="Arial" w:hAnsi="Arial"/>
                <w:sz w:val="16"/>
                <w:szCs w:val="16"/>
                <w:color w:val="auto"/>
              </w:rPr>
              <w:t>(Increase) decrease in restricted investments held-to-maturity</w:t>
            </w:r>
          </w:p>
        </w:tc>
        <w:tc>
          <w:tcPr>
            <w:tcW w:w="1000" w:type="dxa"/>
            <w:vAlign w:val="bottom"/>
          </w:tcPr>
          <w:p>
            <w:pPr>
              <w:spacing w:after="0"/>
              <w:rPr>
                <w:sz w:val="22"/>
                <w:szCs w:val="22"/>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(10)</w:t>
            </w:r>
          </w:p>
        </w:tc>
        <w:tc>
          <w:tcPr>
            <w:tcW w:w="10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600" w:type="dxa"/>
            <w:vAlign w:val="bottom"/>
          </w:tcPr>
          <w:p>
            <w:pPr>
              <w:jc w:val="right"/>
              <w:ind w:right="19"/>
              <w:spacing w:after="0"/>
              <w:rPr>
                <w:sz w:val="20"/>
                <w:szCs w:val="20"/>
                <w:color w:val="auto"/>
              </w:rPr>
            </w:pPr>
            <w:r>
              <w:rPr>
                <w:rFonts w:ascii="Arial" w:cs="Arial" w:eastAsia="Arial" w:hAnsi="Arial"/>
                <w:sz w:val="16"/>
                <w:szCs w:val="16"/>
                <w:color w:val="auto"/>
              </w:rPr>
              <w:t>4</w:t>
            </w:r>
          </w:p>
        </w:tc>
      </w:tr>
      <w:tr>
        <w:trPr>
          <w:trHeight w:val="278"/>
        </w:trPr>
        <w:tc>
          <w:tcPr>
            <w:tcW w:w="8120" w:type="dxa"/>
            <w:vAlign w:val="bottom"/>
            <w:shd w:val="clear" w:color="auto" w:fill="CCEEFF"/>
          </w:tcPr>
          <w:p>
            <w:pPr>
              <w:ind w:left="180"/>
              <w:spacing w:after="0"/>
              <w:rPr>
                <w:sz w:val="20"/>
                <w:szCs w:val="20"/>
                <w:color w:val="auto"/>
              </w:rPr>
            </w:pPr>
            <w:r>
              <w:rPr>
                <w:rFonts w:ascii="Arial" w:cs="Arial" w:eastAsia="Arial" w:hAnsi="Arial"/>
                <w:sz w:val="16"/>
                <w:szCs w:val="16"/>
                <w:color w:val="auto"/>
              </w:rPr>
              <w:t>Net cash paid in business combinations</w:t>
            </w:r>
          </w:p>
        </w:tc>
        <w:tc>
          <w:tcPr>
            <w:tcW w:w="1000" w:type="dxa"/>
            <w:vAlign w:val="bottom"/>
            <w:shd w:val="clear" w:color="auto" w:fill="CCEEFF"/>
          </w:tcPr>
          <w:p>
            <w:pPr>
              <w:spacing w:after="0"/>
              <w:rPr>
                <w:sz w:val="24"/>
                <w:szCs w:val="24"/>
                <w:color w:val="auto"/>
              </w:rPr>
            </w:pP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000" w:type="dxa"/>
            <w:vAlign w:val="bottom"/>
            <w:shd w:val="clear" w:color="auto" w:fill="CCEEFF"/>
          </w:tcPr>
          <w:p>
            <w:pPr>
              <w:spacing w:after="0"/>
              <w:rPr>
                <w:sz w:val="24"/>
                <w:szCs w:val="24"/>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w:t>
            </w:r>
          </w:p>
        </w:tc>
      </w:tr>
      <w:tr>
        <w:trPr>
          <w:trHeight w:val="264"/>
        </w:trPr>
        <w:tc>
          <w:tcPr>
            <w:tcW w:w="8120" w:type="dxa"/>
            <w:vAlign w:val="bottom"/>
            <w:tcBorders>
              <w:bottom w:val="single" w:sz="8" w:color="CCEEFF"/>
            </w:tcBorders>
          </w:tcPr>
          <w:p>
            <w:pPr>
              <w:ind w:left="180"/>
              <w:spacing w:after="0"/>
              <w:rPr>
                <w:sz w:val="20"/>
                <w:szCs w:val="20"/>
                <w:color w:val="auto"/>
              </w:rPr>
            </w:pPr>
            <w:r>
              <w:rPr>
                <w:rFonts w:ascii="Arial" w:cs="Arial" w:eastAsia="Arial" w:hAnsi="Arial"/>
                <w:sz w:val="16"/>
                <w:szCs w:val="16"/>
                <w:color w:val="auto"/>
              </w:rPr>
              <w:t>Other, net</w:t>
            </w:r>
          </w:p>
        </w:tc>
        <w:tc>
          <w:tcPr>
            <w:tcW w:w="100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w:t>
            </w:r>
          </w:p>
        </w:tc>
        <w:tc>
          <w:tcPr>
            <w:tcW w:w="100" w:type="dxa"/>
            <w:vAlign w:val="bottom"/>
            <w:tcBorders>
              <w:bottom w:val="single" w:sz="8" w:color="CCEEFF"/>
            </w:tcBorders>
          </w:tcPr>
          <w:p>
            <w:pPr>
              <w:spacing w:after="0"/>
              <w:rPr>
                <w:sz w:val="22"/>
                <w:szCs w:val="22"/>
                <w:color w:val="auto"/>
              </w:rPr>
            </w:pPr>
          </w:p>
        </w:tc>
        <w:tc>
          <w:tcPr>
            <w:tcW w:w="100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w:t>
            </w:r>
          </w:p>
        </w:tc>
      </w:tr>
      <w:tr>
        <w:trPr>
          <w:trHeight w:val="257"/>
        </w:trPr>
        <w:tc>
          <w:tcPr>
            <w:tcW w:w="8120" w:type="dxa"/>
            <w:vAlign w:val="bottom"/>
            <w:shd w:val="clear" w:color="auto" w:fill="CCEEFF"/>
          </w:tcPr>
          <w:p>
            <w:pPr>
              <w:ind w:left="380"/>
              <w:spacing w:after="0"/>
              <w:rPr>
                <w:sz w:val="20"/>
                <w:szCs w:val="20"/>
                <w:color w:val="auto"/>
              </w:rPr>
            </w:pPr>
            <w:r>
              <w:rPr>
                <w:rFonts w:ascii="Arial" w:cs="Arial" w:eastAsia="Arial" w:hAnsi="Arial"/>
                <w:sz w:val="16"/>
                <w:szCs w:val="16"/>
                <w:color w:val="auto"/>
              </w:rPr>
              <w:t>Net cash used in investing activities</w:t>
            </w:r>
          </w:p>
        </w:tc>
        <w:tc>
          <w:tcPr>
            <w:tcW w:w="1000" w:type="dxa"/>
            <w:vAlign w:val="bottom"/>
            <w:tcBorders>
              <w:bottom w:val="single" w:sz="8" w:color="auto"/>
            </w:tcBorders>
            <w:shd w:val="clear" w:color="auto" w:fill="CCEEFF"/>
          </w:tcPr>
          <w:p>
            <w:pPr>
              <w:spacing w:after="0"/>
              <w:rPr>
                <w:sz w:val="22"/>
                <w:szCs w:val="22"/>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(474)</w:t>
            </w:r>
          </w:p>
        </w:tc>
        <w:tc>
          <w:tcPr>
            <w:tcW w:w="100" w:type="dxa"/>
            <w:vAlign w:val="bottom"/>
            <w:shd w:val="clear" w:color="auto" w:fill="CCEEFF"/>
          </w:tcPr>
          <w:p>
            <w:pPr>
              <w:spacing w:after="0"/>
              <w:rPr>
                <w:sz w:val="22"/>
                <w:szCs w:val="22"/>
                <w:color w:val="auto"/>
              </w:rPr>
            </w:pPr>
          </w:p>
        </w:tc>
        <w:tc>
          <w:tcPr>
            <w:tcW w:w="1000" w:type="dxa"/>
            <w:vAlign w:val="bottom"/>
            <w:tcBorders>
              <w:bottom w:val="single" w:sz="8" w:color="auto"/>
            </w:tcBorders>
            <w:shd w:val="clear" w:color="auto" w:fill="CCEEFF"/>
          </w:tcPr>
          <w:p>
            <w:pPr>
              <w:spacing w:after="0"/>
              <w:rPr>
                <w:sz w:val="22"/>
                <w:szCs w:val="22"/>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(131)</w:t>
            </w:r>
          </w:p>
        </w:tc>
      </w:tr>
      <w:tr>
        <w:trPr>
          <w:trHeight w:val="256"/>
        </w:trPr>
        <w:tc>
          <w:tcPr>
            <w:tcW w:w="8120" w:type="dxa"/>
            <w:vAlign w:val="bottom"/>
          </w:tcPr>
          <w:p>
            <w:pPr>
              <w:ind w:left="40"/>
              <w:spacing w:after="0"/>
              <w:rPr>
                <w:sz w:val="20"/>
                <w:szCs w:val="20"/>
                <w:color w:val="auto"/>
              </w:rPr>
            </w:pPr>
            <w:r>
              <w:rPr>
                <w:rFonts w:ascii="Arial" w:cs="Arial" w:eastAsia="Arial" w:hAnsi="Arial"/>
                <w:sz w:val="16"/>
                <w:szCs w:val="16"/>
                <w:color w:val="auto"/>
              </w:rPr>
              <w:t>Financing activities:</w:t>
            </w:r>
          </w:p>
        </w:tc>
        <w:tc>
          <w:tcPr>
            <w:tcW w:w="100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600" w:type="dxa"/>
            <w:vAlign w:val="bottom"/>
          </w:tcPr>
          <w:p>
            <w:pPr>
              <w:spacing w:after="0"/>
              <w:rPr>
                <w:sz w:val="22"/>
                <w:szCs w:val="22"/>
                <w:color w:val="auto"/>
              </w:rPr>
            </w:pPr>
          </w:p>
        </w:tc>
      </w:tr>
      <w:tr>
        <w:trPr>
          <w:trHeight w:val="278"/>
        </w:trPr>
        <w:tc>
          <w:tcPr>
            <w:tcW w:w="8120" w:type="dxa"/>
            <w:vAlign w:val="bottom"/>
            <w:shd w:val="clear" w:color="auto" w:fill="CCEEFF"/>
          </w:tcPr>
          <w:p>
            <w:pPr>
              <w:ind w:left="180"/>
              <w:spacing w:after="0"/>
              <w:rPr>
                <w:sz w:val="20"/>
                <w:szCs w:val="20"/>
                <w:color w:val="auto"/>
              </w:rPr>
            </w:pPr>
            <w:r>
              <w:rPr>
                <w:rFonts w:ascii="Arial" w:cs="Arial" w:eastAsia="Arial" w:hAnsi="Arial"/>
                <w:sz w:val="16"/>
                <w:szCs w:val="16"/>
                <w:color w:val="auto"/>
              </w:rPr>
              <w:t>Proceeds from senior notes offering, net of issuance costs</w:t>
            </w:r>
          </w:p>
        </w:tc>
        <w:tc>
          <w:tcPr>
            <w:tcW w:w="1000" w:type="dxa"/>
            <w:vAlign w:val="bottom"/>
            <w:shd w:val="clear" w:color="auto" w:fill="CCEEFF"/>
          </w:tcPr>
          <w:p>
            <w:pPr>
              <w:spacing w:after="0"/>
              <w:rPr>
                <w:sz w:val="24"/>
                <w:szCs w:val="24"/>
                <w:color w:val="auto"/>
              </w:rPr>
            </w:pPr>
          </w:p>
        </w:tc>
        <w:tc>
          <w:tcPr>
            <w:tcW w:w="6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325</w:t>
            </w:r>
          </w:p>
        </w:tc>
        <w:tc>
          <w:tcPr>
            <w:tcW w:w="10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6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62"/>
        </w:trPr>
        <w:tc>
          <w:tcPr>
            <w:tcW w:w="8120" w:type="dxa"/>
            <w:vAlign w:val="bottom"/>
          </w:tcPr>
          <w:p>
            <w:pPr>
              <w:ind w:left="180"/>
              <w:spacing w:after="0"/>
              <w:rPr>
                <w:sz w:val="20"/>
                <w:szCs w:val="20"/>
                <w:color w:val="auto"/>
              </w:rPr>
            </w:pPr>
            <w:r>
              <w:rPr>
                <w:rFonts w:ascii="Arial" w:cs="Arial" w:eastAsia="Arial" w:hAnsi="Arial"/>
                <w:sz w:val="16"/>
                <w:szCs w:val="16"/>
                <w:color w:val="auto"/>
              </w:rPr>
              <w:t>Proceeds from borrowings under credit facility</w:t>
            </w:r>
          </w:p>
        </w:tc>
        <w:tc>
          <w:tcPr>
            <w:tcW w:w="1000" w:type="dxa"/>
            <w:vAlign w:val="bottom"/>
          </w:tcPr>
          <w:p>
            <w:pPr>
              <w:spacing w:after="0"/>
              <w:rPr>
                <w:sz w:val="22"/>
                <w:szCs w:val="22"/>
                <w:color w:val="auto"/>
              </w:rPr>
            </w:pPr>
          </w:p>
        </w:tc>
        <w:tc>
          <w:tcPr>
            <w:tcW w:w="600" w:type="dxa"/>
            <w:vAlign w:val="bottom"/>
          </w:tcPr>
          <w:p>
            <w:pPr>
              <w:jc w:val="right"/>
              <w:ind w:right="19"/>
              <w:spacing w:after="0"/>
              <w:rPr>
                <w:sz w:val="20"/>
                <w:szCs w:val="20"/>
                <w:color w:val="auto"/>
              </w:rPr>
            </w:pPr>
            <w:r>
              <w:rPr>
                <w:rFonts w:ascii="Arial" w:cs="Arial" w:eastAsia="Arial" w:hAnsi="Arial"/>
                <w:sz w:val="16"/>
                <w:szCs w:val="16"/>
                <w:color w:val="auto"/>
              </w:rPr>
              <w:t>300</w:t>
            </w:r>
          </w:p>
        </w:tc>
        <w:tc>
          <w:tcPr>
            <w:tcW w:w="10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60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278"/>
        </w:trPr>
        <w:tc>
          <w:tcPr>
            <w:tcW w:w="8120" w:type="dxa"/>
            <w:vAlign w:val="bottom"/>
            <w:shd w:val="clear" w:color="auto" w:fill="CCEEFF"/>
          </w:tcPr>
          <w:p>
            <w:pPr>
              <w:ind w:left="180"/>
              <w:spacing w:after="0"/>
              <w:rPr>
                <w:sz w:val="20"/>
                <w:szCs w:val="20"/>
                <w:color w:val="auto"/>
              </w:rPr>
            </w:pPr>
            <w:r>
              <w:rPr>
                <w:rFonts w:ascii="Arial" w:cs="Arial" w:eastAsia="Arial" w:hAnsi="Arial"/>
                <w:sz w:val="16"/>
                <w:szCs w:val="16"/>
                <w:color w:val="auto"/>
              </w:rPr>
              <w:t>Proceeds from employee stock plans</w:t>
            </w:r>
          </w:p>
        </w:tc>
        <w:tc>
          <w:tcPr>
            <w:tcW w:w="1000" w:type="dxa"/>
            <w:vAlign w:val="bottom"/>
            <w:shd w:val="clear" w:color="auto" w:fill="CCEEFF"/>
          </w:tcPr>
          <w:p>
            <w:pPr>
              <w:spacing w:after="0"/>
              <w:rPr>
                <w:sz w:val="24"/>
                <w:szCs w:val="24"/>
                <w:color w:val="auto"/>
              </w:rPr>
            </w:pPr>
          </w:p>
        </w:tc>
        <w:tc>
          <w:tcPr>
            <w:tcW w:w="6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11</w:t>
            </w:r>
          </w:p>
        </w:tc>
        <w:tc>
          <w:tcPr>
            <w:tcW w:w="10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6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10</w:t>
            </w:r>
          </w:p>
        </w:tc>
      </w:tr>
      <w:tr>
        <w:trPr>
          <w:trHeight w:val="264"/>
        </w:trPr>
        <w:tc>
          <w:tcPr>
            <w:tcW w:w="8120" w:type="dxa"/>
            <w:vAlign w:val="bottom"/>
            <w:tcBorders>
              <w:bottom w:val="single" w:sz="8" w:color="CCEEFF"/>
            </w:tcBorders>
          </w:tcPr>
          <w:p>
            <w:pPr>
              <w:ind w:left="180"/>
              <w:spacing w:after="0"/>
              <w:rPr>
                <w:sz w:val="20"/>
                <w:szCs w:val="20"/>
                <w:color w:val="auto"/>
              </w:rPr>
            </w:pPr>
            <w:r>
              <w:rPr>
                <w:rFonts w:ascii="Arial" w:cs="Arial" w:eastAsia="Arial" w:hAnsi="Arial"/>
                <w:sz w:val="16"/>
                <w:szCs w:val="16"/>
                <w:color w:val="auto"/>
              </w:rPr>
              <w:t>Other, net</w:t>
            </w:r>
          </w:p>
        </w:tc>
        <w:tc>
          <w:tcPr>
            <w:tcW w:w="100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w:t>
            </w:r>
          </w:p>
        </w:tc>
        <w:tc>
          <w:tcPr>
            <w:tcW w:w="100" w:type="dxa"/>
            <w:vAlign w:val="bottom"/>
            <w:tcBorders>
              <w:bottom w:val="single" w:sz="8" w:color="CCEEFF"/>
            </w:tcBorders>
          </w:tcPr>
          <w:p>
            <w:pPr>
              <w:spacing w:after="0"/>
              <w:rPr>
                <w:sz w:val="22"/>
                <w:szCs w:val="22"/>
                <w:color w:val="auto"/>
              </w:rPr>
            </w:pPr>
          </w:p>
        </w:tc>
        <w:tc>
          <w:tcPr>
            <w:tcW w:w="100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w:t>
            </w:r>
          </w:p>
        </w:tc>
      </w:tr>
      <w:tr>
        <w:trPr>
          <w:trHeight w:val="250"/>
        </w:trPr>
        <w:tc>
          <w:tcPr>
            <w:tcW w:w="8120" w:type="dxa"/>
            <w:vAlign w:val="bottom"/>
            <w:shd w:val="clear" w:color="auto" w:fill="CCEEFF"/>
          </w:tcPr>
          <w:p>
            <w:pPr>
              <w:ind w:left="380"/>
              <w:spacing w:after="0"/>
              <w:rPr>
                <w:sz w:val="20"/>
                <w:szCs w:val="20"/>
                <w:color w:val="auto"/>
              </w:rPr>
            </w:pPr>
            <w:r>
              <w:rPr>
                <w:rFonts w:ascii="Arial" w:cs="Arial" w:eastAsia="Arial" w:hAnsi="Arial"/>
                <w:sz w:val="16"/>
                <w:szCs w:val="16"/>
                <w:color w:val="auto"/>
              </w:rPr>
              <w:t>Net cash provided by financing activities</w:t>
            </w:r>
          </w:p>
        </w:tc>
        <w:tc>
          <w:tcPr>
            <w:tcW w:w="1000" w:type="dxa"/>
            <w:vAlign w:val="bottom"/>
            <w:tcBorders>
              <w:bottom w:val="single" w:sz="8" w:color="auto"/>
            </w:tcBorders>
            <w:shd w:val="clear" w:color="auto" w:fill="CCEEFF"/>
          </w:tcPr>
          <w:p>
            <w:pPr>
              <w:spacing w:after="0"/>
              <w:rPr>
                <w:sz w:val="21"/>
                <w:szCs w:val="21"/>
                <w:color w:val="auto"/>
              </w:rPr>
            </w:pPr>
          </w:p>
        </w:tc>
        <w:tc>
          <w:tcPr>
            <w:tcW w:w="6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632</w:t>
            </w:r>
          </w:p>
        </w:tc>
        <w:tc>
          <w:tcPr>
            <w:tcW w:w="100" w:type="dxa"/>
            <w:vAlign w:val="bottom"/>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spacing w:after="0"/>
              <w:rPr>
                <w:sz w:val="21"/>
                <w:szCs w:val="21"/>
                <w:color w:val="auto"/>
              </w:rPr>
            </w:pPr>
          </w:p>
        </w:tc>
        <w:tc>
          <w:tcPr>
            <w:tcW w:w="6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11</w:t>
            </w:r>
          </w:p>
        </w:tc>
      </w:tr>
      <w:tr>
        <w:trPr>
          <w:trHeight w:val="249"/>
        </w:trPr>
        <w:tc>
          <w:tcPr>
            <w:tcW w:w="8120" w:type="dxa"/>
            <w:vAlign w:val="bottom"/>
          </w:tcPr>
          <w:p>
            <w:pPr>
              <w:ind w:left="40"/>
              <w:spacing w:after="0"/>
              <w:rPr>
                <w:sz w:val="20"/>
                <w:szCs w:val="20"/>
                <w:color w:val="auto"/>
              </w:rPr>
            </w:pPr>
            <w:r>
              <w:rPr>
                <w:rFonts w:ascii="Arial" w:cs="Arial" w:eastAsia="Arial" w:hAnsi="Arial"/>
                <w:sz w:val="16"/>
                <w:szCs w:val="16"/>
                <w:color w:val="auto"/>
              </w:rPr>
              <w:t>Net increase in cash and cash equivalents</w:t>
            </w:r>
          </w:p>
        </w:tc>
        <w:tc>
          <w:tcPr>
            <w:tcW w:w="1000" w:type="dxa"/>
            <w:vAlign w:val="bottom"/>
          </w:tcPr>
          <w:p>
            <w:pPr>
              <w:spacing w:after="0"/>
              <w:rPr>
                <w:sz w:val="21"/>
                <w:szCs w:val="21"/>
                <w:color w:val="auto"/>
              </w:rPr>
            </w:pPr>
          </w:p>
        </w:tc>
        <w:tc>
          <w:tcPr>
            <w:tcW w:w="600" w:type="dxa"/>
            <w:vAlign w:val="bottom"/>
          </w:tcPr>
          <w:p>
            <w:pPr>
              <w:jc w:val="right"/>
              <w:ind w:right="19"/>
              <w:spacing w:after="0"/>
              <w:rPr>
                <w:sz w:val="20"/>
                <w:szCs w:val="20"/>
                <w:color w:val="auto"/>
              </w:rPr>
            </w:pPr>
            <w:r>
              <w:rPr>
                <w:rFonts w:ascii="Arial" w:cs="Arial" w:eastAsia="Arial" w:hAnsi="Arial"/>
                <w:sz w:val="16"/>
                <w:szCs w:val="16"/>
                <w:color w:val="auto"/>
              </w:rPr>
              <w:t>1,115</w:t>
            </w:r>
          </w:p>
        </w:tc>
        <w:tc>
          <w:tcPr>
            <w:tcW w:w="1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600" w:type="dxa"/>
            <w:vAlign w:val="bottom"/>
          </w:tcPr>
          <w:p>
            <w:pPr>
              <w:jc w:val="right"/>
              <w:ind w:right="19"/>
              <w:spacing w:after="0"/>
              <w:rPr>
                <w:sz w:val="20"/>
                <w:szCs w:val="20"/>
                <w:color w:val="auto"/>
              </w:rPr>
            </w:pPr>
            <w:r>
              <w:rPr>
                <w:rFonts w:ascii="Arial" w:cs="Arial" w:eastAsia="Arial" w:hAnsi="Arial"/>
                <w:sz w:val="16"/>
                <w:szCs w:val="16"/>
                <w:color w:val="auto"/>
              </w:rPr>
              <w:t>513</w:t>
            </w:r>
          </w:p>
        </w:tc>
      </w:tr>
      <w:tr>
        <w:trPr>
          <w:trHeight w:val="271"/>
        </w:trPr>
        <w:tc>
          <w:tcPr>
            <w:tcW w:w="8120" w:type="dxa"/>
            <w:vAlign w:val="bottom"/>
            <w:shd w:val="clear" w:color="auto" w:fill="CCEEFF"/>
          </w:tcPr>
          <w:p>
            <w:pPr>
              <w:ind w:left="40"/>
              <w:spacing w:after="0"/>
              <w:rPr>
                <w:sz w:val="20"/>
                <w:szCs w:val="20"/>
                <w:color w:val="auto"/>
              </w:rPr>
            </w:pPr>
            <w:r>
              <w:rPr>
                <w:rFonts w:ascii="Arial" w:cs="Arial" w:eastAsia="Arial" w:hAnsi="Arial"/>
                <w:sz w:val="16"/>
                <w:szCs w:val="16"/>
                <w:color w:val="auto"/>
              </w:rPr>
              <w:t>Cash and cash equivalents at beginning of period</w:t>
            </w:r>
          </w:p>
        </w:tc>
        <w:tc>
          <w:tcPr>
            <w:tcW w:w="1000" w:type="dxa"/>
            <w:vAlign w:val="bottom"/>
            <w:tcBorders>
              <w:bottom w:val="single" w:sz="8" w:color="auto"/>
            </w:tcBorders>
            <w:shd w:val="clear" w:color="auto" w:fill="CCEEFF"/>
          </w:tcPr>
          <w:p>
            <w:pPr>
              <w:spacing w:after="0"/>
              <w:rPr>
                <w:sz w:val="23"/>
                <w:szCs w:val="23"/>
                <w:color w:val="auto"/>
              </w:rPr>
            </w:pPr>
          </w:p>
        </w:tc>
        <w:tc>
          <w:tcPr>
            <w:tcW w:w="6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2,819</w:t>
            </w:r>
          </w:p>
        </w:tc>
        <w:tc>
          <w:tcPr>
            <w:tcW w:w="100" w:type="dxa"/>
            <w:vAlign w:val="bottom"/>
            <w:shd w:val="clear" w:color="auto" w:fill="CCEEFF"/>
          </w:tcPr>
          <w:p>
            <w:pPr>
              <w:spacing w:after="0"/>
              <w:rPr>
                <w:sz w:val="23"/>
                <w:szCs w:val="23"/>
                <w:color w:val="auto"/>
              </w:rPr>
            </w:pPr>
          </w:p>
        </w:tc>
        <w:tc>
          <w:tcPr>
            <w:tcW w:w="1000" w:type="dxa"/>
            <w:vAlign w:val="bottom"/>
            <w:tcBorders>
              <w:bottom w:val="single" w:sz="8" w:color="auto"/>
            </w:tcBorders>
            <w:shd w:val="clear" w:color="auto" w:fill="CCEEFF"/>
          </w:tcPr>
          <w:p>
            <w:pPr>
              <w:spacing w:after="0"/>
              <w:rPr>
                <w:sz w:val="23"/>
                <w:szCs w:val="23"/>
                <w:color w:val="auto"/>
              </w:rPr>
            </w:pPr>
          </w:p>
        </w:tc>
        <w:tc>
          <w:tcPr>
            <w:tcW w:w="6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2,329</w:t>
            </w:r>
          </w:p>
        </w:tc>
      </w:tr>
      <w:tr>
        <w:trPr>
          <w:trHeight w:val="242"/>
        </w:trPr>
        <w:tc>
          <w:tcPr>
            <w:tcW w:w="8120" w:type="dxa"/>
            <w:vAlign w:val="bottom"/>
          </w:tcPr>
          <w:p>
            <w:pPr>
              <w:ind w:left="40"/>
              <w:spacing w:after="0"/>
              <w:rPr>
                <w:sz w:val="20"/>
                <w:szCs w:val="20"/>
                <w:color w:val="auto"/>
              </w:rPr>
            </w:pPr>
            <w:r>
              <w:rPr>
                <w:rFonts w:ascii="Arial" w:cs="Arial" w:eastAsia="Arial" w:hAnsi="Arial"/>
                <w:sz w:val="16"/>
                <w:szCs w:val="16"/>
                <w:color w:val="auto"/>
              </w:rPr>
              <w:t>Cash and cash equivalents at end of period</w:t>
            </w:r>
          </w:p>
        </w:tc>
        <w:tc>
          <w:tcPr>
            <w:tcW w:w="1000" w:type="dxa"/>
            <w:vAlign w:val="bottom"/>
            <w:tcBorders>
              <w:bottom w:val="single" w:sz="8" w:color="auto"/>
            </w:tcBorders>
          </w:tcPr>
          <w:p>
            <w:pPr>
              <w:jc w:val="right"/>
              <w:ind w:right="824"/>
              <w:spacing w:after="0"/>
              <w:rPr>
                <w:sz w:val="20"/>
                <w:szCs w:val="20"/>
                <w:color w:val="auto"/>
              </w:rPr>
            </w:pPr>
            <w:r>
              <w:rPr>
                <w:rFonts w:ascii="Arial" w:cs="Arial" w:eastAsia="Arial" w:hAnsi="Arial"/>
                <w:sz w:val="16"/>
                <w:szCs w:val="16"/>
                <w:color w:val="auto"/>
                <w:w w:val="89"/>
              </w:rPr>
              <w:t>$</w:t>
            </w:r>
          </w:p>
        </w:tc>
        <w:tc>
          <w:tcPr>
            <w:tcW w:w="6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3,934</w:t>
            </w:r>
          </w:p>
        </w:tc>
        <w:tc>
          <w:tcPr>
            <w:tcW w:w="100" w:type="dxa"/>
            <w:vAlign w:val="bottom"/>
          </w:tcPr>
          <w:p>
            <w:pPr>
              <w:spacing w:after="0"/>
              <w:rPr>
                <w:sz w:val="21"/>
                <w:szCs w:val="21"/>
                <w:color w:val="auto"/>
              </w:rPr>
            </w:pPr>
          </w:p>
        </w:tc>
        <w:tc>
          <w:tcPr>
            <w:tcW w:w="1000" w:type="dxa"/>
            <w:vAlign w:val="bottom"/>
            <w:tcBorders>
              <w:bottom w:val="single" w:sz="8" w:color="auto"/>
            </w:tcBorders>
          </w:tcPr>
          <w:p>
            <w:pPr>
              <w:jc w:val="right"/>
              <w:ind w:right="802"/>
              <w:spacing w:after="0"/>
              <w:rPr>
                <w:sz w:val="20"/>
                <w:szCs w:val="20"/>
                <w:color w:val="auto"/>
              </w:rPr>
            </w:pPr>
            <w:r>
              <w:rPr>
                <w:rFonts w:ascii="Arial" w:cs="Arial" w:eastAsia="Arial" w:hAnsi="Arial"/>
                <w:sz w:val="16"/>
                <w:szCs w:val="16"/>
                <w:color w:val="auto"/>
              </w:rPr>
              <w:t>$</w:t>
            </w:r>
          </w:p>
        </w:tc>
        <w:tc>
          <w:tcPr>
            <w:tcW w:w="6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2,842</w:t>
            </w:r>
          </w:p>
        </w:tc>
      </w:tr>
      <w:tr>
        <w:trPr>
          <w:trHeight w:val="20"/>
        </w:trPr>
        <w:tc>
          <w:tcPr>
            <w:tcW w:w="81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r>
    </w:tbl>
    <w:p>
      <w:pPr>
        <w:spacing w:after="0" w:line="22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Molina Healthcare, Inc. 2017 Form 10-Q | 5</w:t>
      </w:r>
    </w:p>
    <w:p>
      <w:pPr>
        <w:sectPr>
          <w:pgSz w:w="11900" w:h="16838" w:orient="portrait"/>
          <w:cols w:equalWidth="0" w:num="1">
            <w:col w:w="11420"/>
          </w:cols>
          <w:pgMar w:left="240" w:top="116" w:right="239" w:bottom="1440" w:gutter="0" w:footer="0" w:header="0"/>
        </w:sectPr>
      </w:pPr>
    </w:p>
    <w:bookmarkStart w:id="5" w:name="page6"/>
    <w:bookmarkEnd w:id="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MOLINA HEALTHCARE, INC.</w:t>
      </w:r>
    </w:p>
    <w:p>
      <w:pPr>
        <w:spacing w:after="0" w:line="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(continued)</w:t>
      </w:r>
    </w:p>
    <w:p>
      <w:pPr>
        <w:spacing w:after="0" w:line="373" w:lineRule="exact"/>
        <w:rPr>
          <w:sz w:val="20"/>
          <w:szCs w:val="20"/>
          <w:color w:val="auto"/>
        </w:rPr>
      </w:pPr>
    </w:p>
    <w:p>
      <w:pPr>
        <w:ind w:left="8600"/>
        <w:spacing w:after="0"/>
        <w:rPr>
          <w:sz w:val="20"/>
          <w:szCs w:val="20"/>
          <w:color w:val="auto"/>
        </w:rPr>
      </w:pPr>
      <w:r>
        <w:rPr>
          <w:rFonts w:ascii="Arial" w:cs="Arial" w:eastAsia="Arial" w:hAnsi="Arial"/>
          <w:sz w:val="14"/>
          <w:szCs w:val="14"/>
          <w:b w:val="1"/>
          <w:bCs w:val="1"/>
          <w:color w:val="auto"/>
        </w:rPr>
        <w:t>Nine Months Ended 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5150485</wp:posOffset>
            </wp:positionH>
            <wp:positionV relativeFrom="paragraph">
              <wp:posOffset>27305</wp:posOffset>
            </wp:positionV>
            <wp:extent cx="210121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101215" cy="8890"/>
                    </a:xfrm>
                    <a:prstGeom prst="rect">
                      <a:avLst/>
                    </a:prstGeom>
                    <a:noFill/>
                  </pic:spPr>
                </pic:pic>
              </a:graphicData>
            </a:graphic>
          </wp:anchor>
        </w:drawing>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8120" w:type="dxa"/>
            <w:vAlign w:val="bottom"/>
          </w:tcPr>
          <w:p>
            <w:pPr>
              <w:spacing w:after="0"/>
              <w:rPr>
                <w:sz w:val="17"/>
                <w:szCs w:val="17"/>
                <w:color w:val="auto"/>
              </w:rPr>
            </w:pPr>
          </w:p>
        </w:tc>
        <w:tc>
          <w:tcPr>
            <w:tcW w:w="1060" w:type="dxa"/>
            <w:vAlign w:val="bottom"/>
            <w:tcBorders>
              <w:bottom w:val="single" w:sz="8" w:color="auto"/>
            </w:tcBorders>
          </w:tcPr>
          <w:p>
            <w:pPr>
              <w:jc w:val="right"/>
              <w:ind w:right="22"/>
              <w:spacing w:after="0"/>
              <w:rPr>
                <w:sz w:val="20"/>
                <w:szCs w:val="20"/>
                <w:color w:val="auto"/>
              </w:rPr>
            </w:pPr>
            <w:r>
              <w:rPr>
                <w:rFonts w:ascii="Arial" w:cs="Arial" w:eastAsia="Arial" w:hAnsi="Arial"/>
                <w:sz w:val="14"/>
                <w:szCs w:val="14"/>
                <w:b w:val="1"/>
                <w:bCs w:val="1"/>
                <w:color w:val="auto"/>
              </w:rPr>
              <w:t>2017</w:t>
            </w:r>
          </w:p>
        </w:tc>
        <w:tc>
          <w:tcPr>
            <w:tcW w:w="5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20"/>
              <w:spacing w:after="0"/>
              <w:rPr>
                <w:sz w:val="20"/>
                <w:szCs w:val="20"/>
                <w:color w:val="auto"/>
              </w:rPr>
            </w:pPr>
            <w:r>
              <w:rPr>
                <w:rFonts w:ascii="Arial" w:cs="Arial" w:eastAsia="Arial" w:hAnsi="Arial"/>
                <w:sz w:val="14"/>
                <w:szCs w:val="14"/>
                <w:b w:val="1"/>
                <w:bCs w:val="1"/>
                <w:color w:val="auto"/>
              </w:rPr>
              <w:t>2016</w:t>
            </w:r>
          </w:p>
        </w:tc>
        <w:tc>
          <w:tcPr>
            <w:tcW w:w="540" w:type="dxa"/>
            <w:vAlign w:val="bottom"/>
            <w:tcBorders>
              <w:bottom w:val="single" w:sz="8" w:color="auto"/>
            </w:tcBorders>
          </w:tcPr>
          <w:p>
            <w:pPr>
              <w:spacing w:after="0"/>
              <w:rPr>
                <w:sz w:val="17"/>
                <w:szCs w:val="17"/>
                <w:color w:val="auto"/>
              </w:rPr>
            </w:pPr>
          </w:p>
        </w:tc>
      </w:tr>
      <w:tr>
        <w:trPr>
          <w:trHeight w:val="168"/>
        </w:trPr>
        <w:tc>
          <w:tcPr>
            <w:tcW w:w="8120" w:type="dxa"/>
            <w:vAlign w:val="bottom"/>
          </w:tcPr>
          <w:p>
            <w:pPr>
              <w:spacing w:after="0"/>
              <w:rPr>
                <w:sz w:val="14"/>
                <w:szCs w:val="14"/>
                <w:color w:val="auto"/>
              </w:rPr>
            </w:pPr>
          </w:p>
        </w:tc>
        <w:tc>
          <w:tcPr>
            <w:tcW w:w="2760" w:type="dxa"/>
            <w:vAlign w:val="bottom"/>
            <w:gridSpan w:val="4"/>
          </w:tcPr>
          <w:p>
            <w:pPr>
              <w:jc w:val="right"/>
              <w:ind w:right="280"/>
              <w:spacing w:after="0"/>
              <w:rPr>
                <w:sz w:val="20"/>
                <w:szCs w:val="20"/>
                <w:color w:val="auto"/>
              </w:rPr>
            </w:pPr>
            <w:r>
              <w:rPr>
                <w:rFonts w:ascii="Arial" w:cs="Arial" w:eastAsia="Arial" w:hAnsi="Arial"/>
                <w:sz w:val="14"/>
                <w:szCs w:val="14"/>
                <w:b w:val="1"/>
                <w:bCs w:val="1"/>
                <w:color w:val="auto"/>
              </w:rPr>
              <w:t>(Amounts in millions)</w:t>
            </w:r>
          </w:p>
        </w:tc>
        <w:tc>
          <w:tcPr>
            <w:tcW w:w="540" w:type="dxa"/>
            <w:vAlign w:val="bottom"/>
          </w:tcPr>
          <w:p>
            <w:pPr>
              <w:spacing w:after="0"/>
              <w:rPr>
                <w:sz w:val="14"/>
                <w:szCs w:val="14"/>
                <w:color w:val="auto"/>
              </w:rPr>
            </w:pPr>
          </w:p>
        </w:tc>
      </w:tr>
      <w:tr>
        <w:trPr>
          <w:trHeight w:val="202"/>
        </w:trPr>
        <w:tc>
          <w:tcPr>
            <w:tcW w:w="81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700" w:type="dxa"/>
            <w:vAlign w:val="bottom"/>
            <w:gridSpan w:val="3"/>
          </w:tcPr>
          <w:p>
            <w:pPr>
              <w:jc w:val="right"/>
              <w:ind w:right="620"/>
              <w:spacing w:after="0"/>
              <w:rPr>
                <w:sz w:val="20"/>
                <w:szCs w:val="20"/>
                <w:color w:val="auto"/>
              </w:rPr>
            </w:pPr>
            <w:r>
              <w:rPr>
                <w:rFonts w:ascii="Arial" w:cs="Arial" w:eastAsia="Arial" w:hAnsi="Arial"/>
                <w:sz w:val="14"/>
                <w:szCs w:val="14"/>
                <w:b w:val="1"/>
                <w:bCs w:val="1"/>
                <w:color w:val="auto"/>
              </w:rPr>
              <w:t>(Unaudited)</w:t>
            </w:r>
          </w:p>
        </w:tc>
        <w:tc>
          <w:tcPr>
            <w:tcW w:w="540" w:type="dxa"/>
            <w:vAlign w:val="bottom"/>
          </w:tcPr>
          <w:p>
            <w:pPr>
              <w:spacing w:after="0"/>
              <w:rPr>
                <w:sz w:val="17"/>
                <w:szCs w:val="17"/>
                <w:color w:val="auto"/>
              </w:rPr>
            </w:pPr>
          </w:p>
        </w:tc>
      </w:tr>
      <w:tr>
        <w:trPr>
          <w:trHeight w:val="264"/>
        </w:trPr>
        <w:tc>
          <w:tcPr>
            <w:tcW w:w="8120" w:type="dxa"/>
            <w:vAlign w:val="bottom"/>
          </w:tcPr>
          <w:p>
            <w:pPr>
              <w:ind w:left="40"/>
              <w:spacing w:after="0"/>
              <w:rPr>
                <w:sz w:val="20"/>
                <w:szCs w:val="20"/>
                <w:color w:val="auto"/>
              </w:rPr>
            </w:pPr>
            <w:r>
              <w:rPr>
                <w:rFonts w:ascii="Arial" w:cs="Arial" w:eastAsia="Arial" w:hAnsi="Arial"/>
                <w:sz w:val="16"/>
                <w:szCs w:val="16"/>
                <w:color w:val="auto"/>
              </w:rPr>
              <w:t>Supplemental cash flow information:</w:t>
            </w:r>
          </w:p>
        </w:tc>
        <w:tc>
          <w:tcPr>
            <w:tcW w:w="106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540" w:type="dxa"/>
            <w:vAlign w:val="bottom"/>
          </w:tcPr>
          <w:p>
            <w:pPr>
              <w:spacing w:after="0"/>
              <w:rPr>
                <w:sz w:val="22"/>
                <w:szCs w:val="22"/>
                <w:color w:val="auto"/>
              </w:rPr>
            </w:pPr>
          </w:p>
        </w:tc>
      </w:tr>
      <w:tr>
        <w:trPr>
          <w:trHeight w:val="332"/>
        </w:trPr>
        <w:tc>
          <w:tcPr>
            <w:tcW w:w="812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5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540" w:type="dxa"/>
            <w:vAlign w:val="bottom"/>
            <w:shd w:val="clear" w:color="auto" w:fill="CCEEFF"/>
          </w:tcPr>
          <w:p>
            <w:pPr>
              <w:spacing w:after="0"/>
              <w:rPr>
                <w:sz w:val="24"/>
                <w:szCs w:val="24"/>
                <w:color w:val="auto"/>
              </w:rPr>
            </w:pPr>
          </w:p>
        </w:tc>
      </w:tr>
      <w:tr>
        <w:trPr>
          <w:trHeight w:val="262"/>
        </w:trPr>
        <w:tc>
          <w:tcPr>
            <w:tcW w:w="8120" w:type="dxa"/>
            <w:vAlign w:val="bottom"/>
          </w:tcPr>
          <w:p>
            <w:pPr>
              <w:ind w:left="40"/>
              <w:spacing w:after="0"/>
              <w:rPr>
                <w:sz w:val="20"/>
                <w:szCs w:val="20"/>
                <w:color w:val="auto"/>
              </w:rPr>
            </w:pPr>
            <w:r>
              <w:rPr>
                <w:rFonts w:ascii="Arial" w:cs="Arial" w:eastAsia="Arial" w:hAnsi="Arial"/>
                <w:sz w:val="16"/>
                <w:szCs w:val="16"/>
                <w:color w:val="auto"/>
              </w:rPr>
              <w:t>Schedule of non-cash investing and financing activities:</w:t>
            </w:r>
          </w:p>
        </w:tc>
        <w:tc>
          <w:tcPr>
            <w:tcW w:w="106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540" w:type="dxa"/>
            <w:vAlign w:val="bottom"/>
          </w:tcPr>
          <w:p>
            <w:pPr>
              <w:spacing w:after="0"/>
              <w:rPr>
                <w:sz w:val="22"/>
                <w:szCs w:val="22"/>
                <w:color w:val="auto"/>
              </w:rPr>
            </w:pPr>
          </w:p>
        </w:tc>
      </w:tr>
      <w:tr>
        <w:trPr>
          <w:trHeight w:val="263"/>
        </w:trPr>
        <w:tc>
          <w:tcPr>
            <w:tcW w:w="8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Common stock used for share-based compensation</w:t>
            </w:r>
          </w:p>
        </w:tc>
        <w:tc>
          <w:tcPr>
            <w:tcW w:w="1060" w:type="dxa"/>
            <w:vAlign w:val="bottom"/>
            <w:tcBorders>
              <w:bottom w:val="single" w:sz="8" w:color="auto"/>
            </w:tcBorders>
            <w:shd w:val="clear" w:color="auto" w:fill="CCEEFF"/>
          </w:tcPr>
          <w:p>
            <w:pPr>
              <w:jc w:val="right"/>
              <w:ind w:right="882"/>
              <w:spacing w:after="0"/>
              <w:rPr>
                <w:sz w:val="20"/>
                <w:szCs w:val="20"/>
                <w:color w:val="auto"/>
              </w:rPr>
            </w:pPr>
            <w:r>
              <w:rPr>
                <w:rFonts w:ascii="Arial" w:cs="Arial" w:eastAsia="Arial" w:hAnsi="Arial"/>
                <w:sz w:val="16"/>
                <w:szCs w:val="16"/>
                <w:color w:val="auto"/>
                <w:w w:val="89"/>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w:t>
            </w:r>
          </w:p>
        </w:tc>
        <w:tc>
          <w:tcPr>
            <w:tcW w:w="1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auto"/>
            </w:tcBorders>
            <w:shd w:val="clear" w:color="auto" w:fill="CCEEFF"/>
          </w:tcPr>
          <w:p>
            <w:pPr>
              <w:jc w:val="right"/>
              <w:ind w:right="860"/>
              <w:spacing w:after="0"/>
              <w:rPr>
                <w:sz w:val="20"/>
                <w:szCs w:val="20"/>
                <w:color w:val="auto"/>
              </w:rPr>
            </w:pPr>
            <w:r>
              <w:rPr>
                <w:rFonts w:ascii="Arial" w:cs="Arial" w:eastAsia="Arial" w:hAnsi="Arial"/>
                <w:sz w:val="16"/>
                <w:szCs w:val="16"/>
                <w:color w:val="auto"/>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w:t>
            </w:r>
          </w:p>
        </w:tc>
      </w:tr>
      <w:tr>
        <w:trPr>
          <w:trHeight w:val="20"/>
        </w:trPr>
        <w:tc>
          <w:tcPr>
            <w:tcW w:w="812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r>
      <w:tr>
        <w:trPr>
          <w:trHeight w:val="306"/>
        </w:trPr>
        <w:tc>
          <w:tcPr>
            <w:tcW w:w="81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540" w:type="dxa"/>
            <w:vAlign w:val="bottom"/>
          </w:tcPr>
          <w:p>
            <w:pPr>
              <w:spacing w:after="0"/>
              <w:rPr>
                <w:sz w:val="24"/>
                <w:szCs w:val="24"/>
                <w:color w:val="auto"/>
              </w:rPr>
            </w:pPr>
          </w:p>
        </w:tc>
      </w:tr>
      <w:tr>
        <w:trPr>
          <w:trHeight w:val="270"/>
        </w:trPr>
        <w:tc>
          <w:tcPr>
            <w:tcW w:w="8120" w:type="dxa"/>
            <w:vAlign w:val="bottom"/>
            <w:shd w:val="clear" w:color="auto" w:fill="CCEEFF"/>
          </w:tcPr>
          <w:p>
            <w:pPr>
              <w:ind w:left="180"/>
              <w:spacing w:after="0"/>
              <w:rPr>
                <w:sz w:val="20"/>
                <w:szCs w:val="20"/>
                <w:color w:val="auto"/>
              </w:rPr>
            </w:pPr>
            <w:r>
              <w:rPr>
                <w:rFonts w:ascii="Arial" w:cs="Arial" w:eastAsia="Arial" w:hAnsi="Arial"/>
                <w:sz w:val="16"/>
                <w:szCs w:val="16"/>
                <w:color w:val="auto"/>
              </w:rPr>
              <w:t>Details of change in fair value of derivatives, net:</w:t>
            </w:r>
          </w:p>
        </w:tc>
        <w:tc>
          <w:tcPr>
            <w:tcW w:w="1060" w:type="dxa"/>
            <w:vAlign w:val="bottom"/>
            <w:shd w:val="clear" w:color="auto" w:fill="CCEEFF"/>
          </w:tcPr>
          <w:p>
            <w:pPr>
              <w:spacing w:after="0"/>
              <w:rPr>
                <w:sz w:val="23"/>
                <w:szCs w:val="23"/>
                <w:color w:val="auto"/>
              </w:rPr>
            </w:pPr>
          </w:p>
        </w:tc>
        <w:tc>
          <w:tcPr>
            <w:tcW w:w="5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540" w:type="dxa"/>
            <w:vAlign w:val="bottom"/>
            <w:shd w:val="clear" w:color="auto" w:fill="CCEEFF"/>
          </w:tcPr>
          <w:p>
            <w:pPr>
              <w:spacing w:after="0"/>
              <w:rPr>
                <w:sz w:val="23"/>
                <w:szCs w:val="23"/>
                <w:color w:val="auto"/>
              </w:rPr>
            </w:pPr>
          </w:p>
        </w:tc>
      </w:tr>
      <w:tr>
        <w:trPr>
          <w:trHeight w:val="262"/>
        </w:trPr>
        <w:tc>
          <w:tcPr>
            <w:tcW w:w="8120" w:type="dxa"/>
            <w:vAlign w:val="bottom"/>
          </w:tcPr>
          <w:p>
            <w:pPr>
              <w:ind w:left="440"/>
              <w:spacing w:after="0"/>
              <w:rPr>
                <w:sz w:val="20"/>
                <w:szCs w:val="20"/>
                <w:color w:val="auto"/>
              </w:rPr>
            </w:pPr>
            <w:r>
              <w:rPr>
                <w:rFonts w:ascii="Arial" w:cs="Arial" w:eastAsia="Arial" w:hAnsi="Arial"/>
                <w:sz w:val="16"/>
                <w:szCs w:val="16"/>
                <w:color w:val="auto"/>
              </w:rPr>
              <w:t>Gain (loss) on 1.125% Call Option</w:t>
            </w:r>
          </w:p>
        </w:tc>
        <w:tc>
          <w:tcPr>
            <w:tcW w:w="1060" w:type="dxa"/>
            <w:vAlign w:val="bottom"/>
          </w:tcPr>
          <w:p>
            <w:pPr>
              <w:jc w:val="right"/>
              <w:ind w:right="882"/>
              <w:spacing w:after="0"/>
              <w:rPr>
                <w:sz w:val="20"/>
                <w:szCs w:val="20"/>
                <w:color w:val="auto"/>
              </w:rPr>
            </w:pPr>
            <w:r>
              <w:rPr>
                <w:rFonts w:ascii="Arial" w:cs="Arial" w:eastAsia="Arial" w:hAnsi="Arial"/>
                <w:sz w:val="16"/>
                <w:szCs w:val="16"/>
                <w:color w:val="auto"/>
                <w:w w:val="89"/>
              </w:rPr>
              <w:t>$</w:t>
            </w:r>
          </w:p>
        </w:tc>
        <w:tc>
          <w:tcPr>
            <w:tcW w:w="540" w:type="dxa"/>
            <w:vAlign w:val="bottom"/>
          </w:tcPr>
          <w:p>
            <w:pPr>
              <w:jc w:val="right"/>
              <w:ind w:right="20"/>
              <w:spacing w:after="0"/>
              <w:rPr>
                <w:sz w:val="20"/>
                <w:szCs w:val="20"/>
                <w:color w:val="auto"/>
              </w:rPr>
            </w:pPr>
            <w:r>
              <w:rPr>
                <w:rFonts w:ascii="Arial" w:cs="Arial" w:eastAsia="Arial" w:hAnsi="Arial"/>
                <w:sz w:val="16"/>
                <w:szCs w:val="16"/>
                <w:color w:val="auto"/>
              </w:rPr>
              <w:t>158</w:t>
            </w:r>
          </w:p>
        </w:tc>
        <w:tc>
          <w:tcPr>
            <w:tcW w:w="100" w:type="dxa"/>
            <w:vAlign w:val="bottom"/>
          </w:tcPr>
          <w:p>
            <w:pPr>
              <w:spacing w:after="0"/>
              <w:rPr>
                <w:sz w:val="22"/>
                <w:szCs w:val="22"/>
                <w:color w:val="auto"/>
              </w:rPr>
            </w:pPr>
          </w:p>
        </w:tc>
        <w:tc>
          <w:tcPr>
            <w:tcW w:w="1060" w:type="dxa"/>
            <w:vAlign w:val="bottom"/>
          </w:tcPr>
          <w:p>
            <w:pPr>
              <w:jc w:val="right"/>
              <w:ind w:right="860"/>
              <w:spacing w:after="0"/>
              <w:rPr>
                <w:sz w:val="20"/>
                <w:szCs w:val="20"/>
                <w:color w:val="auto"/>
              </w:rPr>
            </w:pPr>
            <w:r>
              <w:rPr>
                <w:rFonts w:ascii="Arial" w:cs="Arial" w:eastAsia="Arial" w:hAnsi="Arial"/>
                <w:sz w:val="16"/>
                <w:szCs w:val="16"/>
                <w:color w:val="auto"/>
              </w:rPr>
              <w:t>$</w:t>
            </w:r>
          </w:p>
        </w:tc>
        <w:tc>
          <w:tcPr>
            <w:tcW w:w="540" w:type="dxa"/>
            <w:vAlign w:val="bottom"/>
          </w:tcPr>
          <w:p>
            <w:pPr>
              <w:jc w:val="right"/>
              <w:spacing w:after="0"/>
              <w:rPr>
                <w:sz w:val="20"/>
                <w:szCs w:val="20"/>
                <w:color w:val="auto"/>
              </w:rPr>
            </w:pPr>
            <w:r>
              <w:rPr>
                <w:rFonts w:ascii="Arial" w:cs="Arial" w:eastAsia="Arial" w:hAnsi="Arial"/>
                <w:sz w:val="16"/>
                <w:szCs w:val="16"/>
                <w:color w:val="auto"/>
              </w:rPr>
              <w:t>(60)</w:t>
            </w:r>
          </w:p>
        </w:tc>
      </w:tr>
      <w:tr>
        <w:trPr>
          <w:trHeight w:val="271"/>
        </w:trPr>
        <w:tc>
          <w:tcPr>
            <w:tcW w:w="8120" w:type="dxa"/>
            <w:vAlign w:val="bottom"/>
            <w:shd w:val="clear" w:color="auto" w:fill="CCEEFF"/>
          </w:tcPr>
          <w:p>
            <w:pPr>
              <w:ind w:left="380"/>
              <w:spacing w:after="0"/>
              <w:rPr>
                <w:sz w:val="20"/>
                <w:szCs w:val="20"/>
                <w:color w:val="auto"/>
              </w:rPr>
            </w:pPr>
            <w:r>
              <w:rPr>
                <w:rFonts w:ascii="Arial" w:cs="Arial" w:eastAsia="Arial" w:hAnsi="Arial"/>
                <w:sz w:val="16"/>
                <w:szCs w:val="16"/>
                <w:color w:val="auto"/>
              </w:rPr>
              <w:t>(Loss) gain on 1.125% Conversion Option</w:t>
            </w:r>
          </w:p>
        </w:tc>
        <w:tc>
          <w:tcPr>
            <w:tcW w:w="1060" w:type="dxa"/>
            <w:vAlign w:val="bottom"/>
            <w:tcBorders>
              <w:bottom w:val="single" w:sz="8" w:color="auto"/>
            </w:tcBorders>
            <w:shd w:val="clear" w:color="auto" w:fill="CCEEFF"/>
          </w:tcPr>
          <w:p>
            <w:pPr>
              <w:spacing w:after="0"/>
              <w:rPr>
                <w:sz w:val="23"/>
                <w:szCs w:val="23"/>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(158)</w:t>
            </w:r>
          </w:p>
        </w:tc>
        <w:tc>
          <w:tcPr>
            <w:tcW w:w="100" w:type="dxa"/>
            <w:vAlign w:val="bottom"/>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spacing w:after="0"/>
              <w:rPr>
                <w:sz w:val="23"/>
                <w:szCs w:val="23"/>
                <w:color w:val="auto"/>
              </w:rPr>
            </w:pPr>
          </w:p>
        </w:tc>
        <w:tc>
          <w:tcPr>
            <w:tcW w:w="5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60</w:t>
            </w:r>
          </w:p>
        </w:tc>
      </w:tr>
      <w:tr>
        <w:trPr>
          <w:trHeight w:val="282"/>
        </w:trPr>
        <w:tc>
          <w:tcPr>
            <w:tcW w:w="8120" w:type="dxa"/>
            <w:vAlign w:val="bottom"/>
          </w:tcPr>
          <w:p>
            <w:pPr>
              <w:ind w:left="720"/>
              <w:spacing w:after="0"/>
              <w:rPr>
                <w:sz w:val="20"/>
                <w:szCs w:val="20"/>
                <w:color w:val="auto"/>
              </w:rPr>
            </w:pPr>
            <w:r>
              <w:rPr>
                <w:rFonts w:ascii="Arial" w:cs="Arial" w:eastAsia="Arial" w:hAnsi="Arial"/>
                <w:sz w:val="16"/>
                <w:szCs w:val="16"/>
                <w:color w:val="auto"/>
              </w:rPr>
              <w:t>Change in fair value of derivatives, net</w:t>
            </w:r>
          </w:p>
        </w:tc>
        <w:tc>
          <w:tcPr>
            <w:tcW w:w="1060" w:type="dxa"/>
            <w:vAlign w:val="bottom"/>
          </w:tcPr>
          <w:p>
            <w:pPr>
              <w:jc w:val="right"/>
              <w:ind w:right="882"/>
              <w:spacing w:after="0"/>
              <w:rPr>
                <w:sz w:val="20"/>
                <w:szCs w:val="20"/>
                <w:color w:val="auto"/>
              </w:rPr>
            </w:pPr>
            <w:r>
              <w:rPr>
                <w:rFonts w:ascii="Arial" w:cs="Arial" w:eastAsia="Arial" w:hAnsi="Arial"/>
                <w:sz w:val="16"/>
                <w:szCs w:val="16"/>
                <w:color w:val="auto"/>
                <w:w w:val="89"/>
              </w:rPr>
              <w:t>$</w:t>
            </w:r>
          </w:p>
        </w:tc>
        <w:tc>
          <w:tcPr>
            <w:tcW w:w="6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860"/>
              <w:spacing w:after="0"/>
              <w:rPr>
                <w:sz w:val="20"/>
                <w:szCs w:val="20"/>
                <w:color w:val="auto"/>
              </w:rPr>
            </w:pPr>
            <w:r>
              <w:rPr>
                <w:rFonts w:ascii="Arial" w:cs="Arial" w:eastAsia="Arial" w:hAnsi="Arial"/>
                <w:sz w:val="16"/>
                <w:szCs w:val="16"/>
                <w:color w:val="auto"/>
              </w:rPr>
              <w:t>$</w:t>
            </w:r>
          </w:p>
        </w:tc>
        <w:tc>
          <w:tcPr>
            <w:tcW w:w="54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06"/>
        </w:trPr>
        <w:tc>
          <w:tcPr>
            <w:tcW w:w="8120" w:type="dxa"/>
            <w:vAlign w:val="bottom"/>
            <w:tcBorders>
              <w:top w:val="single" w:sz="8" w:color="CCEEFF"/>
            </w:tcBorders>
            <w:shd w:val="clear" w:color="auto" w:fill="CCEEFF"/>
          </w:tcPr>
          <w:p>
            <w:pPr>
              <w:spacing w:after="0"/>
              <w:rPr>
                <w:sz w:val="24"/>
                <w:szCs w:val="24"/>
                <w:color w:val="auto"/>
              </w:rPr>
            </w:pPr>
          </w:p>
        </w:tc>
        <w:tc>
          <w:tcPr>
            <w:tcW w:w="1060" w:type="dxa"/>
            <w:vAlign w:val="bottom"/>
            <w:tcBorders>
              <w:top w:val="single" w:sz="8" w:color="auto"/>
            </w:tcBorders>
            <w:shd w:val="clear" w:color="auto" w:fill="CCEEFF"/>
          </w:tcPr>
          <w:p>
            <w:pPr>
              <w:spacing w:after="0"/>
              <w:rPr>
                <w:sz w:val="24"/>
                <w:szCs w:val="24"/>
                <w:color w:val="auto"/>
              </w:rPr>
            </w:pPr>
          </w:p>
        </w:tc>
        <w:tc>
          <w:tcPr>
            <w:tcW w:w="540" w:type="dxa"/>
            <w:vAlign w:val="bottom"/>
            <w:tcBorders>
              <w:top w:val="single" w:sz="8" w:color="auto"/>
            </w:tcBorders>
            <w:shd w:val="clear" w:color="auto" w:fill="CCEEFF"/>
          </w:tcPr>
          <w:p>
            <w:pPr>
              <w:spacing w:after="0"/>
              <w:rPr>
                <w:sz w:val="24"/>
                <w:szCs w:val="24"/>
                <w:color w:val="auto"/>
              </w:rPr>
            </w:pPr>
          </w:p>
        </w:tc>
        <w:tc>
          <w:tcPr>
            <w:tcW w:w="100" w:type="dxa"/>
            <w:vAlign w:val="bottom"/>
            <w:tcBorders>
              <w:top w:val="single" w:sz="8" w:color="CCEEFF"/>
            </w:tcBorders>
            <w:shd w:val="clear" w:color="auto" w:fill="CCEEFF"/>
          </w:tcPr>
          <w:p>
            <w:pPr>
              <w:spacing w:after="0"/>
              <w:rPr>
                <w:sz w:val="24"/>
                <w:szCs w:val="24"/>
                <w:color w:val="auto"/>
              </w:rPr>
            </w:pPr>
          </w:p>
        </w:tc>
        <w:tc>
          <w:tcPr>
            <w:tcW w:w="1060" w:type="dxa"/>
            <w:vAlign w:val="bottom"/>
            <w:tcBorders>
              <w:top w:val="single" w:sz="8" w:color="auto"/>
            </w:tcBorders>
            <w:shd w:val="clear" w:color="auto" w:fill="CCEEFF"/>
          </w:tcPr>
          <w:p>
            <w:pPr>
              <w:spacing w:after="0"/>
              <w:rPr>
                <w:sz w:val="24"/>
                <w:szCs w:val="24"/>
                <w:color w:val="auto"/>
              </w:rPr>
            </w:pPr>
          </w:p>
        </w:tc>
        <w:tc>
          <w:tcPr>
            <w:tcW w:w="540" w:type="dxa"/>
            <w:vAlign w:val="bottom"/>
            <w:tcBorders>
              <w:top w:val="single" w:sz="8" w:color="auto"/>
            </w:tcBorders>
            <w:shd w:val="clear" w:color="auto" w:fill="CCEEFF"/>
          </w:tcPr>
          <w:p>
            <w:pPr>
              <w:spacing w:after="0"/>
              <w:rPr>
                <w:sz w:val="24"/>
                <w:szCs w:val="24"/>
                <w:color w:val="auto"/>
              </w:rPr>
            </w:pPr>
          </w:p>
        </w:tc>
      </w:tr>
      <w:tr>
        <w:trPr>
          <w:trHeight w:val="262"/>
        </w:trPr>
        <w:tc>
          <w:tcPr>
            <w:tcW w:w="8120" w:type="dxa"/>
            <w:vAlign w:val="bottom"/>
          </w:tcPr>
          <w:p>
            <w:pPr>
              <w:ind w:left="180"/>
              <w:spacing w:after="0"/>
              <w:rPr>
                <w:sz w:val="20"/>
                <w:szCs w:val="20"/>
                <w:color w:val="auto"/>
              </w:rPr>
            </w:pPr>
            <w:r>
              <w:rPr>
                <w:rFonts w:ascii="Arial" w:cs="Arial" w:eastAsia="Arial" w:hAnsi="Arial"/>
                <w:sz w:val="16"/>
                <w:szCs w:val="16"/>
                <w:color w:val="auto"/>
              </w:rPr>
              <w:t>Details of business combinations:</w:t>
            </w:r>
          </w:p>
        </w:tc>
        <w:tc>
          <w:tcPr>
            <w:tcW w:w="106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540" w:type="dxa"/>
            <w:vAlign w:val="bottom"/>
          </w:tcPr>
          <w:p>
            <w:pPr>
              <w:spacing w:after="0"/>
              <w:rPr>
                <w:sz w:val="22"/>
                <w:szCs w:val="22"/>
                <w:color w:val="auto"/>
              </w:rPr>
            </w:pPr>
          </w:p>
        </w:tc>
      </w:tr>
      <w:tr>
        <w:trPr>
          <w:trHeight w:val="278"/>
        </w:trPr>
        <w:tc>
          <w:tcPr>
            <w:tcW w:w="8120" w:type="dxa"/>
            <w:vAlign w:val="bottom"/>
            <w:shd w:val="clear" w:color="auto" w:fill="CCEEFF"/>
          </w:tcPr>
          <w:p>
            <w:pPr>
              <w:ind w:left="380"/>
              <w:spacing w:after="0"/>
              <w:rPr>
                <w:sz w:val="20"/>
                <w:szCs w:val="20"/>
                <w:color w:val="auto"/>
              </w:rPr>
            </w:pPr>
            <w:r>
              <w:rPr>
                <w:rFonts w:ascii="Arial" w:cs="Arial" w:eastAsia="Arial" w:hAnsi="Arial"/>
                <w:sz w:val="16"/>
                <w:szCs w:val="16"/>
                <w:color w:val="auto"/>
              </w:rPr>
              <w:t>Fair value of assets acquired</w:t>
            </w:r>
          </w:p>
        </w:tc>
        <w:tc>
          <w:tcPr>
            <w:tcW w:w="1060" w:type="dxa"/>
            <w:vAlign w:val="bottom"/>
            <w:shd w:val="clear" w:color="auto" w:fill="CCEEFF"/>
          </w:tcPr>
          <w:p>
            <w:pPr>
              <w:jc w:val="right"/>
              <w:ind w:right="882"/>
              <w:spacing w:after="0"/>
              <w:rPr>
                <w:sz w:val="20"/>
                <w:szCs w:val="20"/>
                <w:color w:val="auto"/>
              </w:rPr>
            </w:pPr>
            <w:r>
              <w:rPr>
                <w:rFonts w:ascii="Arial" w:cs="Arial" w:eastAsia="Arial" w:hAnsi="Arial"/>
                <w:sz w:val="16"/>
                <w:szCs w:val="16"/>
                <w:color w:val="auto"/>
                <w:w w:val="89"/>
              </w:rPr>
              <w:t>$</w:t>
            </w:r>
          </w:p>
        </w:tc>
        <w:tc>
          <w:tcPr>
            <w:tcW w:w="64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060" w:type="dxa"/>
            <w:vAlign w:val="bottom"/>
            <w:shd w:val="clear" w:color="auto" w:fill="CCEEFF"/>
          </w:tcPr>
          <w:p>
            <w:pPr>
              <w:jc w:val="right"/>
              <w:ind w:right="860"/>
              <w:spacing w:after="0"/>
              <w:rPr>
                <w:sz w:val="20"/>
                <w:szCs w:val="20"/>
                <w:color w:val="auto"/>
              </w:rPr>
            </w:pPr>
            <w:r>
              <w:rPr>
                <w:rFonts w:ascii="Arial" w:cs="Arial" w:eastAsia="Arial" w:hAnsi="Arial"/>
                <w:sz w:val="16"/>
                <w:szCs w:val="16"/>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(186)</w:t>
            </w:r>
          </w:p>
        </w:tc>
      </w:tr>
      <w:tr>
        <w:trPr>
          <w:trHeight w:val="262"/>
        </w:trPr>
        <w:tc>
          <w:tcPr>
            <w:tcW w:w="8120" w:type="dxa"/>
            <w:vAlign w:val="bottom"/>
          </w:tcPr>
          <w:p>
            <w:pPr>
              <w:ind w:left="380"/>
              <w:spacing w:after="0"/>
              <w:rPr>
                <w:sz w:val="20"/>
                <w:szCs w:val="20"/>
                <w:color w:val="auto"/>
              </w:rPr>
            </w:pPr>
            <w:r>
              <w:rPr>
                <w:rFonts w:ascii="Arial" w:cs="Arial" w:eastAsia="Arial" w:hAnsi="Arial"/>
                <w:sz w:val="16"/>
                <w:szCs w:val="16"/>
                <w:color w:val="auto"/>
              </w:rPr>
              <w:t>Fair value of liabilities assumed</w:t>
            </w:r>
          </w:p>
        </w:tc>
        <w:tc>
          <w:tcPr>
            <w:tcW w:w="1060" w:type="dxa"/>
            <w:vAlign w:val="bottom"/>
          </w:tcPr>
          <w:p>
            <w:pPr>
              <w:spacing w:after="0"/>
              <w:rPr>
                <w:sz w:val="22"/>
                <w:szCs w:val="22"/>
                <w:color w:val="auto"/>
              </w:rPr>
            </w:pPr>
          </w:p>
        </w:tc>
        <w:tc>
          <w:tcPr>
            <w:tcW w:w="6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060" w:type="dxa"/>
            <w:vAlign w:val="bottom"/>
          </w:tcPr>
          <w:p>
            <w:pPr>
              <w:spacing w:after="0"/>
              <w:rPr>
                <w:sz w:val="22"/>
                <w:szCs w:val="22"/>
                <w:color w:val="auto"/>
              </w:rPr>
            </w:pPr>
          </w:p>
        </w:tc>
        <w:tc>
          <w:tcPr>
            <w:tcW w:w="540" w:type="dxa"/>
            <w:vAlign w:val="bottom"/>
          </w:tcPr>
          <w:p>
            <w:pPr>
              <w:jc w:val="right"/>
              <w:ind w:right="19"/>
              <w:spacing w:after="0"/>
              <w:rPr>
                <w:sz w:val="20"/>
                <w:szCs w:val="20"/>
                <w:color w:val="auto"/>
              </w:rPr>
            </w:pPr>
            <w:r>
              <w:rPr>
                <w:rFonts w:ascii="Arial" w:cs="Arial" w:eastAsia="Arial" w:hAnsi="Arial"/>
                <w:sz w:val="16"/>
                <w:szCs w:val="16"/>
                <w:color w:val="auto"/>
              </w:rPr>
              <w:t>28</w:t>
            </w:r>
          </w:p>
        </w:tc>
      </w:tr>
      <w:tr>
        <w:trPr>
          <w:trHeight w:val="278"/>
        </w:trPr>
        <w:tc>
          <w:tcPr>
            <w:tcW w:w="8120" w:type="dxa"/>
            <w:vAlign w:val="bottom"/>
            <w:shd w:val="clear" w:color="auto" w:fill="CCEEFF"/>
          </w:tcPr>
          <w:p>
            <w:pPr>
              <w:ind w:left="380"/>
              <w:spacing w:after="0"/>
              <w:rPr>
                <w:sz w:val="20"/>
                <w:szCs w:val="20"/>
                <w:color w:val="auto"/>
              </w:rPr>
            </w:pPr>
            <w:r>
              <w:rPr>
                <w:rFonts w:ascii="Arial" w:cs="Arial" w:eastAsia="Arial" w:hAnsi="Arial"/>
                <w:sz w:val="16"/>
                <w:szCs w:val="16"/>
                <w:color w:val="auto"/>
              </w:rPr>
              <w:t>Purchase price amounts accrued/received</w:t>
            </w:r>
          </w:p>
        </w:tc>
        <w:tc>
          <w:tcPr>
            <w:tcW w:w="1060" w:type="dxa"/>
            <w:vAlign w:val="bottom"/>
            <w:shd w:val="clear" w:color="auto" w:fill="CCEEFF"/>
          </w:tcPr>
          <w:p>
            <w:pPr>
              <w:spacing w:after="0"/>
              <w:rPr>
                <w:sz w:val="24"/>
                <w:szCs w:val="24"/>
                <w:color w:val="auto"/>
              </w:rPr>
            </w:pPr>
          </w:p>
        </w:tc>
        <w:tc>
          <w:tcPr>
            <w:tcW w:w="64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060" w:type="dxa"/>
            <w:vAlign w:val="bottom"/>
            <w:shd w:val="clear" w:color="auto" w:fill="CCEEFF"/>
          </w:tcPr>
          <w:p>
            <w:pPr>
              <w:spacing w:after="0"/>
              <w:rPr>
                <w:sz w:val="24"/>
                <w:szCs w:val="24"/>
                <w:color w:val="auto"/>
              </w:rPr>
            </w:pPr>
          </w:p>
        </w:tc>
        <w:tc>
          <w:tcPr>
            <w:tcW w:w="5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8</w:t>
            </w:r>
          </w:p>
        </w:tc>
      </w:tr>
      <w:tr>
        <w:trPr>
          <w:trHeight w:val="264"/>
        </w:trPr>
        <w:tc>
          <w:tcPr>
            <w:tcW w:w="8120" w:type="dxa"/>
            <w:vAlign w:val="bottom"/>
            <w:tcBorders>
              <w:bottom w:val="single" w:sz="8" w:color="CCEEFF"/>
            </w:tcBorders>
          </w:tcPr>
          <w:p>
            <w:pPr>
              <w:ind w:left="380"/>
              <w:spacing w:after="0"/>
              <w:rPr>
                <w:sz w:val="20"/>
                <w:szCs w:val="20"/>
                <w:color w:val="auto"/>
              </w:rPr>
            </w:pPr>
            <w:r>
              <w:rPr>
                <w:rFonts w:ascii="Arial" w:cs="Arial" w:eastAsia="Arial" w:hAnsi="Arial"/>
                <w:sz w:val="16"/>
                <w:szCs w:val="16"/>
                <w:color w:val="auto"/>
              </w:rPr>
              <w:t>Reversal of amounts advanced to sellers in prior year</w:t>
            </w:r>
          </w:p>
        </w:tc>
        <w:tc>
          <w:tcPr>
            <w:tcW w:w="1060" w:type="dxa"/>
            <w:vAlign w:val="bottom"/>
            <w:tcBorders>
              <w:bottom w:val="single" w:sz="8" w:color="auto"/>
            </w:tcBorders>
          </w:tcPr>
          <w:p>
            <w:pPr>
              <w:spacing w:after="0"/>
              <w:rPr>
                <w:sz w:val="22"/>
                <w:szCs w:val="22"/>
                <w:color w:val="auto"/>
              </w:rPr>
            </w:pPr>
          </w:p>
        </w:tc>
        <w:tc>
          <w:tcPr>
            <w:tcW w:w="5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22"/>
                <w:szCs w:val="22"/>
                <w:color w:val="auto"/>
              </w:rPr>
            </w:pPr>
          </w:p>
        </w:tc>
        <w:tc>
          <w:tcPr>
            <w:tcW w:w="1060" w:type="dxa"/>
            <w:vAlign w:val="bottom"/>
            <w:tcBorders>
              <w:bottom w:val="single" w:sz="8" w:color="auto"/>
            </w:tcBorders>
          </w:tcPr>
          <w:p>
            <w:pPr>
              <w:spacing w:after="0"/>
              <w:rPr>
                <w:sz w:val="22"/>
                <w:szCs w:val="22"/>
                <w:color w:val="auto"/>
              </w:rPr>
            </w:pPr>
          </w:p>
        </w:tc>
        <w:tc>
          <w:tcPr>
            <w:tcW w:w="5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102</w:t>
            </w:r>
          </w:p>
        </w:tc>
      </w:tr>
      <w:tr>
        <w:trPr>
          <w:trHeight w:val="242"/>
        </w:trPr>
        <w:tc>
          <w:tcPr>
            <w:tcW w:w="8120" w:type="dxa"/>
            <w:vAlign w:val="bottom"/>
            <w:shd w:val="clear" w:color="auto" w:fill="CCEEFF"/>
          </w:tcPr>
          <w:p>
            <w:pPr>
              <w:ind w:left="720"/>
              <w:spacing w:after="0"/>
              <w:rPr>
                <w:sz w:val="20"/>
                <w:szCs w:val="20"/>
                <w:color w:val="auto"/>
              </w:rPr>
            </w:pPr>
            <w:r>
              <w:rPr>
                <w:rFonts w:ascii="Arial" w:cs="Arial" w:eastAsia="Arial" w:hAnsi="Arial"/>
                <w:sz w:val="16"/>
                <w:szCs w:val="16"/>
                <w:color w:val="auto"/>
              </w:rPr>
              <w:t>Net cash paid in business combinations</w:t>
            </w:r>
          </w:p>
        </w:tc>
        <w:tc>
          <w:tcPr>
            <w:tcW w:w="1060" w:type="dxa"/>
            <w:vAlign w:val="bottom"/>
            <w:shd w:val="clear" w:color="auto" w:fill="CCEEFF"/>
          </w:tcPr>
          <w:p>
            <w:pPr>
              <w:jc w:val="right"/>
              <w:ind w:right="882"/>
              <w:spacing w:after="0"/>
              <w:rPr>
                <w:sz w:val="20"/>
                <w:szCs w:val="20"/>
                <w:color w:val="auto"/>
              </w:rPr>
            </w:pPr>
            <w:r>
              <w:rPr>
                <w:rFonts w:ascii="Arial" w:cs="Arial" w:eastAsia="Arial" w:hAnsi="Arial"/>
                <w:sz w:val="16"/>
                <w:szCs w:val="16"/>
                <w:color w:val="auto"/>
                <w:w w:val="89"/>
              </w:rPr>
              <w:t>$</w:t>
            </w:r>
          </w:p>
        </w:tc>
        <w:tc>
          <w:tcPr>
            <w:tcW w:w="64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060" w:type="dxa"/>
            <w:vAlign w:val="bottom"/>
            <w:shd w:val="clear" w:color="auto" w:fill="CCEEFF"/>
          </w:tcPr>
          <w:p>
            <w:pPr>
              <w:jc w:val="right"/>
              <w:ind w:right="860"/>
              <w:spacing w:after="0"/>
              <w:rPr>
                <w:sz w:val="20"/>
                <w:szCs w:val="20"/>
                <w:color w:val="auto"/>
              </w:rPr>
            </w:pPr>
            <w:r>
              <w:rPr>
                <w:rFonts w:ascii="Arial" w:cs="Arial" w:eastAsia="Arial" w:hAnsi="Arial"/>
                <w:sz w:val="16"/>
                <w:szCs w:val="16"/>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w:t>
            </w:r>
          </w:p>
        </w:tc>
      </w:tr>
      <w:tr>
        <w:trPr>
          <w:trHeight w:val="20"/>
        </w:trPr>
        <w:tc>
          <w:tcPr>
            <w:tcW w:w="812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r>
    </w:tbl>
    <w:p>
      <w:pPr>
        <w:spacing w:after="0" w:line="1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Molina Healthcare, Inc. 2017 Form 10-Q | 6</w:t>
      </w:r>
    </w:p>
    <w:p>
      <w:pPr>
        <w:sectPr>
          <w:pgSz w:w="11900" w:h="16838" w:orient="portrait"/>
          <w:cols w:equalWidth="0" w:num="1">
            <w:col w:w="11420"/>
          </w:cols>
          <w:pgMar w:left="240" w:top="115" w:right="239" w:bottom="1440" w:gutter="0" w:footer="0" w:header="0"/>
        </w:sectPr>
      </w:pPr>
    </w:p>
    <w:bookmarkStart w:id="6" w:name="page7"/>
    <w:bookmarkEnd w:id="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46" w:lineRule="exact"/>
        <w:rPr>
          <w:sz w:val="20"/>
          <w:szCs w:val="20"/>
          <w:color w:val="auto"/>
        </w:rPr>
      </w:pPr>
    </w:p>
    <w:p>
      <w:pPr>
        <w:ind w:right="2100"/>
        <w:spacing w:after="0" w:line="306" w:lineRule="auto"/>
        <w:rPr>
          <w:sz w:val="20"/>
          <w:szCs w:val="20"/>
          <w:color w:val="auto"/>
        </w:rPr>
      </w:pPr>
      <w:r>
        <w:rPr>
          <w:rFonts w:ascii="Arial" w:cs="Arial" w:eastAsia="Arial" w:hAnsi="Arial"/>
          <w:sz w:val="36"/>
          <w:szCs w:val="36"/>
          <w:b w:val="1"/>
          <w:bCs w:val="1"/>
          <w:color w:val="0F7C7F"/>
        </w:rPr>
        <w:t>NOTES TO CONSOLIDATED FINANCIAL STATEMENTS (UNAUDITED)</w:t>
      </w:r>
    </w:p>
    <w:p>
      <w:pPr>
        <w:spacing w:after="0" w:line="21" w:lineRule="exact"/>
        <w:rPr>
          <w:sz w:val="20"/>
          <w:szCs w:val="20"/>
          <w:color w:val="auto"/>
        </w:rPr>
      </w:pPr>
    </w:p>
    <w:p>
      <w:pPr>
        <w:spacing w:after="0"/>
        <w:rPr>
          <w:sz w:val="20"/>
          <w:szCs w:val="20"/>
          <w:color w:val="auto"/>
        </w:rPr>
      </w:pPr>
      <w:r>
        <w:rPr>
          <w:rFonts w:ascii="Arial" w:cs="Arial" w:eastAsia="Arial" w:hAnsi="Arial"/>
          <w:sz w:val="32"/>
          <w:szCs w:val="32"/>
          <w:b w:val="1"/>
          <w:bCs w:val="1"/>
          <w:color w:val="ACACAC"/>
        </w:rPr>
        <w:t>September 30, 2017</w:t>
      </w:r>
    </w:p>
    <w:p>
      <w:pPr>
        <w:spacing w:after="0" w:line="334" w:lineRule="exact"/>
        <w:rPr>
          <w:sz w:val="20"/>
          <w:szCs w:val="20"/>
          <w:color w:val="auto"/>
        </w:rPr>
      </w:pPr>
    </w:p>
    <w:p>
      <w:pPr>
        <w:spacing w:after="0"/>
        <w:rPr>
          <w:sz w:val="20"/>
          <w:szCs w:val="20"/>
          <w:color w:val="auto"/>
        </w:rPr>
      </w:pPr>
      <w:r>
        <w:rPr>
          <w:rFonts w:ascii="Arial" w:cs="Arial" w:eastAsia="Arial" w:hAnsi="Arial"/>
          <w:sz w:val="32"/>
          <w:szCs w:val="32"/>
          <w:b w:val="1"/>
          <w:bCs w:val="1"/>
          <w:color w:val="ACACAC"/>
        </w:rPr>
        <w:t>1. Basis of Presentation</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Organization and Operations</w:t>
      </w:r>
    </w:p>
    <w:p>
      <w:pPr>
        <w:spacing w:after="0" w:line="117" w:lineRule="exact"/>
        <w:rPr>
          <w:sz w:val="20"/>
          <w:szCs w:val="20"/>
          <w:color w:val="auto"/>
        </w:rPr>
      </w:pPr>
    </w:p>
    <w:p>
      <w:pPr>
        <w:ind w:right="360"/>
        <w:spacing w:after="0" w:line="264" w:lineRule="auto"/>
        <w:rPr>
          <w:sz w:val="20"/>
          <w:szCs w:val="20"/>
          <w:color w:val="auto"/>
        </w:rPr>
      </w:pPr>
      <w:r>
        <w:rPr>
          <w:rFonts w:ascii="Arial" w:cs="Arial" w:eastAsia="Arial" w:hAnsi="Arial"/>
          <w:sz w:val="18"/>
          <w:szCs w:val="18"/>
          <w:color w:val="auto"/>
        </w:rPr>
        <w:t>Molina Healthcare, Inc. provides quality managed health care to people receiving government assistance. We offer cost-effective Medicaid-related solutions to meet the health care needs of low-income families and individuals, and to assist government agencies in their administration of the Medicaid program. We have three reportable segments. These segments consist of our Health Plans segment, which constitutes the vast majority of our operations; our Molina Medicaid Solutions segment; and our Other segment.</w:t>
      </w:r>
    </w:p>
    <w:p>
      <w:pPr>
        <w:spacing w:after="0" w:line="62" w:lineRule="exact"/>
        <w:rPr>
          <w:sz w:val="20"/>
          <w:szCs w:val="20"/>
          <w:color w:val="auto"/>
        </w:rPr>
      </w:pPr>
    </w:p>
    <w:p>
      <w:pPr>
        <w:ind w:right="60"/>
        <w:spacing w:after="0" w:line="260" w:lineRule="auto"/>
        <w:rPr>
          <w:sz w:val="20"/>
          <w:szCs w:val="20"/>
          <w:color w:val="auto"/>
        </w:rPr>
      </w:pPr>
      <w:r>
        <w:rPr>
          <w:rFonts w:ascii="Arial" w:cs="Arial" w:eastAsia="Arial" w:hAnsi="Arial"/>
          <w:sz w:val="18"/>
          <w:szCs w:val="18"/>
          <w:color w:val="auto"/>
        </w:rPr>
        <w:t>The Health Plans segment consists of health plans operating in 12 states and the Commonwealth of Puerto Rico. As of September 30, 2017, these health plans served approximately 4.5 million members eligible for Medicaid, Medicare, and other government-sponsored health care programs for low-income families and individuals. This membership includes Affordable Care Act Marketplace (Marketplace) members, most of whom receive government premium subsidies. The health plans are operated by our respective wholly owned subsidiaries in those states, each of which is licensed as a health maintenance organization (HMO).</w:t>
      </w:r>
    </w:p>
    <w:p>
      <w:pPr>
        <w:spacing w:after="0" w:line="67" w:lineRule="exact"/>
        <w:rPr>
          <w:sz w:val="20"/>
          <w:szCs w:val="20"/>
          <w:color w:val="auto"/>
        </w:rPr>
      </w:pPr>
    </w:p>
    <w:p>
      <w:pPr>
        <w:ind w:right="200"/>
        <w:spacing w:after="0" w:line="260" w:lineRule="auto"/>
        <w:rPr>
          <w:sz w:val="20"/>
          <w:szCs w:val="20"/>
          <w:color w:val="auto"/>
        </w:rPr>
      </w:pPr>
      <w:r>
        <w:rPr>
          <w:rFonts w:ascii="Arial" w:cs="Arial" w:eastAsia="Arial" w:hAnsi="Arial"/>
          <w:sz w:val="18"/>
          <w:szCs w:val="18"/>
          <w:color w:val="auto"/>
        </w:rPr>
        <w:t>Our health plans’ state Medicaid contracts generally have terms of three to four years. These contracts typically contain renewal options exercisable by the state Medicaid agency, and allow either the state or the health plan to terminate the contract with or without cause. Our health plan subsidiaries have generally been successful in retaining their contracts, but such contracts are subject to risk of loss when a state issues a new request for proposal (RFP) open to competitive bidding by other health plans. If one of our health plans is not a successful responsive bidder to a state RFP, its contract may be subject to non-renewal.</w:t>
      </w:r>
    </w:p>
    <w:p>
      <w:pPr>
        <w:spacing w:after="0" w:line="67" w:lineRule="exact"/>
        <w:rPr>
          <w:sz w:val="20"/>
          <w:szCs w:val="20"/>
          <w:color w:val="auto"/>
        </w:rPr>
      </w:pPr>
    </w:p>
    <w:p>
      <w:pPr>
        <w:jc w:val="both"/>
        <w:ind w:right="20"/>
        <w:spacing w:after="0" w:line="271" w:lineRule="auto"/>
        <w:rPr>
          <w:sz w:val="20"/>
          <w:szCs w:val="20"/>
          <w:color w:val="auto"/>
        </w:rPr>
      </w:pPr>
      <w:r>
        <w:rPr>
          <w:rFonts w:ascii="Arial" w:cs="Arial" w:eastAsia="Arial" w:hAnsi="Arial"/>
          <w:sz w:val="18"/>
          <w:szCs w:val="18"/>
          <w:color w:val="auto"/>
        </w:rPr>
        <w:t>In addition to contract renewal, our state Medicaid contracts may be periodically amended to include or exclude certain health benefits (such as pharmacy services, behavioral health services, or long-term care services); populations such as the aged, blind or disabled (ABD); and regions or service areas.</w:t>
      </w:r>
    </w:p>
    <w:p>
      <w:pPr>
        <w:spacing w:after="0" w:line="55" w:lineRule="exact"/>
        <w:rPr>
          <w:sz w:val="20"/>
          <w:szCs w:val="20"/>
          <w:color w:val="auto"/>
        </w:rPr>
      </w:pPr>
    </w:p>
    <w:p>
      <w:pPr>
        <w:ind w:right="540"/>
        <w:spacing w:after="0" w:line="292" w:lineRule="auto"/>
        <w:rPr>
          <w:sz w:val="20"/>
          <w:szCs w:val="20"/>
          <w:color w:val="auto"/>
        </w:rPr>
      </w:pPr>
      <w:r>
        <w:rPr>
          <w:rFonts w:ascii="Arial" w:cs="Arial" w:eastAsia="Arial" w:hAnsi="Arial"/>
          <w:sz w:val="18"/>
          <w:szCs w:val="18"/>
          <w:color w:val="auto"/>
        </w:rPr>
        <w:t>The Molina Medicaid Solutions segment provides support to state government agencies in the administration of their Medicaid programs, including business processing, information technology development and administrative services.</w:t>
      </w:r>
    </w:p>
    <w:p>
      <w:pPr>
        <w:spacing w:after="0" w:line="37" w:lineRule="exact"/>
        <w:rPr>
          <w:sz w:val="20"/>
          <w:szCs w:val="20"/>
          <w:color w:val="auto"/>
        </w:rPr>
      </w:pPr>
    </w:p>
    <w:p>
      <w:pPr>
        <w:ind w:right="380"/>
        <w:spacing w:after="0" w:line="292" w:lineRule="auto"/>
        <w:rPr>
          <w:sz w:val="20"/>
          <w:szCs w:val="20"/>
          <w:color w:val="auto"/>
        </w:rPr>
      </w:pPr>
      <w:r>
        <w:rPr>
          <w:rFonts w:ascii="Arial" w:cs="Arial" w:eastAsia="Arial" w:hAnsi="Arial"/>
          <w:sz w:val="18"/>
          <w:szCs w:val="18"/>
          <w:color w:val="auto"/>
        </w:rPr>
        <w:t>The Other segment includes primarily our Pathways behavioral health and social services provider, and corporate amounts not allocated to other reportable segments.</w:t>
      </w:r>
    </w:p>
    <w:p>
      <w:pPr>
        <w:spacing w:after="0" w:line="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Developments — Health Plans Segment</w:t>
      </w:r>
    </w:p>
    <w:p>
      <w:pPr>
        <w:spacing w:after="0" w:line="117"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i w:val="1"/>
          <w:iCs w:val="1"/>
          <w:color w:val="auto"/>
        </w:rPr>
        <w:t xml:space="preserve">Illinois Health Plan. </w:t>
      </w:r>
      <w:r>
        <w:rPr>
          <w:rFonts w:ascii="Arial" w:cs="Arial" w:eastAsia="Arial" w:hAnsi="Arial"/>
          <w:sz w:val="18"/>
          <w:szCs w:val="18"/>
          <w:color w:val="auto"/>
        </w:rPr>
        <w:t>In August 2017, Molina Healthcare of Illinois, Inc. was awarded a statewide Medicaid managed care contract by the Illinois</w:t>
      </w:r>
      <w:r>
        <w:rPr>
          <w:rFonts w:ascii="Arial" w:cs="Arial" w:eastAsia="Arial" w:hAnsi="Arial"/>
          <w:sz w:val="18"/>
          <w:szCs w:val="18"/>
          <w:i w:val="1"/>
          <w:iCs w:val="1"/>
          <w:color w:val="auto"/>
        </w:rPr>
        <w:t xml:space="preserve"> </w:t>
      </w:r>
      <w:r>
        <w:rPr>
          <w:rFonts w:ascii="Arial" w:cs="Arial" w:eastAsia="Arial" w:hAnsi="Arial"/>
          <w:sz w:val="18"/>
          <w:szCs w:val="18"/>
          <w:color w:val="auto"/>
        </w:rPr>
        <w:t>Department of Healthcare and Family Services. This Medicaid contract further integrates behavioral health and physical health by combining the State’s three current managed care programs into one program. The contract begins January 1, 2018, for four years with options to renew annually for up to four additional years.</w:t>
      </w:r>
    </w:p>
    <w:p>
      <w:pPr>
        <w:spacing w:after="0" w:line="62" w:lineRule="exact"/>
        <w:rPr>
          <w:sz w:val="20"/>
          <w:szCs w:val="20"/>
          <w:color w:val="auto"/>
        </w:rPr>
      </w:pPr>
    </w:p>
    <w:p>
      <w:pPr>
        <w:ind w:right="300"/>
        <w:spacing w:after="0" w:line="264" w:lineRule="auto"/>
        <w:rPr>
          <w:sz w:val="20"/>
          <w:szCs w:val="20"/>
          <w:color w:val="auto"/>
        </w:rPr>
      </w:pPr>
      <w:r>
        <w:rPr>
          <w:rFonts w:ascii="Arial" w:cs="Arial" w:eastAsia="Arial" w:hAnsi="Arial"/>
          <w:sz w:val="18"/>
          <w:szCs w:val="18"/>
          <w:i w:val="1"/>
          <w:iCs w:val="1"/>
          <w:color w:val="auto"/>
        </w:rPr>
        <w:t xml:space="preserve">Mississippi Health Plan. </w:t>
      </w:r>
      <w:r>
        <w:rPr>
          <w:rFonts w:ascii="Arial" w:cs="Arial" w:eastAsia="Arial" w:hAnsi="Arial"/>
          <w:sz w:val="18"/>
          <w:szCs w:val="18"/>
          <w:color w:val="auto"/>
        </w:rPr>
        <w:t>In June 2017, Molina Healthcare of Mississippi, Inc. was awarded a Medicaid Coordinated Care Contract for the</w:t>
      </w:r>
      <w:r>
        <w:rPr>
          <w:rFonts w:ascii="Arial" w:cs="Arial" w:eastAsia="Arial" w:hAnsi="Arial"/>
          <w:sz w:val="18"/>
          <w:szCs w:val="18"/>
          <w:i w:val="1"/>
          <w:iCs w:val="1"/>
          <w:color w:val="auto"/>
        </w:rPr>
        <w:t xml:space="preserve"> </w:t>
      </w:r>
      <w:r>
        <w:rPr>
          <w:rFonts w:ascii="Arial" w:cs="Arial" w:eastAsia="Arial" w:hAnsi="Arial"/>
          <w:sz w:val="18"/>
          <w:szCs w:val="18"/>
          <w:color w:val="auto"/>
        </w:rPr>
        <w:t>statewide administration of the Mississippi Coordinated Access Network (MississippiCAN). The operational start date for the program is currently scheduled for October 1, 2018, pending the completion of a readiness review. The initial term of the contract is through June 2020, with options to renew annually for up to two additional years.</w:t>
      </w:r>
    </w:p>
    <w:p>
      <w:pPr>
        <w:spacing w:after="0" w:line="62" w:lineRule="exact"/>
        <w:rPr>
          <w:sz w:val="20"/>
          <w:szCs w:val="20"/>
          <w:color w:val="auto"/>
        </w:rPr>
      </w:pPr>
    </w:p>
    <w:p>
      <w:pPr>
        <w:jc w:val="both"/>
        <w:ind w:right="200"/>
        <w:spacing w:after="0" w:line="271" w:lineRule="auto"/>
        <w:rPr>
          <w:sz w:val="20"/>
          <w:szCs w:val="20"/>
          <w:color w:val="auto"/>
        </w:rPr>
      </w:pPr>
      <w:r>
        <w:rPr>
          <w:rFonts w:ascii="Arial" w:cs="Arial" w:eastAsia="Arial" w:hAnsi="Arial"/>
          <w:sz w:val="18"/>
          <w:szCs w:val="18"/>
          <w:i w:val="1"/>
          <w:iCs w:val="1"/>
          <w:color w:val="auto"/>
        </w:rPr>
        <w:t xml:space="preserve">Washington Health Plan. </w:t>
      </w:r>
      <w:r>
        <w:rPr>
          <w:rFonts w:ascii="Arial" w:cs="Arial" w:eastAsia="Arial" w:hAnsi="Arial"/>
          <w:sz w:val="18"/>
          <w:szCs w:val="18"/>
          <w:color w:val="auto"/>
        </w:rPr>
        <w:t>In May 2017, Molina Healthcare of Washington, Inc. was selected by the Washington State Health Care Authority to</w:t>
      </w:r>
      <w:r>
        <w:rPr>
          <w:rFonts w:ascii="Arial" w:cs="Arial" w:eastAsia="Arial" w:hAnsi="Arial"/>
          <w:sz w:val="18"/>
          <w:szCs w:val="18"/>
          <w:i w:val="1"/>
          <w:iCs w:val="1"/>
          <w:color w:val="auto"/>
        </w:rPr>
        <w:t xml:space="preserve"> </w:t>
      </w:r>
      <w:r>
        <w:rPr>
          <w:rFonts w:ascii="Arial" w:cs="Arial" w:eastAsia="Arial" w:hAnsi="Arial"/>
          <w:sz w:val="18"/>
          <w:szCs w:val="18"/>
          <w:color w:val="auto"/>
        </w:rPr>
        <w:t>negotiate and enter into managed care contracts for the North Central region of the state’s Apple Health Integrated Managed Care Program. The start date for the new contract is scheduled for January 1, 2018.</w:t>
      </w:r>
    </w:p>
    <w:p>
      <w:pPr>
        <w:spacing w:after="0" w:line="55" w:lineRule="exact"/>
        <w:rPr>
          <w:sz w:val="20"/>
          <w:szCs w:val="20"/>
          <w:color w:val="auto"/>
        </w:rPr>
      </w:pPr>
    </w:p>
    <w:p>
      <w:pPr>
        <w:ind w:right="440"/>
        <w:spacing w:after="0" w:line="292" w:lineRule="auto"/>
        <w:rPr>
          <w:sz w:val="20"/>
          <w:szCs w:val="20"/>
          <w:color w:val="auto"/>
        </w:rPr>
      </w:pPr>
      <w:r>
        <w:rPr>
          <w:rFonts w:ascii="Arial" w:cs="Arial" w:eastAsia="Arial" w:hAnsi="Arial"/>
          <w:sz w:val="18"/>
          <w:szCs w:val="18"/>
          <w:i w:val="1"/>
          <w:iCs w:val="1"/>
          <w:color w:val="auto"/>
        </w:rPr>
        <w:t xml:space="preserve">Terminated Medicare Acquisition. </w:t>
      </w:r>
      <w:r>
        <w:rPr>
          <w:rFonts w:ascii="Arial" w:cs="Arial" w:eastAsia="Arial" w:hAnsi="Arial"/>
          <w:sz w:val="18"/>
          <w:szCs w:val="18"/>
          <w:color w:val="auto"/>
        </w:rPr>
        <w:t>In August 2016, we entered into agreements with each of Aetna Inc. and Humana Inc. to acquire certain</w:t>
      </w:r>
      <w:r>
        <w:rPr>
          <w:rFonts w:ascii="Arial" w:cs="Arial" w:eastAsia="Arial" w:hAnsi="Arial"/>
          <w:sz w:val="18"/>
          <w:szCs w:val="18"/>
          <w:i w:val="1"/>
          <w:iCs w:val="1"/>
          <w:color w:val="auto"/>
        </w:rPr>
        <w:t xml:space="preserve"> </w:t>
      </w:r>
      <w:r>
        <w:rPr>
          <w:rFonts w:ascii="Arial" w:cs="Arial" w:eastAsia="Arial" w:hAnsi="Arial"/>
          <w:sz w:val="18"/>
          <w:szCs w:val="18"/>
          <w:color w:val="auto"/>
        </w:rPr>
        <w:t>assets related to their Medicare Advantage business. The transaction was subject to closing</w:t>
      </w:r>
    </w:p>
    <w:p>
      <w:pPr>
        <w:spacing w:after="0" w:line="17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Molina Healthcare, Inc. 2017 Form 10-Q | 7</w:t>
      </w:r>
    </w:p>
    <w:p>
      <w:pPr>
        <w:sectPr>
          <w:pgSz w:w="11900" w:h="16838" w:orient="portrait"/>
          <w:cols w:equalWidth="0" w:num="1">
            <w:col w:w="11420"/>
          </w:cols>
          <w:pgMar w:left="240" w:top="115" w:right="239" w:bottom="1440" w:gutter="0" w:footer="0" w:header="0"/>
        </w:sectPr>
      </w:pPr>
    </w:p>
    <w:bookmarkStart w:id="7" w:name="page8"/>
    <w:bookmarkEnd w:id="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61" w:lineRule="exact"/>
        <w:rPr>
          <w:sz w:val="20"/>
          <w:szCs w:val="20"/>
          <w:color w:val="auto"/>
        </w:rPr>
      </w:pPr>
    </w:p>
    <w:p>
      <w:pPr>
        <w:ind w:right="240"/>
        <w:spacing w:after="0" w:line="258" w:lineRule="auto"/>
        <w:rPr>
          <w:sz w:val="20"/>
          <w:szCs w:val="20"/>
          <w:color w:val="auto"/>
        </w:rPr>
      </w:pPr>
      <w:r>
        <w:rPr>
          <w:rFonts w:ascii="Arial" w:cs="Arial" w:eastAsia="Arial" w:hAnsi="Arial"/>
          <w:sz w:val="18"/>
          <w:szCs w:val="18"/>
          <w:color w:val="auto"/>
        </w:rPr>
        <w:t>conditions including the completion of the proposed acquisition of Humana by Aetna (the Aetna-Humana Merger). In January 2017, the U.S. District Court for the District of Columbia granted the request for relief made by the U.S. Department of Justice in its civil antitrust lawsuit against Aetna and Humana, to prohibit the Aetna-Humana Merger. In February 2017, our agreements with each of Aetna and Humana were terminated by the parties pursuant to the terms of the agreements. Under the termination agreements, we received an aggregate termination fee of $75 million from Aetna and Humana in the first quarter of 2017, which is reported in “Other income, net” in the accompanying consolidated statements of operations.</w:t>
      </w:r>
    </w:p>
    <w:p>
      <w:pPr>
        <w:spacing w:after="0" w:line="69" w:lineRule="exact"/>
        <w:rPr>
          <w:sz w:val="20"/>
          <w:szCs w:val="20"/>
          <w:color w:val="auto"/>
        </w:rPr>
      </w:pPr>
    </w:p>
    <w:p>
      <w:pPr>
        <w:ind w:right="60"/>
        <w:spacing w:after="0" w:line="271" w:lineRule="auto"/>
        <w:rPr>
          <w:sz w:val="20"/>
          <w:szCs w:val="20"/>
          <w:color w:val="auto"/>
        </w:rPr>
      </w:pPr>
      <w:r>
        <w:rPr>
          <w:rFonts w:ascii="Arial" w:cs="Arial" w:eastAsia="Arial" w:hAnsi="Arial"/>
          <w:sz w:val="18"/>
          <w:szCs w:val="18"/>
          <w:i w:val="1"/>
          <w:iCs w:val="1"/>
          <w:color w:val="auto"/>
        </w:rPr>
        <w:t xml:space="preserve">New York Health Plan. </w:t>
      </w:r>
      <w:r>
        <w:rPr>
          <w:rFonts w:ascii="Arial" w:cs="Arial" w:eastAsia="Arial" w:hAnsi="Arial"/>
          <w:sz w:val="18"/>
          <w:szCs w:val="18"/>
          <w:color w:val="auto"/>
        </w:rPr>
        <w:t>In August 2016, we closed on our acquisition of the outstanding equity interests of Today’s Options of New York, Inc.,</w:t>
      </w:r>
      <w:r>
        <w:rPr>
          <w:rFonts w:ascii="Arial" w:cs="Arial" w:eastAsia="Arial" w:hAnsi="Arial"/>
          <w:sz w:val="18"/>
          <w:szCs w:val="18"/>
          <w:i w:val="1"/>
          <w:iCs w:val="1"/>
          <w:color w:val="auto"/>
        </w:rPr>
        <w:t xml:space="preserve"> </w:t>
      </w:r>
      <w:r>
        <w:rPr>
          <w:rFonts w:ascii="Arial" w:cs="Arial" w:eastAsia="Arial" w:hAnsi="Arial"/>
          <w:sz w:val="18"/>
          <w:szCs w:val="18"/>
          <w:color w:val="auto"/>
        </w:rPr>
        <w:t>which now operates as Molina Healthcare of New York, Inc. The purchase price allocation was completed, and the final purchase price adjustments were recorded, in the first quarter of 2017. Such adjustments were insignificant, and the final cash purchase price was $38 million.</w:t>
      </w:r>
    </w:p>
    <w:p>
      <w:pPr>
        <w:spacing w:after="0" w:line="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Impairment Losses</w:t>
      </w:r>
    </w:p>
    <w:p>
      <w:pPr>
        <w:spacing w:after="0" w:line="117" w:lineRule="exact"/>
        <w:rPr>
          <w:sz w:val="20"/>
          <w:szCs w:val="20"/>
          <w:color w:val="auto"/>
        </w:rPr>
      </w:pPr>
    </w:p>
    <w:p>
      <w:pPr>
        <w:ind w:right="60"/>
        <w:spacing w:after="0" w:line="292" w:lineRule="auto"/>
        <w:rPr>
          <w:sz w:val="20"/>
          <w:szCs w:val="20"/>
          <w:color w:val="auto"/>
        </w:rPr>
      </w:pPr>
      <w:r>
        <w:rPr>
          <w:rFonts w:ascii="Arial" w:cs="Arial" w:eastAsia="Arial" w:hAnsi="Arial"/>
          <w:sz w:val="18"/>
          <w:szCs w:val="18"/>
          <w:i w:val="1"/>
          <w:iCs w:val="1"/>
          <w:color w:val="auto"/>
        </w:rPr>
        <w:t xml:space="preserve">Molina Medicaid Solutions segment. </w:t>
      </w:r>
      <w:r>
        <w:rPr>
          <w:rFonts w:ascii="Arial" w:cs="Arial" w:eastAsia="Arial" w:hAnsi="Arial"/>
          <w:sz w:val="18"/>
          <w:szCs w:val="18"/>
          <w:color w:val="auto"/>
        </w:rPr>
        <w:t>In the third quarter of 2017, we recorded a non-cash goodwill impairment loss of $28 million. See Note 10,</w:t>
      </w:r>
      <w:r>
        <w:rPr>
          <w:rFonts w:ascii="Arial" w:cs="Arial" w:eastAsia="Arial" w:hAnsi="Arial"/>
          <w:sz w:val="18"/>
          <w:szCs w:val="18"/>
          <w:i w:val="1"/>
          <w:iCs w:val="1"/>
          <w:color w:val="auto"/>
        </w:rPr>
        <w:t xml:space="preserve"> </w:t>
      </w:r>
      <w:r>
        <w:rPr>
          <w:rFonts w:ascii="Arial" w:cs="Arial" w:eastAsia="Arial" w:hAnsi="Arial"/>
          <w:sz w:val="18"/>
          <w:szCs w:val="18"/>
          <w:color w:val="auto"/>
        </w:rPr>
        <w:t>“Impairment Losses.”</w:t>
      </w:r>
    </w:p>
    <w:p>
      <w:pPr>
        <w:spacing w:after="0" w:line="37" w:lineRule="exact"/>
        <w:rPr>
          <w:sz w:val="20"/>
          <w:szCs w:val="20"/>
          <w:color w:val="auto"/>
        </w:rPr>
      </w:pPr>
    </w:p>
    <w:p>
      <w:pPr>
        <w:ind w:right="140"/>
        <w:spacing w:after="0" w:line="271" w:lineRule="auto"/>
        <w:rPr>
          <w:sz w:val="20"/>
          <w:szCs w:val="20"/>
          <w:color w:val="auto"/>
        </w:rPr>
      </w:pPr>
      <w:r>
        <w:rPr>
          <w:rFonts w:ascii="Arial" w:cs="Arial" w:eastAsia="Arial" w:hAnsi="Arial"/>
          <w:sz w:val="18"/>
          <w:szCs w:val="18"/>
          <w:i w:val="1"/>
          <w:iCs w:val="1"/>
          <w:color w:val="auto"/>
        </w:rPr>
        <w:t xml:space="preserve">Other segment. </w:t>
      </w:r>
      <w:r>
        <w:rPr>
          <w:rFonts w:ascii="Arial" w:cs="Arial" w:eastAsia="Arial" w:hAnsi="Arial"/>
          <w:sz w:val="18"/>
          <w:szCs w:val="18"/>
          <w:color w:val="auto"/>
        </w:rPr>
        <w:t>In the third quarter of 2017, we recorded a non-cash goodwill impairment loss of $101 million for our Pathways subsidiary. In</w:t>
      </w:r>
      <w:r>
        <w:rPr>
          <w:rFonts w:ascii="Arial" w:cs="Arial" w:eastAsia="Arial" w:hAnsi="Arial"/>
          <w:sz w:val="18"/>
          <w:szCs w:val="18"/>
          <w:i w:val="1"/>
          <w:iCs w:val="1"/>
          <w:color w:val="auto"/>
        </w:rPr>
        <w:t xml:space="preserve"> </w:t>
      </w:r>
      <w:r>
        <w:rPr>
          <w:rFonts w:ascii="Arial" w:cs="Arial" w:eastAsia="Arial" w:hAnsi="Arial"/>
          <w:sz w:val="18"/>
          <w:szCs w:val="18"/>
          <w:color w:val="auto"/>
        </w:rPr>
        <w:t>the second quarter of 2017, we recorded non-cash goodwill and intangible assets impairment losses of $72 million, primarily for our Pathways subsidiary. See Note 10, “Impairment Losses.”</w:t>
      </w:r>
    </w:p>
    <w:p>
      <w:pPr>
        <w:spacing w:after="0" w:line="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Consolidation and Interim Financial Information</w:t>
      </w:r>
    </w:p>
    <w:p>
      <w:pPr>
        <w:spacing w:after="0" w:line="117" w:lineRule="exact"/>
        <w:rPr>
          <w:sz w:val="20"/>
          <w:szCs w:val="20"/>
          <w:color w:val="auto"/>
        </w:rPr>
      </w:pPr>
    </w:p>
    <w:p>
      <w:pPr>
        <w:ind w:right="100"/>
        <w:spacing w:after="0" w:line="258" w:lineRule="auto"/>
        <w:rPr>
          <w:sz w:val="20"/>
          <w:szCs w:val="20"/>
          <w:color w:val="auto"/>
        </w:rPr>
      </w:pPr>
      <w:r>
        <w:rPr>
          <w:rFonts w:ascii="Arial" w:cs="Arial" w:eastAsia="Arial" w:hAnsi="Arial"/>
          <w:sz w:val="18"/>
          <w:szCs w:val="18"/>
          <w:color w:val="auto"/>
        </w:rPr>
        <w:t>The consolidated financial statements include the accounts of Molina Healthcare, Inc., its subsidiaries, and variable interest entities (VIEs) in which Molina Healthcare, Inc. is considered to be the primary beneficiary. Such VIEs are insignificant to our consolidated financial position and results of operations. In the opinion of management, all adjustments considered necessary for a fair presentation of the results as of the date and for the interim periods presented have been included; such adjustments consist of normal recurring adjustments. All significant intercompany balances and transactions have been eliminated. The consolidated results of operations for the current interim period are not necessarily indicative of the results for the entire year ending December 31, 2017.</w:t>
      </w:r>
    </w:p>
    <w:p>
      <w:pPr>
        <w:spacing w:after="0" w:line="69" w:lineRule="exact"/>
        <w:rPr>
          <w:sz w:val="20"/>
          <w:szCs w:val="20"/>
          <w:color w:val="auto"/>
        </w:rPr>
      </w:pPr>
    </w:p>
    <w:p>
      <w:pPr>
        <w:ind w:right="40"/>
        <w:spacing w:after="0" w:line="260" w:lineRule="auto"/>
        <w:rPr>
          <w:sz w:val="20"/>
          <w:szCs w:val="20"/>
          <w:color w:val="auto"/>
        </w:rPr>
      </w:pPr>
      <w:r>
        <w:rPr>
          <w:rFonts w:ascii="Arial" w:cs="Arial" w:eastAsia="Arial" w:hAnsi="Arial"/>
          <w:sz w:val="18"/>
          <w:szCs w:val="18"/>
          <w:color w:val="auto"/>
        </w:rPr>
        <w:t>The unaudited consolidated interim financial statements have been prepared under the assumption that users of the interim financial data have either read or have access to our audited consolidated financial statements for the fiscal year ended December 31, 2016. Accordingly, certain disclosures that would substantially duplicate the disclosures contained in the December 31, 2016 audited consolidated financial statements have been omitted. These unaudited consolidated interim financial statements should be read in conjunction with our December 31, 2016 audited consolidated financial statements.</w:t>
      </w:r>
    </w:p>
    <w:p>
      <w:pPr>
        <w:spacing w:after="0" w:line="372" w:lineRule="exact"/>
        <w:rPr>
          <w:sz w:val="20"/>
          <w:szCs w:val="20"/>
          <w:color w:val="auto"/>
        </w:rPr>
      </w:pPr>
    </w:p>
    <w:p>
      <w:pPr>
        <w:spacing w:after="0"/>
        <w:rPr>
          <w:sz w:val="20"/>
          <w:szCs w:val="20"/>
          <w:color w:val="auto"/>
        </w:rPr>
      </w:pPr>
      <w:r>
        <w:rPr>
          <w:rFonts w:ascii="Arial" w:cs="Arial" w:eastAsia="Arial" w:hAnsi="Arial"/>
          <w:sz w:val="32"/>
          <w:szCs w:val="32"/>
          <w:b w:val="1"/>
          <w:bCs w:val="1"/>
          <w:color w:val="ACACAC"/>
        </w:rPr>
        <w:t>2. Significant Accounting Policies</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color w:val="auto"/>
        </w:rPr>
        <w:t>Certain of our significant accounting policies are discussed within the note to which they specifically relate.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 – Health Plans Segment</w:t>
      </w:r>
    </w:p>
    <w:p>
      <w:pPr>
        <w:spacing w:after="0" w:line="225"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Premium revenue is fixed in advance of the periods covered and, except as described below, is not generally subject to significant accounting estimates. Premium revenues are recognized in the month that members are entitled to receive health care services, and premiums collected in advance are deferred. Certain components of premium revenue are subject to accounting estimates and fall into two broad categories discussed in further detail below: 1) “Contractual Provisions That May Adjust or Limit Revenue or Profit;” and 2) “Quality Incentives.”</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Provisions That May Adjust or Limit Revenue or Profit</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Medicaid</w:t>
      </w:r>
    </w:p>
    <w:p>
      <w:pPr>
        <w:spacing w:after="0" w:line="225" w:lineRule="exact"/>
        <w:rPr>
          <w:sz w:val="20"/>
          <w:szCs w:val="20"/>
          <w:color w:val="auto"/>
        </w:rPr>
      </w:pPr>
    </w:p>
    <w:p>
      <w:pPr>
        <w:ind w:right="140"/>
        <w:spacing w:after="0" w:line="260" w:lineRule="auto"/>
        <w:rPr>
          <w:sz w:val="20"/>
          <w:szCs w:val="20"/>
          <w:color w:val="auto"/>
        </w:rPr>
      </w:pPr>
      <w:r>
        <w:rPr>
          <w:rFonts w:ascii="Arial" w:cs="Arial" w:eastAsia="Arial" w:hAnsi="Arial"/>
          <w:sz w:val="18"/>
          <w:szCs w:val="18"/>
          <w:i w:val="1"/>
          <w:iCs w:val="1"/>
          <w:color w:val="auto"/>
        </w:rPr>
        <w:t xml:space="preserve">Medical Cost Floors (Minimums), and Medical Cost Corridors: </w:t>
      </w:r>
      <w:r>
        <w:rPr>
          <w:rFonts w:ascii="Arial" w:cs="Arial" w:eastAsia="Arial" w:hAnsi="Arial"/>
          <w:sz w:val="18"/>
          <w:szCs w:val="18"/>
          <w:color w:val="auto"/>
        </w:rPr>
        <w:t>A portion of our premium revenue may be returned if certain minimum amounts</w:t>
      </w:r>
      <w:r>
        <w:rPr>
          <w:rFonts w:ascii="Arial" w:cs="Arial" w:eastAsia="Arial" w:hAnsi="Arial"/>
          <w:sz w:val="18"/>
          <w:szCs w:val="18"/>
          <w:i w:val="1"/>
          <w:iCs w:val="1"/>
          <w:color w:val="auto"/>
        </w:rPr>
        <w:t xml:space="preserve"> </w:t>
      </w:r>
      <w:r>
        <w:rPr>
          <w:rFonts w:ascii="Arial" w:cs="Arial" w:eastAsia="Arial" w:hAnsi="Arial"/>
          <w:sz w:val="18"/>
          <w:szCs w:val="18"/>
          <w:color w:val="auto"/>
        </w:rPr>
        <w:t>are not spent on defined medical care costs. In the aggregate, we recorded a liability under the terms of such contract provisions of $119 million and $272 million at September 30, 2017 and December 31, 2016, respectively, to “Amounts due government agencies.” Approximately $82 million and $244 million of the liability accrued at September 30, 2017 and December 31, 2016, respectively, relates to our participation in Medicaid Expansion programs.</w:t>
      </w:r>
    </w:p>
    <w:p>
      <w:pPr>
        <w:spacing w:after="0" w:line="31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Molina Healthcare, Inc. 2017 Form 10-Q | 8</w:t>
      </w:r>
    </w:p>
    <w:p>
      <w:pPr>
        <w:sectPr>
          <w:pgSz w:w="11900" w:h="16838" w:orient="portrait"/>
          <w:cols w:equalWidth="0" w:num="1">
            <w:col w:w="11420"/>
          </w:cols>
          <w:pgMar w:left="240" w:top="115" w:right="239" w:bottom="1440" w:gutter="0" w:footer="0" w:header="0"/>
        </w:sectPr>
      </w:pPr>
    </w:p>
    <w:bookmarkStart w:id="8" w:name="page9"/>
    <w:bookmarkEnd w:id="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61" w:lineRule="exact"/>
        <w:rPr>
          <w:sz w:val="20"/>
          <w:szCs w:val="20"/>
          <w:color w:val="auto"/>
        </w:rPr>
      </w:pPr>
    </w:p>
    <w:p>
      <w:pPr>
        <w:ind w:right="820"/>
        <w:spacing w:after="0" w:line="292" w:lineRule="auto"/>
        <w:rPr>
          <w:sz w:val="20"/>
          <w:szCs w:val="20"/>
          <w:color w:val="auto"/>
        </w:rPr>
      </w:pPr>
      <w:r>
        <w:rPr>
          <w:rFonts w:ascii="Arial" w:cs="Arial" w:eastAsia="Arial" w:hAnsi="Arial"/>
          <w:sz w:val="18"/>
          <w:szCs w:val="18"/>
          <w:color w:val="auto"/>
        </w:rPr>
        <w:t>In certain circumstances, our health plans may receive additional premiums if amounts spent on medical care costs exceed a defined maximum threshold. Receivables relating to such provisions were insignificant at September 30, 2017 and December 31, 2016.</w:t>
      </w:r>
    </w:p>
    <w:p>
      <w:pPr>
        <w:spacing w:after="0" w:line="145" w:lineRule="exact"/>
        <w:rPr>
          <w:sz w:val="20"/>
          <w:szCs w:val="20"/>
          <w:color w:val="auto"/>
        </w:rPr>
      </w:pPr>
    </w:p>
    <w:p>
      <w:pPr>
        <w:ind w:right="200"/>
        <w:spacing w:after="0" w:line="264" w:lineRule="auto"/>
        <w:rPr>
          <w:sz w:val="20"/>
          <w:szCs w:val="20"/>
          <w:color w:val="auto"/>
        </w:rPr>
      </w:pPr>
      <w:r>
        <w:rPr>
          <w:rFonts w:ascii="Arial" w:cs="Arial" w:eastAsia="Arial" w:hAnsi="Arial"/>
          <w:sz w:val="18"/>
          <w:szCs w:val="18"/>
          <w:i w:val="1"/>
          <w:iCs w:val="1"/>
          <w:color w:val="auto"/>
        </w:rPr>
        <w:t xml:space="preserve">Profit Sharing and Profit Ceiling: </w:t>
      </w:r>
      <w:r>
        <w:rPr>
          <w:rFonts w:ascii="Arial" w:cs="Arial" w:eastAsia="Arial" w:hAnsi="Arial"/>
          <w:sz w:val="18"/>
          <w:szCs w:val="18"/>
          <w:color w:val="auto"/>
        </w:rPr>
        <w:t>Our contracts with certain states contain profit-sharing or profit ceiling provisions under which we refund</w:t>
      </w:r>
      <w:r>
        <w:rPr>
          <w:rFonts w:ascii="Arial" w:cs="Arial" w:eastAsia="Arial" w:hAnsi="Arial"/>
          <w:sz w:val="18"/>
          <w:szCs w:val="18"/>
          <w:i w:val="1"/>
          <w:iCs w:val="1"/>
          <w:color w:val="auto"/>
        </w:rPr>
        <w:t xml:space="preserve"> </w:t>
      </w:r>
      <w:r>
        <w:rPr>
          <w:rFonts w:ascii="Arial" w:cs="Arial" w:eastAsia="Arial" w:hAnsi="Arial"/>
          <w:sz w:val="18"/>
          <w:szCs w:val="18"/>
          <w:color w:val="auto"/>
        </w:rPr>
        <w:t>amounts to the states if our health plans generate profit above a certain specified percentage. In some cases, we are limited in the amount of administrative costs that we may deduct in calculating the refund, if any. Liabilities for profits in excess of the amount we are allowed to retain under these provisions were insignificant at September 30, 2017 and December 31, 2016.</w:t>
      </w:r>
    </w:p>
    <w:p>
      <w:pPr>
        <w:spacing w:after="0" w:line="170" w:lineRule="exact"/>
        <w:rPr>
          <w:sz w:val="20"/>
          <w:szCs w:val="20"/>
          <w:color w:val="auto"/>
        </w:rPr>
      </w:pPr>
    </w:p>
    <w:p>
      <w:pPr>
        <w:ind w:right="120"/>
        <w:spacing w:after="0" w:line="271" w:lineRule="auto"/>
        <w:rPr>
          <w:sz w:val="20"/>
          <w:szCs w:val="20"/>
          <w:color w:val="auto"/>
        </w:rPr>
      </w:pPr>
      <w:r>
        <w:rPr>
          <w:rFonts w:ascii="Arial" w:cs="Arial" w:eastAsia="Arial" w:hAnsi="Arial"/>
          <w:sz w:val="18"/>
          <w:szCs w:val="18"/>
          <w:i w:val="1"/>
          <w:iCs w:val="1"/>
          <w:color w:val="auto"/>
        </w:rPr>
        <w:t xml:space="preserve">Retroactive Premium Adjustments: </w:t>
      </w:r>
      <w:r>
        <w:rPr>
          <w:rFonts w:ascii="Arial" w:cs="Arial" w:eastAsia="Arial" w:hAnsi="Arial"/>
          <w:sz w:val="18"/>
          <w:szCs w:val="18"/>
          <w:color w:val="auto"/>
        </w:rPr>
        <w:t>State Medicaid programs periodically adjust premium rates on a retroactive basis. In these cases, we must</w:t>
      </w:r>
      <w:r>
        <w:rPr>
          <w:rFonts w:ascii="Arial" w:cs="Arial" w:eastAsia="Arial" w:hAnsi="Arial"/>
          <w:sz w:val="18"/>
          <w:szCs w:val="18"/>
          <w:i w:val="1"/>
          <w:iCs w:val="1"/>
          <w:color w:val="auto"/>
        </w:rPr>
        <w:t xml:space="preserve"> </w:t>
      </w:r>
      <w:r>
        <w:rPr>
          <w:rFonts w:ascii="Arial" w:cs="Arial" w:eastAsia="Arial" w:hAnsi="Arial"/>
          <w:sz w:val="18"/>
          <w:szCs w:val="18"/>
          <w:color w:val="auto"/>
        </w:rPr>
        <w:t>adjust our premium revenue in the period in which we learn of the adjustment, rather than in the months of service to which the retroactive adjustment applies.</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Medicare</w:t>
      </w:r>
    </w:p>
    <w:p>
      <w:pPr>
        <w:spacing w:after="0" w:line="225" w:lineRule="exact"/>
        <w:rPr>
          <w:sz w:val="20"/>
          <w:szCs w:val="20"/>
          <w:color w:val="auto"/>
        </w:rPr>
      </w:pPr>
    </w:p>
    <w:p>
      <w:pPr>
        <w:jc w:val="both"/>
        <w:spacing w:after="0" w:line="260" w:lineRule="auto"/>
        <w:rPr>
          <w:sz w:val="20"/>
          <w:szCs w:val="20"/>
          <w:color w:val="auto"/>
        </w:rPr>
      </w:pPr>
      <w:r>
        <w:rPr>
          <w:rFonts w:ascii="Arial" w:cs="Arial" w:eastAsia="Arial" w:hAnsi="Arial"/>
          <w:sz w:val="18"/>
          <w:szCs w:val="18"/>
          <w:i w:val="1"/>
          <w:iCs w:val="1"/>
          <w:color w:val="auto"/>
        </w:rPr>
        <w:t xml:space="preserve">Risk Adjustment: </w:t>
      </w:r>
      <w:r>
        <w:rPr>
          <w:rFonts w:ascii="Arial" w:cs="Arial" w:eastAsia="Arial" w:hAnsi="Arial"/>
          <w:sz w:val="18"/>
          <w:szCs w:val="18"/>
          <w:color w:val="auto"/>
        </w:rPr>
        <w:t>Our Medicare premiums are subject to retroactive increase or decrease based on the health status of our Medicare members</w:t>
      </w:r>
      <w:r>
        <w:rPr>
          <w:rFonts w:ascii="Arial" w:cs="Arial" w:eastAsia="Arial" w:hAnsi="Arial"/>
          <w:sz w:val="18"/>
          <w:szCs w:val="18"/>
          <w:i w:val="1"/>
          <w:iCs w:val="1"/>
          <w:color w:val="auto"/>
        </w:rPr>
        <w:t xml:space="preserve"> </w:t>
      </w:r>
      <w:r>
        <w:rPr>
          <w:rFonts w:ascii="Arial" w:cs="Arial" w:eastAsia="Arial" w:hAnsi="Arial"/>
          <w:sz w:val="18"/>
          <w:szCs w:val="18"/>
          <w:color w:val="auto"/>
        </w:rPr>
        <w:t>(measured as a member risk score). We estimate our members’ risk scores and the related amount of Medicare revenue that will ultimately be realized for the periods presented based on our knowledge of our members’ health status, risk scores and the Centers for Medicare &amp; Medicaid Services (CMS) practices. Consolidated balance sheet amounts related to anticipated Medicare risk adjustment premiums and Medicare Part D settlements were insignificant at September 30, 2017 and December 31, 2016.</w:t>
      </w:r>
    </w:p>
    <w:p>
      <w:pPr>
        <w:spacing w:after="0" w:line="175" w:lineRule="exact"/>
        <w:rPr>
          <w:sz w:val="20"/>
          <w:szCs w:val="20"/>
          <w:color w:val="auto"/>
        </w:rPr>
      </w:pPr>
    </w:p>
    <w:p>
      <w:pPr>
        <w:ind w:right="260"/>
        <w:spacing w:after="0" w:line="264" w:lineRule="auto"/>
        <w:rPr>
          <w:sz w:val="20"/>
          <w:szCs w:val="20"/>
          <w:color w:val="auto"/>
        </w:rPr>
      </w:pPr>
      <w:r>
        <w:rPr>
          <w:rFonts w:ascii="Arial" w:cs="Arial" w:eastAsia="Arial" w:hAnsi="Arial"/>
          <w:sz w:val="18"/>
          <w:szCs w:val="18"/>
          <w:i w:val="1"/>
          <w:iCs w:val="1"/>
          <w:color w:val="auto"/>
        </w:rPr>
        <w:t xml:space="preserve">Minimum MLR: </w:t>
      </w:r>
      <w:r>
        <w:rPr>
          <w:rFonts w:ascii="Arial" w:cs="Arial" w:eastAsia="Arial" w:hAnsi="Arial"/>
          <w:sz w:val="18"/>
          <w:szCs w:val="18"/>
          <w:color w:val="auto"/>
        </w:rPr>
        <w:t>Additionally, federal regulations have established a minimum annual medical loss ratio (Minimum MLR) of 85% for Medicare.</w:t>
      </w:r>
      <w:r>
        <w:rPr>
          <w:rFonts w:ascii="Arial" w:cs="Arial" w:eastAsia="Arial" w:hAnsi="Arial"/>
          <w:sz w:val="18"/>
          <w:szCs w:val="18"/>
          <w:i w:val="1"/>
          <w:iCs w:val="1"/>
          <w:color w:val="auto"/>
        </w:rPr>
        <w:t xml:space="preserve"> </w:t>
      </w:r>
      <w:r>
        <w:rPr>
          <w:rFonts w:ascii="Arial" w:cs="Arial" w:eastAsia="Arial" w:hAnsi="Arial"/>
          <w:sz w:val="18"/>
          <w:szCs w:val="18"/>
          <w:color w:val="auto"/>
        </w:rPr>
        <w:t>The medical loss ratio represents medical costs as a percentage of premium revenue. Federal regulations define what constitutes medical costs and premium revenue. If the Minimum MLR is not met, we may be required to pay rebates to the federal government. We recognize estimated rebates under the Minimum MLR as an adjustment to premium revenue in our consolidated statements of operations.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Marketplace</w:t>
      </w:r>
    </w:p>
    <w:p>
      <w:pPr>
        <w:spacing w:after="0" w:line="225" w:lineRule="exact"/>
        <w:rPr>
          <w:sz w:val="20"/>
          <w:szCs w:val="20"/>
          <w:color w:val="auto"/>
        </w:rPr>
      </w:pPr>
    </w:p>
    <w:p>
      <w:pPr>
        <w:ind w:right="20"/>
        <w:spacing w:after="0" w:line="260" w:lineRule="auto"/>
        <w:rPr>
          <w:sz w:val="20"/>
          <w:szCs w:val="20"/>
          <w:color w:val="auto"/>
        </w:rPr>
      </w:pPr>
      <w:r>
        <w:rPr>
          <w:rFonts w:ascii="Arial" w:cs="Arial" w:eastAsia="Arial" w:hAnsi="Arial"/>
          <w:sz w:val="18"/>
          <w:szCs w:val="18"/>
          <w:i w:val="1"/>
          <w:iCs w:val="1"/>
          <w:color w:val="auto"/>
        </w:rPr>
        <w:t xml:space="preserve">Premium Stabilization Programs: </w:t>
      </w:r>
      <w:r>
        <w:rPr>
          <w:rFonts w:ascii="Arial" w:cs="Arial" w:eastAsia="Arial" w:hAnsi="Arial"/>
          <w:sz w:val="18"/>
          <w:szCs w:val="18"/>
          <w:color w:val="auto"/>
        </w:rPr>
        <w:t>The Affordable Care Act (ACA) established Marketplace premium stabilization programs effective January 1,</w:t>
      </w:r>
      <w:r>
        <w:rPr>
          <w:rFonts w:ascii="Arial" w:cs="Arial" w:eastAsia="Arial" w:hAnsi="Arial"/>
          <w:sz w:val="18"/>
          <w:szCs w:val="18"/>
          <w:i w:val="1"/>
          <w:iCs w:val="1"/>
          <w:color w:val="auto"/>
        </w:rPr>
        <w:t xml:space="preserve"> </w:t>
      </w:r>
      <w:r>
        <w:rPr>
          <w:rFonts w:ascii="Arial" w:cs="Arial" w:eastAsia="Arial" w:hAnsi="Arial"/>
          <w:sz w:val="18"/>
          <w:szCs w:val="18"/>
          <w:color w:val="auto"/>
        </w:rPr>
        <w:t>2014. These programs, commonly referred to as the “3R’s,” include a permanent risk adjustment program, a transitional reinsurance program, and a temporary risk corridor program. We record receivables or payables related to the 3R programs and the Minimum MLR when the amounts are reasonably estimable as described below, and, for receivables, when collection is reasonably assured. Our receivables (payables) for each of these programs, as of the dates indicated, were as follows:</w:t>
      </w:r>
    </w:p>
    <w:p>
      <w:pPr>
        <w:spacing w:after="0" w:line="399" w:lineRule="exact"/>
        <w:rPr>
          <w:sz w:val="20"/>
          <w:szCs w:val="20"/>
          <w:color w:val="auto"/>
        </w:rPr>
      </w:pPr>
    </w:p>
    <w:tbl>
      <w:tblPr>
        <w:tblLayout w:type="fixed"/>
        <w:tblInd w:w="20" w:type="dxa"/>
        <w:tblCellMar>
          <w:top w:w="0" w:type="dxa"/>
          <w:left w:w="0" w:type="dxa"/>
          <w:bottom w:w="0" w:type="dxa"/>
          <w:right w:w="0" w:type="dxa"/>
        </w:tblCellMar>
      </w:tblPr>
      <w:tr>
        <w:trPr>
          <w:trHeight w:val="203"/>
        </w:trPr>
        <w:tc>
          <w:tcPr>
            <w:tcW w:w="5140" w:type="dxa"/>
            <w:vAlign w:val="bottom"/>
          </w:tcPr>
          <w:p>
            <w:pPr>
              <w:spacing w:after="0"/>
              <w:rPr>
                <w:sz w:val="17"/>
                <w:szCs w:val="17"/>
                <w:color w:val="auto"/>
              </w:rPr>
            </w:pPr>
          </w:p>
        </w:tc>
        <w:tc>
          <w:tcPr>
            <w:tcW w:w="5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040" w:type="dxa"/>
            <w:vAlign w:val="bottom"/>
            <w:tcBorders>
              <w:bottom w:val="single" w:sz="8" w:color="auto"/>
            </w:tcBorders>
            <w:gridSpan w:val="4"/>
          </w:tcPr>
          <w:p>
            <w:pPr>
              <w:ind w:left="60"/>
              <w:spacing w:after="0"/>
              <w:rPr>
                <w:sz w:val="20"/>
                <w:szCs w:val="20"/>
                <w:color w:val="auto"/>
              </w:rPr>
            </w:pPr>
            <w:r>
              <w:rPr>
                <w:rFonts w:ascii="Arial" w:cs="Arial" w:eastAsia="Arial" w:hAnsi="Arial"/>
                <w:sz w:val="14"/>
                <w:szCs w:val="14"/>
                <w:b w:val="1"/>
                <w:bCs w:val="1"/>
                <w:color w:val="auto"/>
              </w:rPr>
              <w:t>September 30, 2017</w:t>
            </w:r>
          </w:p>
        </w:tc>
        <w:tc>
          <w:tcPr>
            <w:tcW w:w="102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80" w:type="dxa"/>
            <w:vAlign w:val="bottom"/>
            <w:vMerge w:val="restart"/>
          </w:tcPr>
          <w:p>
            <w:pPr>
              <w:jc w:val="right"/>
              <w:ind w:right="202"/>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60"/>
        </w:trPr>
        <w:tc>
          <w:tcPr>
            <w:tcW w:w="5140" w:type="dxa"/>
            <w:vAlign w:val="bottom"/>
          </w:tcPr>
          <w:p>
            <w:pPr>
              <w:spacing w:after="0"/>
              <w:rPr>
                <w:sz w:val="5"/>
                <w:szCs w:val="5"/>
                <w:color w:val="auto"/>
              </w:rPr>
            </w:pPr>
          </w:p>
        </w:tc>
        <w:tc>
          <w:tcPr>
            <w:tcW w:w="580" w:type="dxa"/>
            <w:vAlign w:val="bottom"/>
          </w:tcPr>
          <w:p>
            <w:pPr>
              <w:spacing w:after="0"/>
              <w:rPr>
                <w:sz w:val="5"/>
                <w:szCs w:val="5"/>
                <w:color w:val="auto"/>
              </w:rPr>
            </w:pPr>
          </w:p>
        </w:tc>
        <w:tc>
          <w:tcPr>
            <w:tcW w:w="920" w:type="dxa"/>
            <w:vAlign w:val="bottom"/>
          </w:tcPr>
          <w:p>
            <w:pPr>
              <w:spacing w:after="0"/>
              <w:rPr>
                <w:sz w:val="5"/>
                <w:szCs w:val="5"/>
                <w:color w:val="auto"/>
              </w:rPr>
            </w:pPr>
          </w:p>
        </w:tc>
        <w:tc>
          <w:tcPr>
            <w:tcW w:w="120" w:type="dxa"/>
            <w:vAlign w:val="bottom"/>
          </w:tcPr>
          <w:p>
            <w:pPr>
              <w:spacing w:after="0"/>
              <w:rPr>
                <w:sz w:val="5"/>
                <w:szCs w:val="5"/>
                <w:color w:val="auto"/>
              </w:rPr>
            </w:pPr>
          </w:p>
        </w:tc>
        <w:tc>
          <w:tcPr>
            <w:tcW w:w="620" w:type="dxa"/>
            <w:vAlign w:val="bottom"/>
          </w:tcPr>
          <w:p>
            <w:pPr>
              <w:spacing w:after="0"/>
              <w:rPr>
                <w:sz w:val="5"/>
                <w:szCs w:val="5"/>
                <w:color w:val="auto"/>
              </w:rPr>
            </w:pPr>
          </w:p>
        </w:tc>
        <w:tc>
          <w:tcPr>
            <w:tcW w:w="860" w:type="dxa"/>
            <w:vAlign w:val="bottom"/>
          </w:tcPr>
          <w:p>
            <w:pPr>
              <w:spacing w:after="0"/>
              <w:rPr>
                <w:sz w:val="5"/>
                <w:szCs w:val="5"/>
                <w:color w:val="auto"/>
              </w:rPr>
            </w:pPr>
          </w:p>
        </w:tc>
        <w:tc>
          <w:tcPr>
            <w:tcW w:w="100" w:type="dxa"/>
            <w:vAlign w:val="bottom"/>
          </w:tcPr>
          <w:p>
            <w:pPr>
              <w:spacing w:after="0"/>
              <w:rPr>
                <w:sz w:val="5"/>
                <w:szCs w:val="5"/>
                <w:color w:val="auto"/>
              </w:rPr>
            </w:pPr>
          </w:p>
        </w:tc>
        <w:tc>
          <w:tcPr>
            <w:tcW w:w="460" w:type="dxa"/>
            <w:vAlign w:val="bottom"/>
          </w:tcPr>
          <w:p>
            <w:pPr>
              <w:spacing w:after="0"/>
              <w:rPr>
                <w:sz w:val="5"/>
                <w:szCs w:val="5"/>
                <w:color w:val="auto"/>
              </w:rPr>
            </w:pPr>
          </w:p>
        </w:tc>
        <w:tc>
          <w:tcPr>
            <w:tcW w:w="10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3"/>
        </w:trPr>
        <w:tc>
          <w:tcPr>
            <w:tcW w:w="5140" w:type="dxa"/>
            <w:vAlign w:val="bottom"/>
          </w:tcPr>
          <w:p>
            <w:pPr>
              <w:spacing w:after="0"/>
              <w:rPr>
                <w:sz w:val="17"/>
                <w:szCs w:val="17"/>
                <w:color w:val="auto"/>
              </w:rPr>
            </w:pPr>
          </w:p>
        </w:tc>
        <w:tc>
          <w:tcPr>
            <w:tcW w:w="15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Current Benefit Year</w:t>
            </w:r>
          </w:p>
        </w:tc>
        <w:tc>
          <w:tcPr>
            <w:tcW w:w="120" w:type="dxa"/>
            <w:vAlign w:val="bottom"/>
          </w:tcPr>
          <w:p>
            <w:pPr>
              <w:spacing w:after="0"/>
              <w:rPr>
                <w:sz w:val="17"/>
                <w:szCs w:val="17"/>
                <w:color w:val="auto"/>
              </w:rPr>
            </w:pPr>
          </w:p>
        </w:tc>
        <w:tc>
          <w:tcPr>
            <w:tcW w:w="1480" w:type="dxa"/>
            <w:vAlign w:val="bottom"/>
            <w:tcBorders>
              <w:bottom w:val="single" w:sz="8" w:color="auto"/>
            </w:tcBorders>
            <w:gridSpan w:val="2"/>
          </w:tcPr>
          <w:p>
            <w:pPr>
              <w:jc w:val="right"/>
              <w:ind w:right="21"/>
              <w:spacing w:after="0"/>
              <w:rPr>
                <w:sz w:val="20"/>
                <w:szCs w:val="20"/>
                <w:color w:val="auto"/>
              </w:rPr>
            </w:pPr>
            <w:r>
              <w:rPr>
                <w:rFonts w:ascii="Arial" w:cs="Arial" w:eastAsia="Arial" w:hAnsi="Arial"/>
                <w:sz w:val="14"/>
                <w:szCs w:val="14"/>
                <w:b w:val="1"/>
                <w:bCs w:val="1"/>
                <w:color w:val="auto"/>
              </w:rPr>
              <w:t>Prior Benefit Years</w:t>
            </w:r>
          </w:p>
        </w:tc>
        <w:tc>
          <w:tcPr>
            <w:tcW w:w="100" w:type="dxa"/>
            <w:vAlign w:val="bottom"/>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501"/>
              <w:spacing w:after="0"/>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ind w:right="502"/>
              <w:spacing w:after="0"/>
              <w:rPr>
                <w:sz w:val="20"/>
                <w:szCs w:val="20"/>
                <w:color w:val="auto"/>
              </w:rPr>
            </w:pPr>
            <w:r>
              <w:rPr>
                <w:rFonts w:ascii="Arial" w:cs="Arial" w:eastAsia="Arial" w:hAnsi="Arial"/>
                <w:sz w:val="14"/>
                <w:szCs w:val="14"/>
                <w:b w:val="1"/>
                <w:bCs w:val="1"/>
                <w:color w:val="auto"/>
              </w:rPr>
              <w:t>2016</w:t>
            </w:r>
          </w:p>
        </w:tc>
        <w:tc>
          <w:tcPr>
            <w:tcW w:w="0" w:type="dxa"/>
            <w:vAlign w:val="bottom"/>
          </w:tcPr>
          <w:p>
            <w:pPr>
              <w:spacing w:after="0"/>
              <w:rPr>
                <w:sz w:val="1"/>
                <w:szCs w:val="1"/>
                <w:color w:val="auto"/>
              </w:rPr>
            </w:pPr>
          </w:p>
        </w:tc>
      </w:tr>
      <w:tr>
        <w:trPr>
          <w:trHeight w:val="385"/>
        </w:trPr>
        <w:tc>
          <w:tcPr>
            <w:tcW w:w="5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20" w:type="dxa"/>
            <w:vAlign w:val="bottom"/>
            <w:gridSpan w:val="3"/>
          </w:tcPr>
          <w:p>
            <w:pPr>
              <w:ind w:left="480"/>
              <w:spacing w:after="0"/>
              <w:rPr>
                <w:sz w:val="20"/>
                <w:szCs w:val="20"/>
                <w:color w:val="auto"/>
              </w:rPr>
            </w:pPr>
            <w:r>
              <w:rPr>
                <w:rFonts w:ascii="Arial" w:cs="Arial" w:eastAsia="Arial" w:hAnsi="Arial"/>
                <w:sz w:val="14"/>
                <w:szCs w:val="14"/>
                <w:b w:val="1"/>
                <w:bCs w:val="1"/>
                <w:color w:val="auto"/>
              </w:rPr>
              <w:t>(In millions)</w:t>
            </w: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5140" w:type="dxa"/>
            <w:vAlign w:val="bottom"/>
            <w:shd w:val="clear" w:color="auto" w:fill="CCEEFF"/>
          </w:tcPr>
          <w:p>
            <w:pPr>
              <w:ind w:left="20"/>
              <w:spacing w:after="0"/>
              <w:rPr>
                <w:sz w:val="20"/>
                <w:szCs w:val="20"/>
                <w:color w:val="auto"/>
              </w:rPr>
            </w:pPr>
            <w:r>
              <w:rPr>
                <w:rFonts w:ascii="Arial" w:cs="Arial" w:eastAsia="Arial" w:hAnsi="Arial"/>
                <w:sz w:val="16"/>
                <w:szCs w:val="16"/>
                <w:color w:val="auto"/>
              </w:rPr>
              <w:t>Risk adjustment</w:t>
            </w:r>
          </w:p>
        </w:tc>
        <w:tc>
          <w:tcPr>
            <w:tcW w:w="580" w:type="dxa"/>
            <w:vAlign w:val="bottom"/>
            <w:shd w:val="clear" w:color="auto" w:fill="CCEEFF"/>
          </w:tcPr>
          <w:p>
            <w:pPr>
              <w:jc w:val="right"/>
              <w:ind w:right="403"/>
              <w:spacing w:after="0"/>
              <w:rPr>
                <w:sz w:val="20"/>
                <w:szCs w:val="20"/>
                <w:color w:val="auto"/>
              </w:rPr>
            </w:pPr>
            <w:r>
              <w:rPr>
                <w:rFonts w:ascii="Arial" w:cs="Arial" w:eastAsia="Arial" w:hAnsi="Arial"/>
                <w:sz w:val="16"/>
                <w:szCs w:val="16"/>
                <w:color w:val="auto"/>
                <w:w w:val="8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(655)</w:t>
            </w:r>
          </w:p>
        </w:tc>
        <w:tc>
          <w:tcPr>
            <w:tcW w:w="120" w:type="dxa"/>
            <w:vAlign w:val="bottom"/>
            <w:shd w:val="clear" w:color="auto" w:fill="CCEEFF"/>
          </w:tcPr>
          <w:p>
            <w:pPr>
              <w:spacing w:after="0"/>
              <w:rPr>
                <w:sz w:val="23"/>
                <w:szCs w:val="23"/>
                <w:color w:val="auto"/>
              </w:rPr>
            </w:pPr>
          </w:p>
        </w:tc>
        <w:tc>
          <w:tcPr>
            <w:tcW w:w="620" w:type="dxa"/>
            <w:vAlign w:val="bottom"/>
            <w:shd w:val="clear" w:color="auto" w:fill="CCEEFF"/>
          </w:tcPr>
          <w:p>
            <w:pPr>
              <w:jc w:val="right"/>
              <w:ind w:right="425"/>
              <w:spacing w:after="0"/>
              <w:rPr>
                <w:sz w:val="20"/>
                <w:szCs w:val="20"/>
                <w:color w:val="auto"/>
              </w:rPr>
            </w:pPr>
            <w:r>
              <w:rPr>
                <w:rFonts w:ascii="Arial" w:cs="Arial" w:eastAsia="Arial" w:hAnsi="Arial"/>
                <w:sz w:val="16"/>
                <w:szCs w:val="16"/>
                <w:color w:val="auto"/>
              </w:rPr>
              <w:t>$</w:t>
            </w:r>
          </w:p>
        </w:tc>
        <w:tc>
          <w:tcPr>
            <w:tcW w:w="1420" w:type="dxa"/>
            <w:vAlign w:val="bottom"/>
            <w:gridSpan w:val="3"/>
            <w:shd w:val="clear" w:color="auto" w:fill="CCEEFF"/>
          </w:tcPr>
          <w:p>
            <w:pPr>
              <w:ind w:left="580"/>
              <w:spacing w:after="0"/>
              <w:rPr>
                <w:sz w:val="20"/>
                <w:szCs w:val="20"/>
                <w:color w:val="auto"/>
              </w:rPr>
            </w:pPr>
            <w:r>
              <w:rPr>
                <w:rFonts w:ascii="Arial" w:cs="Arial" w:eastAsia="Arial" w:hAnsi="Arial"/>
                <w:sz w:val="16"/>
                <w:szCs w:val="16"/>
                <w:color w:val="auto"/>
              </w:rPr>
              <w:t>—   $</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(655)</w:t>
            </w:r>
          </w:p>
        </w:tc>
        <w:tc>
          <w:tcPr>
            <w:tcW w:w="30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(522)</w:t>
            </w:r>
          </w:p>
        </w:tc>
        <w:tc>
          <w:tcPr>
            <w:tcW w:w="0" w:type="dxa"/>
            <w:vAlign w:val="bottom"/>
          </w:tcPr>
          <w:p>
            <w:pPr>
              <w:spacing w:after="0"/>
              <w:rPr>
                <w:sz w:val="1"/>
                <w:szCs w:val="1"/>
                <w:color w:val="auto"/>
              </w:rPr>
            </w:pPr>
          </w:p>
        </w:tc>
      </w:tr>
      <w:tr>
        <w:trPr>
          <w:trHeight w:val="262"/>
        </w:trPr>
        <w:tc>
          <w:tcPr>
            <w:tcW w:w="5140" w:type="dxa"/>
            <w:vAlign w:val="bottom"/>
          </w:tcPr>
          <w:p>
            <w:pPr>
              <w:ind w:left="20"/>
              <w:spacing w:after="0"/>
              <w:rPr>
                <w:sz w:val="20"/>
                <w:szCs w:val="20"/>
                <w:color w:val="auto"/>
              </w:rPr>
            </w:pPr>
            <w:r>
              <w:rPr>
                <w:rFonts w:ascii="Arial" w:cs="Arial" w:eastAsia="Arial" w:hAnsi="Arial"/>
                <w:sz w:val="16"/>
                <w:szCs w:val="16"/>
                <w:color w:val="auto"/>
              </w:rPr>
              <w:t>Reinsurance</w:t>
            </w:r>
          </w:p>
        </w:tc>
        <w:tc>
          <w:tcPr>
            <w:tcW w:w="580" w:type="dxa"/>
            <w:vAlign w:val="bottom"/>
          </w:tcPr>
          <w:p>
            <w:pPr>
              <w:spacing w:after="0"/>
              <w:rPr>
                <w:sz w:val="22"/>
                <w:szCs w:val="22"/>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620" w:type="dxa"/>
            <w:vAlign w:val="bottom"/>
          </w:tcPr>
          <w:p>
            <w:pPr>
              <w:spacing w:after="0"/>
              <w:rPr>
                <w:sz w:val="22"/>
                <w:szCs w:val="22"/>
                <w:color w:val="auto"/>
              </w:rPr>
            </w:pPr>
          </w:p>
        </w:tc>
        <w:tc>
          <w:tcPr>
            <w:tcW w:w="860" w:type="dxa"/>
            <w:vAlign w:val="bottom"/>
          </w:tcPr>
          <w:p>
            <w:pPr>
              <w:jc w:val="right"/>
              <w:ind w:right="41"/>
              <w:spacing w:after="0"/>
              <w:rPr>
                <w:sz w:val="20"/>
                <w:szCs w:val="20"/>
                <w:color w:val="auto"/>
              </w:rPr>
            </w:pPr>
            <w:r>
              <w:rPr>
                <w:rFonts w:ascii="Arial" w:cs="Arial" w:eastAsia="Arial" w:hAnsi="Arial"/>
                <w:sz w:val="16"/>
                <w:szCs w:val="16"/>
                <w:color w:val="auto"/>
              </w:rPr>
              <w:t>10</w:t>
            </w:r>
          </w:p>
        </w:tc>
        <w:tc>
          <w:tcPr>
            <w:tcW w:w="1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020" w:type="dxa"/>
            <w:vAlign w:val="bottom"/>
          </w:tcPr>
          <w:p>
            <w:pPr>
              <w:jc w:val="right"/>
              <w:ind w:right="41"/>
              <w:spacing w:after="0"/>
              <w:rPr>
                <w:sz w:val="20"/>
                <w:szCs w:val="20"/>
                <w:color w:val="auto"/>
              </w:rPr>
            </w:pPr>
            <w:r>
              <w:rPr>
                <w:rFonts w:ascii="Arial" w:cs="Arial" w:eastAsia="Arial" w:hAnsi="Arial"/>
                <w:sz w:val="16"/>
                <w:szCs w:val="16"/>
                <w:color w:val="auto"/>
              </w:rPr>
              <w:t>10</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80" w:type="dxa"/>
            <w:vAlign w:val="bottom"/>
          </w:tcPr>
          <w:p>
            <w:pPr>
              <w:jc w:val="right"/>
              <w:ind w:right="42"/>
              <w:spacing w:after="0"/>
              <w:rPr>
                <w:sz w:val="20"/>
                <w:szCs w:val="20"/>
                <w:color w:val="auto"/>
              </w:rPr>
            </w:pPr>
            <w:r>
              <w:rPr>
                <w:rFonts w:ascii="Arial" w:cs="Arial" w:eastAsia="Arial" w:hAnsi="Arial"/>
                <w:sz w:val="16"/>
                <w:szCs w:val="16"/>
                <w:color w:val="auto"/>
              </w:rPr>
              <w:t>55</w:t>
            </w:r>
          </w:p>
        </w:tc>
        <w:tc>
          <w:tcPr>
            <w:tcW w:w="0" w:type="dxa"/>
            <w:vAlign w:val="bottom"/>
          </w:tcPr>
          <w:p>
            <w:pPr>
              <w:spacing w:after="0"/>
              <w:rPr>
                <w:sz w:val="1"/>
                <w:szCs w:val="1"/>
                <w:color w:val="auto"/>
              </w:rPr>
            </w:pPr>
          </w:p>
        </w:tc>
      </w:tr>
      <w:tr>
        <w:trPr>
          <w:trHeight w:val="278"/>
        </w:trPr>
        <w:tc>
          <w:tcPr>
            <w:tcW w:w="5140" w:type="dxa"/>
            <w:vAlign w:val="bottom"/>
            <w:shd w:val="clear" w:color="auto" w:fill="CCEEFF"/>
          </w:tcPr>
          <w:p>
            <w:pPr>
              <w:ind w:left="20"/>
              <w:spacing w:after="0"/>
              <w:rPr>
                <w:sz w:val="20"/>
                <w:szCs w:val="20"/>
                <w:color w:val="auto"/>
              </w:rPr>
            </w:pPr>
            <w:r>
              <w:rPr>
                <w:rFonts w:ascii="Arial" w:cs="Arial" w:eastAsia="Arial" w:hAnsi="Arial"/>
                <w:sz w:val="16"/>
                <w:szCs w:val="16"/>
                <w:color w:val="auto"/>
              </w:rPr>
              <w:t>Risk corridor</w:t>
            </w:r>
          </w:p>
        </w:tc>
        <w:tc>
          <w:tcPr>
            <w:tcW w:w="580" w:type="dxa"/>
            <w:vAlign w:val="bottom"/>
            <w:shd w:val="clear" w:color="auto" w:fill="CCEEFF"/>
          </w:tcPr>
          <w:p>
            <w:pPr>
              <w:spacing w:after="0"/>
              <w:rPr>
                <w:sz w:val="24"/>
                <w:szCs w:val="24"/>
                <w:color w:val="auto"/>
              </w:rPr>
            </w:pP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620" w:type="dxa"/>
            <w:vAlign w:val="bottom"/>
            <w:shd w:val="clear" w:color="auto" w:fill="CCEEFF"/>
          </w:tcPr>
          <w:p>
            <w:pPr>
              <w:spacing w:after="0"/>
              <w:rPr>
                <w:sz w:val="24"/>
                <w:szCs w:val="24"/>
                <w:color w:val="auto"/>
              </w:rPr>
            </w:pPr>
          </w:p>
        </w:tc>
        <w:tc>
          <w:tcPr>
            <w:tcW w:w="1420" w:type="dxa"/>
            <w:vAlign w:val="bottom"/>
            <w:gridSpan w:val="3"/>
            <w:shd w:val="clear" w:color="auto" w:fill="CCEEFF"/>
          </w:tcPr>
          <w:p>
            <w:pPr>
              <w:jc w:val="right"/>
              <w:ind w:right="680"/>
              <w:spacing w:after="0"/>
              <w:rPr>
                <w:sz w:val="20"/>
                <w:szCs w:val="20"/>
                <w:color w:val="auto"/>
              </w:rPr>
            </w:pPr>
            <w:r>
              <w:rPr>
                <w:rFonts w:ascii="Arial" w:cs="Arial" w:eastAsia="Arial" w:hAnsi="Arial"/>
                <w:sz w:val="16"/>
                <w:szCs w:val="16"/>
                <w:color w:val="auto"/>
              </w:rPr>
              <w:t>—</w:t>
            </w:r>
          </w:p>
        </w:tc>
        <w:tc>
          <w:tcPr>
            <w:tcW w:w="102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55"/>
        </w:trPr>
        <w:tc>
          <w:tcPr>
            <w:tcW w:w="5140" w:type="dxa"/>
            <w:vAlign w:val="bottom"/>
          </w:tcPr>
          <w:p>
            <w:pPr>
              <w:ind w:left="20"/>
              <w:spacing w:after="0"/>
              <w:rPr>
                <w:sz w:val="20"/>
                <w:szCs w:val="20"/>
                <w:color w:val="auto"/>
              </w:rPr>
            </w:pPr>
            <w:r>
              <w:rPr>
                <w:rFonts w:ascii="Arial" w:cs="Arial" w:eastAsia="Arial" w:hAnsi="Arial"/>
                <w:sz w:val="16"/>
                <w:szCs w:val="16"/>
                <w:color w:val="auto"/>
              </w:rPr>
              <w:t>Minimum MLR</w:t>
            </w:r>
          </w:p>
        </w:tc>
        <w:tc>
          <w:tcPr>
            <w:tcW w:w="58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(27)</w:t>
            </w:r>
          </w:p>
        </w:tc>
        <w:tc>
          <w:tcPr>
            <w:tcW w:w="12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1420" w:type="dxa"/>
            <w:vAlign w:val="bottom"/>
            <w:gridSpan w:val="3"/>
          </w:tcPr>
          <w:p>
            <w:pPr>
              <w:jc w:val="right"/>
              <w:ind w:right="680"/>
              <w:spacing w:after="0"/>
              <w:rPr>
                <w:sz w:val="20"/>
                <w:szCs w:val="20"/>
                <w:color w:val="auto"/>
              </w:rPr>
            </w:pPr>
            <w:r>
              <w:rPr>
                <w:rFonts w:ascii="Arial" w:cs="Arial" w:eastAsia="Arial" w:hAnsi="Arial"/>
                <w:sz w:val="16"/>
                <w:szCs w:val="16"/>
                <w:color w:val="auto"/>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(27)</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bl>
    <w:p>
      <w:pPr>
        <w:spacing w:after="0" w:line="209" w:lineRule="exact"/>
        <w:rPr>
          <w:sz w:val="20"/>
          <w:szCs w:val="20"/>
          <w:color w:val="auto"/>
        </w:rPr>
      </w:pPr>
    </w:p>
    <w:p>
      <w:pPr>
        <w:ind w:left="660" w:right="240" w:hanging="328"/>
        <w:spacing w:after="0" w:line="258" w:lineRule="auto"/>
        <w:tabs>
          <w:tab w:leader="none" w:pos="660" w:val="left"/>
        </w:tabs>
        <w:numPr>
          <w:ilvl w:val="0"/>
          <w:numId w:val="3"/>
        </w:numPr>
        <w:rPr>
          <w:rFonts w:ascii="Arial" w:cs="Arial" w:eastAsia="Arial" w:hAnsi="Arial"/>
          <w:sz w:val="18"/>
          <w:szCs w:val="18"/>
          <w:i w:val="1"/>
          <w:iCs w:val="1"/>
          <w:color w:val="auto"/>
        </w:rPr>
      </w:pPr>
      <w:r>
        <w:rPr>
          <w:rFonts w:ascii="Arial" w:cs="Arial" w:eastAsia="Arial" w:hAnsi="Arial"/>
          <w:sz w:val="18"/>
          <w:szCs w:val="18"/>
          <w:color w:val="auto"/>
        </w:rPr>
        <w:t>Risk adjustment: Under this permanent program, our health plans’ composite risk scores are compared with the overall average risk score for the relevant state and market pool. Generally, our health plans will make a risk transfer payment into the pool if their composite risk scores are below the average risk score, and will receive a risk transfer payment from the pool if their composite risk scores are above the average risk score. We estimate our ultimate premium based on insurance policy year-to-date experience, and recognize estimated premiums relating to the risk adjustment program as an adjustment to premium revenue in our consolidated statements of operations.</w:t>
      </w:r>
    </w:p>
    <w:p>
      <w:pPr>
        <w:spacing w:after="0" w:line="177" w:lineRule="exact"/>
        <w:rPr>
          <w:rFonts w:ascii="Arial" w:cs="Arial" w:eastAsia="Arial" w:hAnsi="Arial"/>
          <w:sz w:val="18"/>
          <w:szCs w:val="18"/>
          <w:i w:val="1"/>
          <w:iCs w:val="1"/>
          <w:color w:val="auto"/>
        </w:rPr>
      </w:pPr>
    </w:p>
    <w:p>
      <w:pPr>
        <w:ind w:left="660" w:right="40" w:hanging="328"/>
        <w:spacing w:after="0" w:line="292" w:lineRule="auto"/>
        <w:tabs>
          <w:tab w:leader="none" w:pos="660" w:val="left"/>
        </w:tabs>
        <w:numPr>
          <w:ilvl w:val="0"/>
          <w:numId w:val="3"/>
        </w:numPr>
        <w:rPr>
          <w:rFonts w:ascii="Arial" w:cs="Arial" w:eastAsia="Arial" w:hAnsi="Arial"/>
          <w:sz w:val="18"/>
          <w:szCs w:val="18"/>
          <w:i w:val="1"/>
          <w:iCs w:val="1"/>
          <w:color w:val="auto"/>
        </w:rPr>
      </w:pPr>
      <w:r>
        <w:rPr>
          <w:rFonts w:ascii="Arial" w:cs="Arial" w:eastAsia="Arial" w:hAnsi="Arial"/>
          <w:sz w:val="18"/>
          <w:szCs w:val="18"/>
          <w:color w:val="auto"/>
        </w:rPr>
        <w:t>Reinsurance: This program was designed to provide reimbursement to insurers for high cost members and ended December 31, 2016; we expect to settle the outstanding receivable balance in 2017.</w:t>
      </w:r>
    </w:p>
    <w:p>
      <w:pPr>
        <w:spacing w:after="0" w:line="144" w:lineRule="exact"/>
        <w:rPr>
          <w:rFonts w:ascii="Arial" w:cs="Arial" w:eastAsia="Arial" w:hAnsi="Arial"/>
          <w:sz w:val="18"/>
          <w:szCs w:val="18"/>
          <w:i w:val="1"/>
          <w:iCs w:val="1"/>
          <w:color w:val="auto"/>
        </w:rPr>
      </w:pPr>
    </w:p>
    <w:p>
      <w:pPr>
        <w:ind w:left="660" w:right="480" w:hanging="328"/>
        <w:spacing w:after="0" w:line="292" w:lineRule="auto"/>
        <w:tabs>
          <w:tab w:leader="none" w:pos="660" w:val="left"/>
        </w:tabs>
        <w:numPr>
          <w:ilvl w:val="0"/>
          <w:numId w:val="3"/>
        </w:numPr>
        <w:rPr>
          <w:rFonts w:ascii="Arial" w:cs="Arial" w:eastAsia="Arial" w:hAnsi="Arial"/>
          <w:sz w:val="18"/>
          <w:szCs w:val="18"/>
          <w:i w:val="1"/>
          <w:iCs w:val="1"/>
          <w:color w:val="auto"/>
        </w:rPr>
      </w:pPr>
      <w:r>
        <w:rPr>
          <w:rFonts w:ascii="Arial" w:cs="Arial" w:eastAsia="Arial" w:hAnsi="Arial"/>
          <w:sz w:val="18"/>
          <w:szCs w:val="18"/>
          <w:color w:val="auto"/>
        </w:rPr>
        <w:t>Risk corridor: This program was intended to limit gains and losses of insurers by comparing allowable costs to a target amount as defined by CMS, and ended December 31, 2016; all outstanding balances were settled as of September 30, 2017.</w:t>
      </w:r>
    </w:p>
    <w:p>
      <w:pPr>
        <w:spacing w:after="0" w:line="28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Molina Healthcare, Inc. 2017 Form 10-Q | 9</w:t>
      </w:r>
    </w:p>
    <w:p>
      <w:pPr>
        <w:sectPr>
          <w:pgSz w:w="11900" w:h="16838" w:orient="portrait"/>
          <w:cols w:equalWidth="0" w:num="1">
            <w:col w:w="11420"/>
          </w:cols>
          <w:pgMar w:left="240" w:top="115" w:right="239" w:bottom="1440" w:gutter="0" w:footer="0" w:header="0"/>
        </w:sectPr>
      </w:pPr>
    </w:p>
    <w:bookmarkStart w:id="9" w:name="page10"/>
    <w:bookmarkEnd w:id="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61" w:lineRule="exact"/>
        <w:rPr>
          <w:sz w:val="20"/>
          <w:szCs w:val="20"/>
          <w:color w:val="auto"/>
        </w:rPr>
      </w:pPr>
    </w:p>
    <w:p>
      <w:pPr>
        <w:spacing w:after="0" w:line="260" w:lineRule="auto"/>
        <w:rPr>
          <w:sz w:val="20"/>
          <w:szCs w:val="20"/>
          <w:color w:val="auto"/>
        </w:rPr>
      </w:pPr>
      <w:r>
        <w:rPr>
          <w:rFonts w:ascii="Arial" w:cs="Arial" w:eastAsia="Arial" w:hAnsi="Arial"/>
          <w:sz w:val="18"/>
          <w:szCs w:val="18"/>
          <w:color w:val="auto"/>
        </w:rPr>
        <w:t>Additionally, the ACA established a Minimum MLR of 80% for the Marketplace. The medical loss ratio represents medical costs as a percentage of premium revenue. Federal regulations define what constitutes medical costs and premium revenue. If the Minimum MLR is not met, we may be required to pay rebates to our Marketplace policyholders. Each of the 3R programs is taken into consideration when computing the Minimum MLR. We recognize estimated rebates under the Minimum MLR as an adjustment to premium revenue in our consolidated statements of operations.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Quality Incentives</w:t>
      </w:r>
    </w:p>
    <w:p>
      <w:pPr>
        <w:spacing w:after="0" w:line="227" w:lineRule="exact"/>
        <w:rPr>
          <w:sz w:val="20"/>
          <w:szCs w:val="20"/>
          <w:color w:val="auto"/>
        </w:rPr>
      </w:pPr>
    </w:p>
    <w:p>
      <w:pPr>
        <w:ind w:right="820"/>
        <w:spacing w:after="0" w:line="292" w:lineRule="auto"/>
        <w:rPr>
          <w:sz w:val="20"/>
          <w:szCs w:val="20"/>
          <w:color w:val="auto"/>
        </w:rPr>
      </w:pPr>
      <w:r>
        <w:rPr>
          <w:rFonts w:ascii="Arial" w:cs="Arial" w:eastAsia="Arial" w:hAnsi="Arial"/>
          <w:sz w:val="18"/>
          <w:szCs w:val="18"/>
          <w:color w:val="auto"/>
        </w:rPr>
        <w:t>At several of our health plans, revenue ranging from approximately 1% to 3% of certain health plan premiums is earned only if certain performance measures are met.</w:t>
      </w:r>
    </w:p>
    <w:p>
      <w:pPr>
        <w:spacing w:after="0" w:line="145"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The following table quantifies the quality incentive premium revenue recognized for the periods presented, including the amounts earned in the periods presented and prior periods. Although the reasonably possible effects of a change in estimate related to quality incentive premium revenue as of September 30, 2017 are not known, we have no reason to believe that the adjustments to prior years noted below are not indicative of the potential future changes in our estimates as of September 30, 2017.</w:t>
      </w:r>
    </w:p>
    <w:p>
      <w:pPr>
        <w:spacing w:after="0" w:line="393"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540" w:type="dxa"/>
            <w:vAlign w:val="bottom"/>
          </w:tcPr>
          <w:p>
            <w:pPr>
              <w:spacing w:after="0"/>
              <w:rPr>
                <w:sz w:val="17"/>
                <w:szCs w:val="17"/>
                <w:color w:val="auto"/>
              </w:rPr>
            </w:pPr>
          </w:p>
        </w:tc>
        <w:tc>
          <w:tcPr>
            <w:tcW w:w="3500" w:type="dxa"/>
            <w:vAlign w:val="bottom"/>
            <w:gridSpan w:val="6"/>
          </w:tcPr>
          <w:p>
            <w:pPr>
              <w:ind w:left="480"/>
              <w:spacing w:after="0"/>
              <w:rPr>
                <w:sz w:val="20"/>
                <w:szCs w:val="20"/>
                <w:color w:val="auto"/>
              </w:rPr>
            </w:pPr>
            <w:r>
              <w:rPr>
                <w:rFonts w:ascii="Arial" w:cs="Arial" w:eastAsia="Arial" w:hAnsi="Arial"/>
                <w:sz w:val="14"/>
                <w:szCs w:val="14"/>
                <w:b w:val="1"/>
                <w:bCs w:val="1"/>
                <w:color w:val="auto"/>
              </w:rPr>
              <w:t>Three Months Ended September 30,</w:t>
            </w:r>
          </w:p>
        </w:tc>
        <w:tc>
          <w:tcPr>
            <w:tcW w:w="300" w:type="dxa"/>
            <w:vAlign w:val="bottom"/>
          </w:tcPr>
          <w:p>
            <w:pPr>
              <w:spacing w:after="0"/>
              <w:rPr>
                <w:sz w:val="17"/>
                <w:szCs w:val="17"/>
                <w:color w:val="auto"/>
              </w:rPr>
            </w:pPr>
          </w:p>
        </w:tc>
        <w:tc>
          <w:tcPr>
            <w:tcW w:w="3060" w:type="dxa"/>
            <w:vAlign w:val="bottom"/>
            <w:gridSpan w:val="4"/>
          </w:tcPr>
          <w:p>
            <w:pPr>
              <w:jc w:val="right"/>
              <w:ind w:right="400"/>
              <w:spacing w:after="0"/>
              <w:rPr>
                <w:sz w:val="20"/>
                <w:szCs w:val="20"/>
                <w:color w:val="auto"/>
              </w:rPr>
            </w:pPr>
            <w:r>
              <w:rPr>
                <w:rFonts w:ascii="Arial" w:cs="Arial" w:eastAsia="Arial" w:hAnsi="Arial"/>
                <w:sz w:val="14"/>
                <w:szCs w:val="14"/>
                <w:b w:val="1"/>
                <w:bCs w:val="1"/>
                <w:color w:val="auto"/>
              </w:rPr>
              <w:t>Nine Months Ended September 30,</w:t>
            </w:r>
          </w:p>
        </w:tc>
        <w:tc>
          <w:tcPr>
            <w:tcW w:w="0" w:type="dxa"/>
            <w:vAlign w:val="bottom"/>
          </w:tcPr>
          <w:p>
            <w:pPr>
              <w:spacing w:after="0"/>
              <w:rPr>
                <w:sz w:val="1"/>
                <w:szCs w:val="1"/>
                <w:color w:val="auto"/>
              </w:rPr>
            </w:pPr>
          </w:p>
        </w:tc>
      </w:tr>
      <w:tr>
        <w:trPr>
          <w:trHeight w:val="264"/>
        </w:trPr>
        <w:tc>
          <w:tcPr>
            <w:tcW w:w="4540" w:type="dxa"/>
            <w:vAlign w:val="bottom"/>
          </w:tcPr>
          <w:p>
            <w:pPr>
              <w:spacing w:after="0"/>
              <w:rPr>
                <w:sz w:val="22"/>
                <w:szCs w:val="22"/>
                <w:color w:val="auto"/>
              </w:rPr>
            </w:pPr>
          </w:p>
        </w:tc>
        <w:tc>
          <w:tcPr>
            <w:tcW w:w="1120" w:type="dxa"/>
            <w:vAlign w:val="bottom"/>
            <w:tcBorders>
              <w:top w:val="single" w:sz="8" w:color="auto"/>
              <w:bottom w:val="single" w:sz="8" w:color="auto"/>
            </w:tcBorders>
          </w:tcPr>
          <w:p>
            <w:pPr>
              <w:jc w:val="right"/>
              <w:ind w:right="63"/>
              <w:spacing w:after="0"/>
              <w:rPr>
                <w:sz w:val="20"/>
                <w:szCs w:val="20"/>
                <w:color w:val="auto"/>
              </w:rPr>
            </w:pPr>
            <w:r>
              <w:rPr>
                <w:rFonts w:ascii="Arial" w:cs="Arial" w:eastAsia="Arial" w:hAnsi="Arial"/>
                <w:sz w:val="14"/>
                <w:szCs w:val="14"/>
                <w:b w:val="1"/>
                <w:bCs w:val="1"/>
                <w:color w:val="auto"/>
              </w:rPr>
              <w:t>2017</w:t>
            </w:r>
          </w:p>
        </w:tc>
        <w:tc>
          <w:tcPr>
            <w:tcW w:w="520" w:type="dxa"/>
            <w:vAlign w:val="bottom"/>
            <w:tcBorders>
              <w:top w:val="single" w:sz="8" w:color="auto"/>
              <w:bottom w:val="single" w:sz="8" w:color="auto"/>
            </w:tcBorders>
          </w:tcPr>
          <w:p>
            <w:pPr>
              <w:spacing w:after="0"/>
              <w:rPr>
                <w:sz w:val="22"/>
                <w:szCs w:val="22"/>
                <w:color w:val="auto"/>
              </w:rPr>
            </w:pPr>
          </w:p>
        </w:tc>
        <w:tc>
          <w:tcPr>
            <w:tcW w:w="100" w:type="dxa"/>
            <w:vAlign w:val="bottom"/>
            <w:tcBorders>
              <w:top w:val="single" w:sz="8" w:color="auto"/>
              <w:bottom w:val="single" w:sz="8" w:color="auto"/>
            </w:tcBorders>
          </w:tcPr>
          <w:p>
            <w:pPr>
              <w:spacing w:after="0"/>
              <w:rPr>
                <w:sz w:val="22"/>
                <w:szCs w:val="22"/>
                <w:color w:val="auto"/>
              </w:rPr>
            </w:pPr>
          </w:p>
        </w:tc>
        <w:tc>
          <w:tcPr>
            <w:tcW w:w="400" w:type="dxa"/>
            <w:vAlign w:val="bottom"/>
            <w:tcBorders>
              <w:top w:val="single" w:sz="8" w:color="auto"/>
              <w:bottom w:val="single" w:sz="8" w:color="auto"/>
            </w:tcBorders>
          </w:tcPr>
          <w:p>
            <w:pPr>
              <w:spacing w:after="0"/>
              <w:rPr>
                <w:sz w:val="22"/>
                <w:szCs w:val="22"/>
                <w:color w:val="auto"/>
              </w:rPr>
            </w:pPr>
          </w:p>
        </w:tc>
        <w:tc>
          <w:tcPr>
            <w:tcW w:w="1240" w:type="dxa"/>
            <w:vAlign w:val="bottom"/>
            <w:tcBorders>
              <w:top w:val="single" w:sz="8" w:color="auto"/>
              <w:bottom w:val="single" w:sz="8" w:color="auto"/>
            </w:tcBorders>
          </w:tcPr>
          <w:p>
            <w:pPr>
              <w:jc w:val="right"/>
              <w:ind w:right="582"/>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auto"/>
            </w:tcBorders>
          </w:tcPr>
          <w:p>
            <w:pPr>
              <w:spacing w:after="0"/>
              <w:rPr>
                <w:sz w:val="22"/>
                <w:szCs w:val="22"/>
                <w:color w:val="auto"/>
              </w:rPr>
            </w:pPr>
          </w:p>
        </w:tc>
        <w:tc>
          <w:tcPr>
            <w:tcW w:w="300" w:type="dxa"/>
            <w:vAlign w:val="bottom"/>
            <w:tcBorders>
              <w:top w:val="single" w:sz="8" w:color="auto"/>
              <w:bottom w:val="single" w:sz="8" w:color="auto"/>
            </w:tcBorders>
          </w:tcPr>
          <w:p>
            <w:pPr>
              <w:spacing w:after="0"/>
              <w:rPr>
                <w:sz w:val="22"/>
                <w:szCs w:val="22"/>
                <w:color w:val="auto"/>
              </w:rPr>
            </w:pPr>
          </w:p>
        </w:tc>
        <w:tc>
          <w:tcPr>
            <w:tcW w:w="1320" w:type="dxa"/>
            <w:vAlign w:val="bottom"/>
            <w:tcBorders>
              <w:top w:val="single" w:sz="8" w:color="auto"/>
              <w:bottom w:val="single" w:sz="8" w:color="auto"/>
            </w:tcBorders>
          </w:tcPr>
          <w:p>
            <w:pPr>
              <w:jc w:val="right"/>
              <w:ind w:right="582"/>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top w:val="single" w:sz="8" w:color="auto"/>
              <w:bottom w:val="single" w:sz="8" w:color="auto"/>
            </w:tcBorders>
          </w:tcPr>
          <w:p>
            <w:pPr>
              <w:spacing w:after="0"/>
              <w:rPr>
                <w:sz w:val="22"/>
                <w:szCs w:val="22"/>
                <w:color w:val="auto"/>
              </w:rPr>
            </w:pPr>
          </w:p>
        </w:tc>
        <w:tc>
          <w:tcPr>
            <w:tcW w:w="380" w:type="dxa"/>
            <w:vAlign w:val="bottom"/>
            <w:tcBorders>
              <w:top w:val="single" w:sz="8" w:color="auto"/>
              <w:bottom w:val="single" w:sz="8" w:color="auto"/>
            </w:tcBorders>
          </w:tcPr>
          <w:p>
            <w:pPr>
              <w:spacing w:after="0"/>
              <w:rPr>
                <w:sz w:val="22"/>
                <w:szCs w:val="22"/>
                <w:color w:val="auto"/>
              </w:rPr>
            </w:pPr>
          </w:p>
        </w:tc>
        <w:tc>
          <w:tcPr>
            <w:tcW w:w="1240" w:type="dxa"/>
            <w:vAlign w:val="bottom"/>
            <w:tcBorders>
              <w:top w:val="single" w:sz="8" w:color="auto"/>
              <w:bottom w:val="single" w:sz="8" w:color="auto"/>
            </w:tcBorders>
          </w:tcPr>
          <w:p>
            <w:pPr>
              <w:jc w:val="right"/>
              <w:ind w:right="580"/>
              <w:spacing w:after="0"/>
              <w:rPr>
                <w:sz w:val="20"/>
                <w:szCs w:val="20"/>
                <w:color w:val="auto"/>
              </w:rPr>
            </w:pPr>
            <w:r>
              <w:rPr>
                <w:rFonts w:ascii="Arial" w:cs="Arial" w:eastAsia="Arial" w:hAnsi="Arial"/>
                <w:sz w:val="14"/>
                <w:szCs w:val="14"/>
                <w:b w:val="1"/>
                <w:bCs w:val="1"/>
                <w:color w:val="auto"/>
              </w:rPr>
              <w:t>2016</w:t>
            </w:r>
          </w:p>
        </w:tc>
        <w:tc>
          <w:tcPr>
            <w:tcW w:w="0" w:type="dxa"/>
            <w:vAlign w:val="bottom"/>
          </w:tcPr>
          <w:p>
            <w:pPr>
              <w:spacing w:after="0"/>
              <w:rPr>
                <w:sz w:val="1"/>
                <w:szCs w:val="1"/>
                <w:color w:val="auto"/>
              </w:rPr>
            </w:pPr>
          </w:p>
        </w:tc>
      </w:tr>
      <w:tr>
        <w:trPr>
          <w:trHeight w:val="250"/>
        </w:trPr>
        <w:tc>
          <w:tcPr>
            <w:tcW w:w="45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3100" w:type="dxa"/>
            <w:vAlign w:val="bottom"/>
            <w:gridSpan w:val="5"/>
          </w:tcPr>
          <w:p>
            <w:pPr>
              <w:ind w:left="640"/>
              <w:spacing w:after="0"/>
              <w:rPr>
                <w:sz w:val="20"/>
                <w:szCs w:val="20"/>
                <w:color w:val="auto"/>
              </w:rPr>
            </w:pPr>
            <w:r>
              <w:rPr>
                <w:rFonts w:ascii="Arial" w:cs="Arial" w:eastAsia="Arial" w:hAnsi="Arial"/>
                <w:sz w:val="14"/>
                <w:szCs w:val="14"/>
                <w:b w:val="1"/>
                <w:bCs w:val="1"/>
                <w:color w:val="auto"/>
              </w:rPr>
              <w:t>(Dollars in millions)</w:t>
            </w:r>
          </w:p>
        </w:tc>
        <w:tc>
          <w:tcPr>
            <w:tcW w:w="38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4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Maximum available quality incentive premium - current period</w:t>
            </w:r>
          </w:p>
        </w:tc>
        <w:tc>
          <w:tcPr>
            <w:tcW w:w="1120" w:type="dxa"/>
            <w:vAlign w:val="bottom"/>
            <w:tcBorders>
              <w:bottom w:val="single" w:sz="8" w:color="auto"/>
            </w:tcBorders>
            <w:shd w:val="clear" w:color="auto" w:fill="CCEEFF"/>
          </w:tcPr>
          <w:p>
            <w:pPr>
              <w:jc w:val="right"/>
              <w:ind w:right="923"/>
              <w:spacing w:after="0"/>
              <w:rPr>
                <w:sz w:val="20"/>
                <w:szCs w:val="20"/>
                <w:color w:val="auto"/>
              </w:rPr>
            </w:pPr>
            <w:r>
              <w:rPr>
                <w:rFonts w:ascii="Arial" w:cs="Arial" w:eastAsia="Arial" w:hAnsi="Arial"/>
                <w:sz w:val="16"/>
                <w:szCs w:val="16"/>
                <w:color w:val="auto"/>
              </w:rPr>
              <w:t>$</w:t>
            </w:r>
          </w:p>
        </w:tc>
        <w:tc>
          <w:tcPr>
            <w:tcW w:w="52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36</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auto"/>
            </w:tcBorders>
            <w:shd w:val="clear" w:color="auto" w:fill="CCEEFF"/>
          </w:tcPr>
          <w:p>
            <w:pPr>
              <w:jc w:val="right"/>
              <w:ind w:right="102"/>
              <w:spacing w:after="0"/>
              <w:rPr>
                <w:sz w:val="20"/>
                <w:szCs w:val="20"/>
                <w:color w:val="auto"/>
              </w:rPr>
            </w:pPr>
            <w:r>
              <w:rPr>
                <w:rFonts w:ascii="Arial" w:cs="Arial" w:eastAsia="Arial" w:hAnsi="Arial"/>
                <w:sz w:val="16"/>
                <w:szCs w:val="16"/>
                <w:color w:val="auto"/>
              </w:rPr>
              <w:t>33</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auto"/>
            </w:tcBorders>
            <w:shd w:val="clear" w:color="auto" w:fill="CCEEFF"/>
          </w:tcPr>
          <w:p>
            <w:pPr>
              <w:jc w:val="right"/>
              <w:ind w:right="102"/>
              <w:spacing w:after="0"/>
              <w:rPr>
                <w:sz w:val="20"/>
                <w:szCs w:val="20"/>
                <w:color w:val="auto"/>
              </w:rPr>
            </w:pPr>
            <w:r>
              <w:rPr>
                <w:rFonts w:ascii="Arial" w:cs="Arial" w:eastAsia="Arial" w:hAnsi="Arial"/>
                <w:sz w:val="16"/>
                <w:szCs w:val="16"/>
                <w:color w:val="auto"/>
              </w:rPr>
              <w:t>113</w:t>
            </w:r>
          </w:p>
        </w:tc>
        <w:tc>
          <w:tcPr>
            <w:tcW w:w="12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auto"/>
            </w:tcBorders>
            <w:shd w:val="clear" w:color="auto" w:fill="CCEEFF"/>
          </w:tcPr>
          <w:p>
            <w:pPr>
              <w:jc w:val="right"/>
              <w:ind w:right="80"/>
              <w:spacing w:after="0"/>
              <w:rPr>
                <w:sz w:val="20"/>
                <w:szCs w:val="20"/>
                <w:color w:val="auto"/>
              </w:rPr>
            </w:pPr>
            <w:r>
              <w:rPr>
                <w:rFonts w:ascii="Arial" w:cs="Arial" w:eastAsia="Arial" w:hAnsi="Arial"/>
                <w:sz w:val="16"/>
                <w:szCs w:val="16"/>
                <w:color w:val="auto"/>
              </w:rPr>
              <w:t>114</w:t>
            </w:r>
          </w:p>
        </w:tc>
        <w:tc>
          <w:tcPr>
            <w:tcW w:w="0" w:type="dxa"/>
            <w:vAlign w:val="bottom"/>
          </w:tcPr>
          <w:p>
            <w:pPr>
              <w:spacing w:after="0"/>
              <w:rPr>
                <w:sz w:val="1"/>
                <w:szCs w:val="1"/>
                <w:color w:val="auto"/>
              </w:rPr>
            </w:pPr>
          </w:p>
        </w:tc>
      </w:tr>
      <w:tr>
        <w:trPr>
          <w:trHeight w:val="20"/>
        </w:trPr>
        <w:tc>
          <w:tcPr>
            <w:tcW w:w="4540" w:type="dxa"/>
            <w:vAlign w:val="bottom"/>
            <w:vMerge w:val="restart"/>
          </w:tcPr>
          <w:p>
            <w:pPr>
              <w:ind w:left="40"/>
              <w:spacing w:after="0"/>
              <w:rPr>
                <w:sz w:val="20"/>
                <w:szCs w:val="20"/>
                <w:color w:val="auto"/>
              </w:rPr>
            </w:pPr>
            <w:r>
              <w:rPr>
                <w:rFonts w:ascii="Arial" w:cs="Arial" w:eastAsia="Arial" w:hAnsi="Arial"/>
                <w:sz w:val="16"/>
                <w:szCs w:val="16"/>
                <w:color w:val="auto"/>
              </w:rPr>
              <w:t>Quality incentive premium revenue recognized in current</w:t>
            </w:r>
          </w:p>
        </w:tc>
        <w:tc>
          <w:tcPr>
            <w:tcW w:w="11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2"/>
        </w:trPr>
        <w:tc>
          <w:tcPr>
            <w:tcW w:w="4540" w:type="dxa"/>
            <w:vAlign w:val="bottom"/>
            <w:vMerge w:val="continue"/>
          </w:tcPr>
          <w:p>
            <w:pPr>
              <w:spacing w:after="0"/>
              <w:rPr>
                <w:sz w:val="13"/>
                <w:szCs w:val="13"/>
                <w:color w:val="auto"/>
              </w:rPr>
            </w:pPr>
          </w:p>
        </w:tc>
        <w:tc>
          <w:tcPr>
            <w:tcW w:w="11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6"/>
        </w:trPr>
        <w:tc>
          <w:tcPr>
            <w:tcW w:w="4540" w:type="dxa"/>
            <w:vAlign w:val="bottom"/>
          </w:tcPr>
          <w:p>
            <w:pPr>
              <w:ind w:left="200"/>
              <w:spacing w:after="0"/>
              <w:rPr>
                <w:sz w:val="20"/>
                <w:szCs w:val="20"/>
                <w:color w:val="auto"/>
              </w:rPr>
            </w:pPr>
            <w:r>
              <w:rPr>
                <w:rFonts w:ascii="Arial" w:cs="Arial" w:eastAsia="Arial" w:hAnsi="Arial"/>
                <w:sz w:val="16"/>
                <w:szCs w:val="16"/>
                <w:color w:val="auto"/>
              </w:rPr>
              <w:t>period:</w:t>
            </w:r>
          </w:p>
        </w:tc>
        <w:tc>
          <w:tcPr>
            <w:tcW w:w="1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8"/>
        </w:trPr>
        <w:tc>
          <w:tcPr>
            <w:tcW w:w="4540" w:type="dxa"/>
            <w:vAlign w:val="bottom"/>
            <w:shd w:val="clear" w:color="auto" w:fill="CCEEFF"/>
          </w:tcPr>
          <w:p>
            <w:pPr>
              <w:ind w:left="180"/>
              <w:spacing w:after="0"/>
              <w:rPr>
                <w:sz w:val="20"/>
                <w:szCs w:val="20"/>
                <w:color w:val="auto"/>
              </w:rPr>
            </w:pPr>
            <w:r>
              <w:rPr>
                <w:rFonts w:ascii="Arial" w:cs="Arial" w:eastAsia="Arial" w:hAnsi="Arial"/>
                <w:sz w:val="16"/>
                <w:szCs w:val="16"/>
                <w:color w:val="auto"/>
              </w:rPr>
              <w:t>Earned current period</w:t>
            </w:r>
          </w:p>
        </w:tc>
        <w:tc>
          <w:tcPr>
            <w:tcW w:w="1120" w:type="dxa"/>
            <w:vAlign w:val="bottom"/>
            <w:shd w:val="clear" w:color="auto" w:fill="CCEEFF"/>
          </w:tcPr>
          <w:p>
            <w:pPr>
              <w:jc w:val="right"/>
              <w:ind w:right="923"/>
              <w:spacing w:after="0"/>
              <w:rPr>
                <w:sz w:val="20"/>
                <w:szCs w:val="20"/>
                <w:color w:val="auto"/>
              </w:rPr>
            </w:pPr>
            <w:r>
              <w:rPr>
                <w:rFonts w:ascii="Arial" w:cs="Arial" w:eastAsia="Arial" w:hAnsi="Arial"/>
                <w:sz w:val="16"/>
                <w:szCs w:val="16"/>
                <w:color w:val="auto"/>
              </w:rPr>
              <w:t>$</w:t>
            </w:r>
          </w:p>
        </w:tc>
        <w:tc>
          <w:tcPr>
            <w:tcW w:w="52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24</w:t>
            </w:r>
          </w:p>
        </w:tc>
        <w:tc>
          <w:tcPr>
            <w:tcW w:w="100" w:type="dxa"/>
            <w:vAlign w:val="bottom"/>
            <w:shd w:val="clear" w:color="auto" w:fill="CCEEFF"/>
          </w:tcPr>
          <w:p>
            <w:pPr>
              <w:spacing w:after="0"/>
              <w:rPr>
                <w:sz w:val="24"/>
                <w:szCs w:val="24"/>
                <w:color w:val="auto"/>
              </w:rPr>
            </w:pPr>
          </w:p>
        </w:tc>
        <w:tc>
          <w:tcPr>
            <w:tcW w:w="40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1240" w:type="dxa"/>
            <w:vAlign w:val="bottom"/>
            <w:shd w:val="clear" w:color="auto" w:fill="CCEEFF"/>
          </w:tcPr>
          <w:p>
            <w:pPr>
              <w:jc w:val="right"/>
              <w:ind w:right="102"/>
              <w:spacing w:after="0"/>
              <w:rPr>
                <w:sz w:val="20"/>
                <w:szCs w:val="20"/>
                <w:color w:val="auto"/>
              </w:rPr>
            </w:pPr>
            <w:r>
              <w:rPr>
                <w:rFonts w:ascii="Arial" w:cs="Arial" w:eastAsia="Arial" w:hAnsi="Arial"/>
                <w:sz w:val="16"/>
                <w:szCs w:val="16"/>
                <w:color w:val="auto"/>
              </w:rPr>
              <w:t>26</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320" w:type="dxa"/>
            <w:vAlign w:val="bottom"/>
            <w:shd w:val="clear" w:color="auto" w:fill="CCEEFF"/>
          </w:tcPr>
          <w:p>
            <w:pPr>
              <w:jc w:val="right"/>
              <w:ind w:right="102"/>
              <w:spacing w:after="0"/>
              <w:rPr>
                <w:sz w:val="20"/>
                <w:szCs w:val="20"/>
                <w:color w:val="auto"/>
              </w:rPr>
            </w:pPr>
            <w:r>
              <w:rPr>
                <w:rFonts w:ascii="Arial" w:cs="Arial" w:eastAsia="Arial" w:hAnsi="Arial"/>
                <w:sz w:val="16"/>
                <w:szCs w:val="16"/>
                <w:color w:val="auto"/>
              </w:rPr>
              <w:t>72</w:t>
            </w:r>
          </w:p>
        </w:tc>
        <w:tc>
          <w:tcPr>
            <w:tcW w:w="120" w:type="dxa"/>
            <w:vAlign w:val="bottom"/>
            <w:shd w:val="clear" w:color="auto" w:fill="CCEEFF"/>
          </w:tcPr>
          <w:p>
            <w:pPr>
              <w:spacing w:after="0"/>
              <w:rPr>
                <w:sz w:val="24"/>
                <w:szCs w:val="24"/>
                <w:color w:val="auto"/>
              </w:rPr>
            </w:pPr>
          </w:p>
        </w:tc>
        <w:tc>
          <w:tcPr>
            <w:tcW w:w="38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240" w:type="dxa"/>
            <w:vAlign w:val="bottom"/>
            <w:shd w:val="clear" w:color="auto" w:fill="CCEEFF"/>
          </w:tcPr>
          <w:p>
            <w:pPr>
              <w:jc w:val="right"/>
              <w:ind w:right="80"/>
              <w:spacing w:after="0"/>
              <w:rPr>
                <w:sz w:val="20"/>
                <w:szCs w:val="20"/>
                <w:color w:val="auto"/>
              </w:rPr>
            </w:pPr>
            <w:r>
              <w:rPr>
                <w:rFonts w:ascii="Arial" w:cs="Arial" w:eastAsia="Arial" w:hAnsi="Arial"/>
                <w:sz w:val="16"/>
                <w:szCs w:val="16"/>
                <w:color w:val="auto"/>
              </w:rPr>
              <w:t>80</w:t>
            </w:r>
          </w:p>
        </w:tc>
        <w:tc>
          <w:tcPr>
            <w:tcW w:w="0" w:type="dxa"/>
            <w:vAlign w:val="bottom"/>
          </w:tcPr>
          <w:p>
            <w:pPr>
              <w:spacing w:after="0"/>
              <w:rPr>
                <w:sz w:val="1"/>
                <w:szCs w:val="1"/>
                <w:color w:val="auto"/>
              </w:rPr>
            </w:pPr>
          </w:p>
        </w:tc>
      </w:tr>
      <w:tr>
        <w:trPr>
          <w:trHeight w:val="264"/>
        </w:trPr>
        <w:tc>
          <w:tcPr>
            <w:tcW w:w="4540" w:type="dxa"/>
            <w:vAlign w:val="bottom"/>
          </w:tcPr>
          <w:p>
            <w:pPr>
              <w:ind w:left="180"/>
              <w:spacing w:after="0"/>
              <w:rPr>
                <w:sz w:val="20"/>
                <w:szCs w:val="20"/>
                <w:color w:val="auto"/>
              </w:rPr>
            </w:pPr>
            <w:r>
              <w:rPr>
                <w:rFonts w:ascii="Arial" w:cs="Arial" w:eastAsia="Arial" w:hAnsi="Arial"/>
                <w:sz w:val="16"/>
                <w:szCs w:val="16"/>
                <w:color w:val="auto"/>
              </w:rPr>
              <w:t>Earned prior periods</w:t>
            </w:r>
          </w:p>
        </w:tc>
        <w:tc>
          <w:tcPr>
            <w:tcW w:w="1120" w:type="dxa"/>
            <w:vAlign w:val="bottom"/>
          </w:tcPr>
          <w:p>
            <w:pPr>
              <w:spacing w:after="0"/>
              <w:rPr>
                <w:sz w:val="22"/>
                <w:szCs w:val="22"/>
                <w:color w:val="auto"/>
              </w:rPr>
            </w:pPr>
          </w:p>
        </w:tc>
        <w:tc>
          <w:tcPr>
            <w:tcW w:w="520" w:type="dxa"/>
            <w:vAlign w:val="bottom"/>
          </w:tcPr>
          <w:p>
            <w:pPr>
              <w:jc w:val="right"/>
              <w:ind w:right="99"/>
              <w:spacing w:after="0"/>
              <w:rPr>
                <w:sz w:val="20"/>
                <w:szCs w:val="20"/>
                <w:color w:val="auto"/>
              </w:rPr>
            </w:pPr>
            <w:r>
              <w:rPr>
                <w:rFonts w:ascii="Arial" w:cs="Arial" w:eastAsia="Arial" w:hAnsi="Arial"/>
                <w:sz w:val="16"/>
                <w:szCs w:val="16"/>
                <w:color w:val="auto"/>
              </w:rPr>
              <w:t>3</w:t>
            </w: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36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22"/>
                <w:szCs w:val="22"/>
                <w:color w:val="auto"/>
              </w:rPr>
            </w:pPr>
          </w:p>
        </w:tc>
        <w:tc>
          <w:tcPr>
            <w:tcW w:w="1320" w:type="dxa"/>
            <w:vAlign w:val="bottom"/>
          </w:tcPr>
          <w:p>
            <w:pPr>
              <w:jc w:val="right"/>
              <w:ind w:right="102"/>
              <w:spacing w:after="0"/>
              <w:rPr>
                <w:sz w:val="20"/>
                <w:szCs w:val="20"/>
                <w:color w:val="auto"/>
              </w:rPr>
            </w:pPr>
            <w:r>
              <w:rPr>
                <w:rFonts w:ascii="Arial" w:cs="Arial" w:eastAsia="Arial" w:hAnsi="Arial"/>
                <w:sz w:val="16"/>
                <w:szCs w:val="16"/>
                <w:color w:val="auto"/>
              </w:rPr>
              <w:t>9</w:t>
            </w:r>
          </w:p>
        </w:tc>
        <w:tc>
          <w:tcPr>
            <w:tcW w:w="1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40" w:type="dxa"/>
            <w:vAlign w:val="bottom"/>
          </w:tcPr>
          <w:p>
            <w:pPr>
              <w:jc w:val="right"/>
              <w:ind w:right="80"/>
              <w:spacing w:after="0"/>
              <w:rPr>
                <w:sz w:val="20"/>
                <w:szCs w:val="20"/>
                <w:color w:val="auto"/>
              </w:rPr>
            </w:pPr>
            <w:r>
              <w:rPr>
                <w:rFonts w:ascii="Arial" w:cs="Arial" w:eastAsia="Arial" w:hAnsi="Arial"/>
                <w:sz w:val="16"/>
                <w:szCs w:val="16"/>
                <w:color w:val="auto"/>
              </w:rPr>
              <w:t>54</w:t>
            </w:r>
          </w:p>
        </w:tc>
        <w:tc>
          <w:tcPr>
            <w:tcW w:w="0" w:type="dxa"/>
            <w:vAlign w:val="bottom"/>
          </w:tcPr>
          <w:p>
            <w:pPr>
              <w:spacing w:after="0"/>
              <w:rPr>
                <w:sz w:val="1"/>
                <w:szCs w:val="1"/>
                <w:color w:val="auto"/>
              </w:rPr>
            </w:pPr>
          </w:p>
        </w:tc>
      </w:tr>
      <w:tr>
        <w:trPr>
          <w:trHeight w:val="242"/>
        </w:trPr>
        <w:tc>
          <w:tcPr>
            <w:tcW w:w="4540" w:type="dxa"/>
            <w:vAlign w:val="bottom"/>
            <w:tcBorders>
              <w:top w:val="single" w:sz="8" w:color="CCEEFF"/>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Total</w:t>
            </w:r>
          </w:p>
        </w:tc>
        <w:tc>
          <w:tcPr>
            <w:tcW w:w="1120" w:type="dxa"/>
            <w:vAlign w:val="bottom"/>
            <w:tcBorders>
              <w:top w:val="single" w:sz="8" w:color="auto"/>
              <w:bottom w:val="single" w:sz="8" w:color="auto"/>
            </w:tcBorders>
            <w:shd w:val="clear" w:color="auto" w:fill="CCEEFF"/>
          </w:tcPr>
          <w:p>
            <w:pPr>
              <w:jc w:val="right"/>
              <w:ind w:right="923"/>
              <w:spacing w:after="0"/>
              <w:rPr>
                <w:sz w:val="20"/>
                <w:szCs w:val="20"/>
                <w:color w:val="auto"/>
              </w:rPr>
            </w:pPr>
            <w:r>
              <w:rPr>
                <w:rFonts w:ascii="Arial" w:cs="Arial" w:eastAsia="Arial" w:hAnsi="Arial"/>
                <w:sz w:val="16"/>
                <w:szCs w:val="16"/>
                <w:color w:val="auto"/>
              </w:rPr>
              <w:t>$</w:t>
            </w:r>
          </w:p>
        </w:tc>
        <w:tc>
          <w:tcPr>
            <w:tcW w:w="520" w:type="dxa"/>
            <w:vAlign w:val="bottom"/>
            <w:tcBorders>
              <w:top w:val="single" w:sz="8" w:color="auto"/>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27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400" w:type="dxa"/>
            <w:vAlign w:val="bottom"/>
            <w:tcBorders>
              <w:top w:val="single" w:sz="8" w:color="auto"/>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1240" w:type="dxa"/>
            <w:vAlign w:val="bottom"/>
            <w:tcBorders>
              <w:top w:val="single" w:sz="8" w:color="auto"/>
              <w:bottom w:val="single" w:sz="8" w:color="auto"/>
            </w:tcBorders>
            <w:shd w:val="clear" w:color="auto" w:fill="CCEEFF"/>
          </w:tcPr>
          <w:p>
            <w:pPr>
              <w:jc w:val="right"/>
              <w:ind w:right="102"/>
              <w:spacing w:after="0"/>
              <w:rPr>
                <w:sz w:val="20"/>
                <w:szCs w:val="20"/>
                <w:color w:val="auto"/>
              </w:rPr>
            </w:pPr>
            <w:r>
              <w:rPr>
                <w:rFonts w:ascii="Arial" w:cs="Arial" w:eastAsia="Arial" w:hAnsi="Arial"/>
                <w:sz w:val="16"/>
                <w:szCs w:val="16"/>
                <w:color w:val="auto"/>
              </w:rPr>
              <w:t>26</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320" w:type="dxa"/>
            <w:vAlign w:val="bottom"/>
            <w:tcBorders>
              <w:top w:val="single" w:sz="8" w:color="auto"/>
              <w:bottom w:val="single" w:sz="8" w:color="auto"/>
            </w:tcBorders>
            <w:shd w:val="clear" w:color="auto" w:fill="CCEEFF"/>
          </w:tcPr>
          <w:p>
            <w:pPr>
              <w:jc w:val="right"/>
              <w:ind w:right="102"/>
              <w:spacing w:after="0"/>
              <w:rPr>
                <w:sz w:val="20"/>
                <w:szCs w:val="20"/>
                <w:color w:val="auto"/>
              </w:rPr>
            </w:pPr>
            <w:r>
              <w:rPr>
                <w:rFonts w:ascii="Arial" w:cs="Arial" w:eastAsia="Arial" w:hAnsi="Arial"/>
                <w:sz w:val="16"/>
                <w:szCs w:val="16"/>
                <w:color w:val="auto"/>
              </w:rPr>
              <w:t>81</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80" w:type="dxa"/>
            <w:vAlign w:val="bottom"/>
            <w:tcBorders>
              <w:top w:val="single" w:sz="8" w:color="auto"/>
              <w:bottom w:val="single" w:sz="8" w:color="auto"/>
            </w:tcBorders>
            <w:shd w:val="clear" w:color="auto" w:fill="CCEEFF"/>
          </w:tcPr>
          <w:p>
            <w:pPr>
              <w:spacing w:after="0"/>
              <w:rPr>
                <w:sz w:val="21"/>
                <w:szCs w:val="21"/>
                <w:color w:val="auto"/>
              </w:rPr>
            </w:pPr>
          </w:p>
        </w:tc>
        <w:tc>
          <w:tcPr>
            <w:tcW w:w="1240" w:type="dxa"/>
            <w:vAlign w:val="bottom"/>
            <w:tcBorders>
              <w:top w:val="single" w:sz="8" w:color="auto"/>
              <w:bottom w:val="single" w:sz="8" w:color="auto"/>
            </w:tcBorders>
            <w:shd w:val="clear" w:color="auto" w:fill="CCEEFF"/>
          </w:tcPr>
          <w:p>
            <w:pPr>
              <w:jc w:val="right"/>
              <w:ind w:right="80"/>
              <w:spacing w:after="0"/>
              <w:rPr>
                <w:sz w:val="20"/>
                <w:szCs w:val="20"/>
                <w:color w:val="auto"/>
              </w:rPr>
            </w:pPr>
            <w:r>
              <w:rPr>
                <w:rFonts w:ascii="Arial" w:cs="Arial" w:eastAsia="Arial" w:hAnsi="Arial"/>
                <w:sz w:val="16"/>
                <w:szCs w:val="16"/>
                <w:color w:val="auto"/>
              </w:rPr>
              <w:t>134</w:t>
            </w:r>
          </w:p>
        </w:tc>
        <w:tc>
          <w:tcPr>
            <w:tcW w:w="0" w:type="dxa"/>
            <w:vAlign w:val="bottom"/>
          </w:tcPr>
          <w:p>
            <w:pPr>
              <w:spacing w:after="0"/>
              <w:rPr>
                <w:sz w:val="1"/>
                <w:szCs w:val="1"/>
                <w:color w:val="auto"/>
              </w:rPr>
            </w:pPr>
          </w:p>
        </w:tc>
      </w:tr>
      <w:tr>
        <w:trPr>
          <w:trHeight w:val="20"/>
        </w:trPr>
        <w:tc>
          <w:tcPr>
            <w:tcW w:w="454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4540" w:type="dxa"/>
            <w:vAlign w:val="bottom"/>
          </w:tcPr>
          <w:p>
            <w:pPr>
              <w:spacing w:after="0"/>
              <w:rPr>
                <w:sz w:val="8"/>
                <w:szCs w:val="8"/>
                <w:color w:val="auto"/>
              </w:rPr>
            </w:pPr>
          </w:p>
        </w:tc>
        <w:tc>
          <w:tcPr>
            <w:tcW w:w="112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1240" w:type="dxa"/>
            <w:vAlign w:val="bottom"/>
          </w:tcPr>
          <w:p>
            <w:pPr>
              <w:spacing w:after="0"/>
              <w:rPr>
                <w:sz w:val="8"/>
                <w:szCs w:val="8"/>
                <w:color w:val="auto"/>
              </w:rPr>
            </w:pPr>
          </w:p>
        </w:tc>
        <w:tc>
          <w:tcPr>
            <w:tcW w:w="120" w:type="dxa"/>
            <w:vAlign w:val="bottom"/>
          </w:tcPr>
          <w:p>
            <w:pPr>
              <w:spacing w:after="0"/>
              <w:rPr>
                <w:sz w:val="8"/>
                <w:szCs w:val="8"/>
                <w:color w:val="auto"/>
              </w:rPr>
            </w:pPr>
          </w:p>
        </w:tc>
        <w:tc>
          <w:tcPr>
            <w:tcW w:w="300" w:type="dxa"/>
            <w:vAlign w:val="bottom"/>
          </w:tcPr>
          <w:p>
            <w:pPr>
              <w:spacing w:after="0"/>
              <w:rPr>
                <w:sz w:val="8"/>
                <w:szCs w:val="8"/>
                <w:color w:val="auto"/>
              </w:rPr>
            </w:pPr>
          </w:p>
        </w:tc>
        <w:tc>
          <w:tcPr>
            <w:tcW w:w="1320" w:type="dxa"/>
            <w:vAlign w:val="bottom"/>
          </w:tcPr>
          <w:p>
            <w:pPr>
              <w:spacing w:after="0"/>
              <w:rPr>
                <w:sz w:val="8"/>
                <w:szCs w:val="8"/>
                <w:color w:val="auto"/>
              </w:rPr>
            </w:pPr>
          </w:p>
        </w:tc>
        <w:tc>
          <w:tcPr>
            <w:tcW w:w="120" w:type="dxa"/>
            <w:vAlign w:val="bottom"/>
          </w:tcPr>
          <w:p>
            <w:pPr>
              <w:spacing w:after="0"/>
              <w:rPr>
                <w:sz w:val="8"/>
                <w:szCs w:val="8"/>
                <w:color w:val="auto"/>
              </w:rPr>
            </w:pPr>
          </w:p>
        </w:tc>
        <w:tc>
          <w:tcPr>
            <w:tcW w:w="380" w:type="dxa"/>
            <w:vAlign w:val="bottom"/>
          </w:tcPr>
          <w:p>
            <w:pPr>
              <w:spacing w:after="0"/>
              <w:rPr>
                <w:sz w:val="8"/>
                <w:szCs w:val="8"/>
                <w:color w:val="auto"/>
              </w:rPr>
            </w:pPr>
          </w:p>
        </w:tc>
        <w:tc>
          <w:tcPr>
            <w:tcW w:w="12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98"/>
        </w:trPr>
        <w:tc>
          <w:tcPr>
            <w:tcW w:w="4540" w:type="dxa"/>
            <w:vAlign w:val="bottom"/>
            <w:shd w:val="clear" w:color="auto" w:fill="CCEEFF"/>
          </w:tcPr>
          <w:p>
            <w:pPr>
              <w:ind w:left="40"/>
              <w:spacing w:after="0"/>
              <w:rPr>
                <w:sz w:val="20"/>
                <w:szCs w:val="20"/>
                <w:color w:val="auto"/>
              </w:rPr>
            </w:pPr>
            <w:r>
              <w:rPr>
                <w:rFonts w:ascii="Arial" w:cs="Arial" w:eastAsia="Arial" w:hAnsi="Arial"/>
                <w:sz w:val="16"/>
                <w:szCs w:val="16"/>
                <w:color w:val="auto"/>
              </w:rPr>
              <w:t>Quality incentive premium revenue recognized as a</w:t>
            </w:r>
          </w:p>
        </w:tc>
        <w:tc>
          <w:tcPr>
            <w:tcW w:w="1120" w:type="dxa"/>
            <w:vAlign w:val="bottom"/>
            <w:shd w:val="clear" w:color="auto" w:fill="CCEEFF"/>
          </w:tcPr>
          <w:p>
            <w:pPr>
              <w:spacing w:after="0"/>
              <w:rPr>
                <w:sz w:val="17"/>
                <w:szCs w:val="17"/>
                <w:color w:val="auto"/>
              </w:rPr>
            </w:pPr>
          </w:p>
        </w:tc>
        <w:tc>
          <w:tcPr>
            <w:tcW w:w="5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0.6%</w:t>
            </w: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2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0.6%</w:t>
            </w: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3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0.6%</w:t>
            </w:r>
          </w:p>
        </w:tc>
        <w:tc>
          <w:tcPr>
            <w:tcW w:w="1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1.1%</w:t>
            </w:r>
          </w:p>
        </w:tc>
        <w:tc>
          <w:tcPr>
            <w:tcW w:w="0" w:type="dxa"/>
            <w:vAlign w:val="bottom"/>
          </w:tcPr>
          <w:p>
            <w:pPr>
              <w:spacing w:after="0"/>
              <w:rPr>
                <w:sz w:val="1"/>
                <w:szCs w:val="1"/>
                <w:color w:val="auto"/>
              </w:rPr>
            </w:pPr>
          </w:p>
        </w:tc>
      </w:tr>
      <w:tr>
        <w:trPr>
          <w:trHeight w:val="220"/>
        </w:trPr>
        <w:tc>
          <w:tcPr>
            <w:tcW w:w="45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percentage of total premium revenue</w:t>
            </w:r>
          </w:p>
        </w:tc>
        <w:tc>
          <w:tcPr>
            <w:tcW w:w="112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54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225" w:lineRule="exact"/>
        <w:rPr>
          <w:sz w:val="20"/>
          <w:szCs w:val="20"/>
          <w:color w:val="auto"/>
        </w:rPr>
      </w:pPr>
    </w:p>
    <w:p>
      <w:pPr>
        <w:ind w:right="420"/>
        <w:spacing w:after="0" w:line="264" w:lineRule="auto"/>
        <w:rPr>
          <w:sz w:val="20"/>
          <w:szCs w:val="20"/>
          <w:color w:val="auto"/>
        </w:rPr>
      </w:pPr>
      <w:r>
        <w:rPr>
          <w:rFonts w:ascii="Arial" w:cs="Arial" w:eastAsia="Arial" w:hAnsi="Arial"/>
          <w:sz w:val="18"/>
          <w:szCs w:val="18"/>
          <w:color w:val="auto"/>
        </w:rPr>
        <w:t>The provision for income taxes is determined using an estimated annual effective tax rate, which generally differs from the U.S. federal statutory rate primarily because of state taxes, nondeductible expenses such as the Health Insurer Fee (HIF), goodwill impairment, certain compensation, and other general and administrative expenses. The effective tax rate was not impacted by HIF in 2017 given the 2017 HIF moratorium.</w:t>
      </w:r>
    </w:p>
    <w:p>
      <w:pPr>
        <w:spacing w:after="0" w:line="170" w:lineRule="exact"/>
        <w:rPr>
          <w:sz w:val="20"/>
          <w:szCs w:val="20"/>
          <w:color w:val="auto"/>
        </w:rPr>
      </w:pPr>
    </w:p>
    <w:p>
      <w:pPr>
        <w:spacing w:after="0" w:line="258" w:lineRule="auto"/>
        <w:rPr>
          <w:sz w:val="20"/>
          <w:szCs w:val="20"/>
          <w:color w:val="auto"/>
        </w:rPr>
      </w:pPr>
      <w:r>
        <w:rPr>
          <w:rFonts w:ascii="Arial" w:cs="Arial" w:eastAsia="Arial" w:hAnsi="Arial"/>
          <w:sz w:val="18"/>
          <w:szCs w:val="18"/>
          <w:color w:val="auto"/>
        </w:rPr>
        <w:t>The effective tax rate may be subject to fluctuations during the year, particularly as a result of the level of pretax earnings, and also as new information is obtained. Such information may affect the assumptions used to estimate the annual effective tax rate, including factors such as the mix of pretax earnings in the various tax jurisdictions in which we operate, valuation allowances against deferred tax assets, the recognition or the reversal of the recognition of tax benefits related to uncertain tax positions, and changes in or the interpretation of tax laws in jurisdictions where we conduct business. We recognize deferred tax assets and liabilities for temporary differences between the financial reporting basis and the tax basis of our assets and liabilities, along with net operating loss and tax credit carryovers.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Premium Deficiency Reserves on Loss Contracts</w:t>
      </w:r>
    </w:p>
    <w:p>
      <w:pPr>
        <w:spacing w:after="0" w:line="225"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We assess the profitability of our medical care policies to identify groups of contracts where current operating results or forecasts indicate probable future losses. If anticipated future variable costs exceed anticipated future premiums and investment income, a premium deficiency reserve is recognized. We assume a full-year CSR reconciliation (see further information below) in the premium deficiency reserve calculation for the Marketplace program. We recorded a premium deficiency reserve to “Medical claims and benefits payable” on our accompanying consolidated balance sheets relating to our Marketplace program of $30 million as of December 31, 2016, which increased to $100 million as of June 30, 2017, and then decreased to $70 million as of September 30, 2017. If a nine-month CSR reconciliation had been included in the computation rather than a full year, the premium deficiency reserve would have increased by $55 million, to $125 million as of September 30, 2017. The theoretical $55 million increase to the premium deficiency reserve is less than the potential fourth quarter 2017 impact described below, or $85 million, because such adjustment only recognizes the potential CSR impact to the extent it would have created a deficiency in premiums at September 30, 2017.</w:t>
      </w:r>
    </w:p>
    <w:p>
      <w:pPr>
        <w:spacing w:after="0" w:line="31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Molina Healthcare, Inc. 2017 Form 10-Q | 10</w:t>
      </w:r>
    </w:p>
    <w:p>
      <w:pPr>
        <w:sectPr>
          <w:pgSz w:w="11900" w:h="16838" w:orient="portrait"/>
          <w:cols w:equalWidth="0" w:num="1">
            <w:col w:w="11420"/>
          </w:cols>
          <w:pgMar w:left="240" w:top="115" w:right="239" w:bottom="1440" w:gutter="0" w:footer="0" w:header="0"/>
        </w:sectPr>
      </w:pPr>
    </w:p>
    <w:bookmarkStart w:id="10" w:name="page11"/>
    <w:bookmarkEnd w:id="1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6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Marketplace Cost Share Reduction (CSR) Update</w:t>
      </w:r>
    </w:p>
    <w:p>
      <w:pPr>
        <w:spacing w:after="0" w:line="225" w:lineRule="exact"/>
        <w:rPr>
          <w:sz w:val="20"/>
          <w:szCs w:val="20"/>
          <w:color w:val="auto"/>
        </w:rPr>
      </w:pPr>
    </w:p>
    <w:p>
      <w:pPr>
        <w:ind w:right="40"/>
        <w:spacing w:after="0" w:line="260" w:lineRule="auto"/>
        <w:rPr>
          <w:sz w:val="20"/>
          <w:szCs w:val="20"/>
          <w:color w:val="auto"/>
        </w:rPr>
      </w:pPr>
      <w:r>
        <w:rPr>
          <w:rFonts w:ascii="Arial" w:cs="Arial" w:eastAsia="Arial" w:hAnsi="Arial"/>
          <w:sz w:val="18"/>
          <w:szCs w:val="18"/>
          <w:color w:val="auto"/>
        </w:rPr>
        <w:t>Our third quarter results do not include any potential impact from the October 12, 2017, direction to Centers for Medicare and Medicaid Services (CMS) from Acting Department of Health and Human Services Secretary Hargan to cease payment of Marketplace CSR subsidies. At September 30, 2017, we had a total of approximately $220 million in excess CSR subsidies, recorded as a payable to CMS. This payable represents the extent to which payments received by us from CMS exceeded our estimate of the actual cost of member subsidies incurred by us through September 30, 2017.</w:t>
      </w:r>
    </w:p>
    <w:p>
      <w:pPr>
        <w:spacing w:after="0" w:line="175"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We expect to incur approximately $85 million in unreimbursed expense associated with the cessation of CSR subsidies in the fourth quarter of 2017. It has been the practice of CMS to perform a reconciliation on an annual basis of CSR subsidies paid to all health plans against the actual costs incurred by the health plans. Were such a reconciliation to be performed for the full calendar year of 2017—consistent with past practice—we would be able to offset nearly all of the $85 million expense incurred in the fourth quarter against the excess amounts received prior to September 30, 2017. However, should CMS transition to a nine month reconciliation period ending September 30, 2017—the last month for which CSR subsidies have been paid—the absence of CSR subsidy reimbursement would reduce income before income tax expense by approximately $85 million in the fourth quarter of 2017.</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225" w:lineRule="exact"/>
        <w:rPr>
          <w:sz w:val="20"/>
          <w:szCs w:val="20"/>
          <w:color w:val="auto"/>
        </w:rPr>
      </w:pPr>
    </w:p>
    <w:p>
      <w:pPr>
        <w:ind w:right="100"/>
        <w:spacing w:after="0" w:line="279" w:lineRule="auto"/>
        <w:rPr>
          <w:sz w:val="20"/>
          <w:szCs w:val="20"/>
          <w:color w:val="auto"/>
        </w:rPr>
      </w:pPr>
      <w:r>
        <w:rPr>
          <w:rFonts w:ascii="Arial" w:cs="Arial" w:eastAsia="Arial" w:hAnsi="Arial"/>
          <w:sz w:val="17"/>
          <w:szCs w:val="17"/>
          <w:i w:val="1"/>
          <w:iCs w:val="1"/>
          <w:color w:val="auto"/>
        </w:rPr>
        <w:t xml:space="preserve">Goodwill Impairment. </w:t>
      </w:r>
      <w:r>
        <w:rPr>
          <w:rFonts w:ascii="Arial" w:cs="Arial" w:eastAsia="Arial" w:hAnsi="Arial"/>
          <w:sz w:val="17"/>
          <w:szCs w:val="17"/>
          <w:color w:val="auto"/>
        </w:rPr>
        <w:t xml:space="preserve">In January 2017, the Financial Accounting Standards Board (FASB) issued Accounting Standards Update (ASU) 2017-04, </w:t>
      </w:r>
      <w:r>
        <w:rPr>
          <w:rFonts w:ascii="Arial" w:cs="Arial" w:eastAsia="Arial" w:hAnsi="Arial"/>
          <w:sz w:val="17"/>
          <w:szCs w:val="17"/>
          <w:i w:val="1"/>
          <w:iCs w:val="1"/>
          <w:color w:val="auto"/>
        </w:rPr>
        <w:t>Simplifying the Test for Goodwill Impairment</w:t>
      </w:r>
      <w:r>
        <w:rPr>
          <w:rFonts w:ascii="Arial" w:cs="Arial" w:eastAsia="Arial" w:hAnsi="Arial"/>
          <w:sz w:val="17"/>
          <w:szCs w:val="17"/>
          <w:color w:val="auto"/>
        </w:rPr>
        <w:t>, which eliminates the requirement to calculate the implied fair value of goodwill to measure a goodwill impairment loss. Instead, an impairment loss is measured as the excess of the carrying amount of the reporting unit, including goodwill, over the fair value of the reporting unit. ASU 2017-04 is effective beginning January 1, 2020; we early adopted ASU 2017-04 as of June 30, 2017, in connection with the interim assessment of our Pathways subsidiary. See further discussion at Note 10, “Impairment Losses.”</w:t>
      </w:r>
    </w:p>
    <w:p>
      <w:pPr>
        <w:spacing w:after="0" w:line="160" w:lineRule="exact"/>
        <w:rPr>
          <w:sz w:val="20"/>
          <w:szCs w:val="20"/>
          <w:color w:val="auto"/>
        </w:rPr>
      </w:pPr>
    </w:p>
    <w:p>
      <w:pPr>
        <w:ind w:right="220"/>
        <w:spacing w:after="0" w:line="258" w:lineRule="auto"/>
        <w:rPr>
          <w:sz w:val="20"/>
          <w:szCs w:val="20"/>
          <w:color w:val="auto"/>
        </w:rPr>
      </w:pPr>
      <w:r>
        <w:rPr>
          <w:rFonts w:ascii="Arial" w:cs="Arial" w:eastAsia="Arial" w:hAnsi="Arial"/>
          <w:sz w:val="18"/>
          <w:szCs w:val="18"/>
          <w:i w:val="1"/>
          <w:iCs w:val="1"/>
          <w:color w:val="auto"/>
        </w:rPr>
        <w:t xml:space="preserve">Restricted Cash. </w:t>
      </w:r>
      <w:r>
        <w:rPr>
          <w:rFonts w:ascii="Arial" w:cs="Arial" w:eastAsia="Arial" w:hAnsi="Arial"/>
          <w:sz w:val="18"/>
          <w:szCs w:val="18"/>
          <w:color w:val="auto"/>
        </w:rPr>
        <w:t>In November 2016, the FASB issued ASU 2016-18,</w:t>
      </w:r>
      <w:r>
        <w:rPr>
          <w:rFonts w:ascii="Arial" w:cs="Arial" w:eastAsia="Arial" w:hAnsi="Arial"/>
          <w:sz w:val="18"/>
          <w:szCs w:val="18"/>
          <w:i w:val="1"/>
          <w:iCs w:val="1"/>
          <w:color w:val="auto"/>
        </w:rPr>
        <w:t xml:space="preserve"> Restricted Cash, </w:t>
      </w:r>
      <w:r>
        <w:rPr>
          <w:rFonts w:ascii="Arial" w:cs="Arial" w:eastAsia="Arial" w:hAnsi="Arial"/>
          <w:sz w:val="18"/>
          <w:szCs w:val="18"/>
          <w:color w:val="auto"/>
        </w:rPr>
        <w:t>which will require us to include in our consolidated</w:t>
      </w:r>
      <w:r>
        <w:rPr>
          <w:rFonts w:ascii="Arial" w:cs="Arial" w:eastAsia="Arial" w:hAnsi="Arial"/>
          <w:sz w:val="18"/>
          <w:szCs w:val="18"/>
          <w:i w:val="1"/>
          <w:iCs w:val="1"/>
          <w:color w:val="auto"/>
        </w:rPr>
        <w:t xml:space="preserve"> </w:t>
      </w:r>
      <w:r>
        <w:rPr>
          <w:rFonts w:ascii="Arial" w:cs="Arial" w:eastAsia="Arial" w:hAnsi="Arial"/>
          <w:sz w:val="18"/>
          <w:szCs w:val="18"/>
          <w:color w:val="auto"/>
        </w:rPr>
        <w:t>statements of cash flows the balances of cash, cash equivalents, restricted cash and restricted cash equivalents. When these items are presented in more than one line item on the balance sheet, the new guidance requires a reconciliation of the totals in the statement of cash flows to the related captions in the balance sheet. Transfers between cash and cash equivalents and restricted cash and restricted cash equivalents will no longer be presented in the statement of cash flows. ASU 2016-18 is effective beginning January 1, 2018; early adoption is permitted. We are currently evaluating the changes that will be required in our consolidated statements of cash flows.</w:t>
      </w:r>
    </w:p>
    <w:p>
      <w:pPr>
        <w:spacing w:after="0" w:line="178" w:lineRule="exact"/>
        <w:rPr>
          <w:sz w:val="20"/>
          <w:szCs w:val="20"/>
          <w:color w:val="auto"/>
        </w:rPr>
      </w:pPr>
    </w:p>
    <w:p>
      <w:pPr>
        <w:ind w:right="60"/>
        <w:spacing w:after="0" w:line="260" w:lineRule="auto"/>
        <w:rPr>
          <w:sz w:val="20"/>
          <w:szCs w:val="20"/>
          <w:color w:val="auto"/>
        </w:rPr>
      </w:pPr>
      <w:r>
        <w:rPr>
          <w:rFonts w:ascii="Arial" w:cs="Arial" w:eastAsia="Arial" w:hAnsi="Arial"/>
          <w:sz w:val="18"/>
          <w:szCs w:val="18"/>
          <w:i w:val="1"/>
          <w:iCs w:val="1"/>
          <w:color w:val="auto"/>
        </w:rPr>
        <w:t xml:space="preserve">Stock Compensation. </w:t>
      </w:r>
      <w:r>
        <w:rPr>
          <w:rFonts w:ascii="Arial" w:cs="Arial" w:eastAsia="Arial" w:hAnsi="Arial"/>
          <w:sz w:val="18"/>
          <w:szCs w:val="18"/>
          <w:color w:val="auto"/>
        </w:rPr>
        <w:t>In March 2016, the FASB issued ASU 2016-09,</w:t>
      </w:r>
      <w:r>
        <w:rPr>
          <w:rFonts w:ascii="Arial" w:cs="Arial" w:eastAsia="Arial" w:hAnsi="Arial"/>
          <w:sz w:val="18"/>
          <w:szCs w:val="18"/>
          <w:i w:val="1"/>
          <w:iCs w:val="1"/>
          <w:color w:val="auto"/>
        </w:rPr>
        <w:t xml:space="preserve"> Improvements to Employee Share -Based Payment Accounting</w:t>
      </w:r>
      <w:r>
        <w:rPr>
          <w:rFonts w:ascii="Arial" w:cs="Arial" w:eastAsia="Arial" w:hAnsi="Arial"/>
          <w:sz w:val="18"/>
          <w:szCs w:val="18"/>
          <w:color w:val="auto"/>
        </w:rPr>
        <w:t>, which</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amends ASC Topic 718, </w:t>
      </w:r>
      <w:r>
        <w:rPr>
          <w:rFonts w:ascii="Arial" w:cs="Arial" w:eastAsia="Arial" w:hAnsi="Arial"/>
          <w:sz w:val="18"/>
          <w:szCs w:val="18"/>
          <w:i w:val="1"/>
          <w:iCs w:val="1"/>
          <w:color w:val="auto"/>
        </w:rPr>
        <w:t>Compensation – Stock Compensation</w:t>
      </w:r>
      <w:r>
        <w:rPr>
          <w:rFonts w:ascii="Arial" w:cs="Arial" w:eastAsia="Arial" w:hAnsi="Arial"/>
          <w:sz w:val="18"/>
          <w:szCs w:val="18"/>
          <w:color w:val="auto"/>
        </w:rPr>
        <w:t>. ASU 2016-09 simplifies several aspects of accounting for employee share-based payment transactions, including the accounting for income taxes, forfeitures, statutory tax and classification in the statement of cash flows. We adopted ASU 2016-09 in the first quarter of 2017; such adoption did not significantly impact our consolidated financial statements. In addition, the prior period presentation in the statement of cash flows was not adjusted because such adjustments were insignificant.</w:t>
      </w:r>
    </w:p>
    <w:p>
      <w:pPr>
        <w:spacing w:after="0" w:line="175"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i w:val="1"/>
          <w:iCs w:val="1"/>
          <w:color w:val="auto"/>
        </w:rPr>
        <w:t xml:space="preserve">Leases. </w:t>
      </w:r>
      <w:r>
        <w:rPr>
          <w:rFonts w:ascii="Arial" w:cs="Arial" w:eastAsia="Arial" w:hAnsi="Arial"/>
          <w:sz w:val="18"/>
          <w:szCs w:val="18"/>
          <w:color w:val="auto"/>
        </w:rPr>
        <w:t>In February 2016, the FASB issued ASU 2016-02,</w:t>
      </w:r>
      <w:r>
        <w:rPr>
          <w:rFonts w:ascii="Arial" w:cs="Arial" w:eastAsia="Arial" w:hAnsi="Arial"/>
          <w:sz w:val="18"/>
          <w:szCs w:val="18"/>
          <w:i w:val="1"/>
          <w:iCs w:val="1"/>
          <w:color w:val="auto"/>
        </w:rPr>
        <w:t xml:space="preserve"> Leases (Topic 842), </w:t>
      </w:r>
      <w:r>
        <w:rPr>
          <w:rFonts w:ascii="Arial" w:cs="Arial" w:eastAsia="Arial" w:hAnsi="Arial"/>
          <w:sz w:val="18"/>
          <w:szCs w:val="18"/>
          <w:color w:val="auto"/>
        </w:rPr>
        <w:t>as modified by ASU 2017-03,</w:t>
      </w:r>
      <w:r>
        <w:rPr>
          <w:rFonts w:ascii="Arial" w:cs="Arial" w:eastAsia="Arial" w:hAnsi="Arial"/>
          <w:sz w:val="18"/>
          <w:szCs w:val="18"/>
          <w:i w:val="1"/>
          <w:iCs w:val="1"/>
          <w:color w:val="auto"/>
        </w:rPr>
        <w:t xml:space="preserve"> Transition and Open Effective Date Information</w:t>
      </w:r>
      <w:r>
        <w:rPr>
          <w:rFonts w:ascii="Arial" w:cs="Arial" w:eastAsia="Arial" w:hAnsi="Arial"/>
          <w:sz w:val="18"/>
          <w:szCs w:val="18"/>
          <w:color w:val="auto"/>
        </w:rPr>
        <w:t>. Under ASU 2016-02, an entity will be required to recognize assets and liabilities for the rights and obligations created by</w:t>
      </w:r>
      <w:r>
        <w:rPr>
          <w:rFonts w:ascii="Arial" w:cs="Arial" w:eastAsia="Arial" w:hAnsi="Arial"/>
          <w:sz w:val="18"/>
          <w:szCs w:val="18"/>
          <w:i w:val="1"/>
          <w:iCs w:val="1"/>
          <w:color w:val="auto"/>
        </w:rPr>
        <w:t xml:space="preserve"> </w:t>
      </w:r>
      <w:r>
        <w:rPr>
          <w:rFonts w:ascii="Arial" w:cs="Arial" w:eastAsia="Arial" w:hAnsi="Arial"/>
          <w:sz w:val="18"/>
          <w:szCs w:val="18"/>
          <w:color w:val="auto"/>
        </w:rPr>
        <w:t>leases on the entity’s balance sheet for both finance and operating leases. For leases with a term of 12 months or less, an entity can elect to not recognize lease assets and lease liabilities and expense the lease over a straight-line basis for the term of the lease. ASU 2016-02 will require new disclosures that depict the amount, timing, and uncertainty of cash flows pertaining to an entity’s leases. ASU 2016-02 is effective for us beginning January 1, 2019, and must be adopted using a modified retrospective approach for annual and interim periods beginning after December 15, 2018. Early adoption is permitted. Under this guidance, we will record assets and liabilities relating primarily to our long-term office leases. We are evaluating the effect to our consolidated financial statements.</w:t>
      </w:r>
    </w:p>
    <w:p>
      <w:pPr>
        <w:spacing w:after="0" w:line="178" w:lineRule="exact"/>
        <w:rPr>
          <w:sz w:val="20"/>
          <w:szCs w:val="20"/>
          <w:color w:val="auto"/>
        </w:rPr>
      </w:pPr>
    </w:p>
    <w:p>
      <w:pPr>
        <w:ind w:right="20"/>
        <w:spacing w:after="0" w:line="271" w:lineRule="auto"/>
        <w:rPr>
          <w:sz w:val="20"/>
          <w:szCs w:val="20"/>
          <w:color w:val="auto"/>
        </w:rPr>
      </w:pPr>
      <w:r>
        <w:rPr>
          <w:rFonts w:ascii="Arial" w:cs="Arial" w:eastAsia="Arial" w:hAnsi="Arial"/>
          <w:sz w:val="18"/>
          <w:szCs w:val="18"/>
          <w:i w:val="1"/>
          <w:iCs w:val="1"/>
          <w:color w:val="auto"/>
        </w:rPr>
        <w:t xml:space="preserve">Revenue Recognition. </w:t>
      </w:r>
      <w:r>
        <w:rPr>
          <w:rFonts w:ascii="Arial" w:cs="Arial" w:eastAsia="Arial" w:hAnsi="Arial"/>
          <w:sz w:val="18"/>
          <w:szCs w:val="18"/>
          <w:color w:val="auto"/>
        </w:rPr>
        <w:t>In May 2014, the FASB issued ASU 2014-09,</w:t>
      </w:r>
      <w:r>
        <w:rPr>
          <w:rFonts w:ascii="Arial" w:cs="Arial" w:eastAsia="Arial" w:hAnsi="Arial"/>
          <w:sz w:val="18"/>
          <w:szCs w:val="18"/>
          <w:i w:val="1"/>
          <w:iCs w:val="1"/>
          <w:color w:val="auto"/>
        </w:rPr>
        <w:t xml:space="preserve"> Revenue from Contracts with Customers (Topic 606). </w:t>
      </w:r>
      <w:r>
        <w:rPr>
          <w:rFonts w:ascii="Arial" w:cs="Arial" w:eastAsia="Arial" w:hAnsi="Arial"/>
          <w:sz w:val="18"/>
          <w:szCs w:val="18"/>
          <w:color w:val="auto"/>
        </w:rPr>
        <w:t>We intend to adopt</w:t>
      </w:r>
      <w:r>
        <w:rPr>
          <w:rFonts w:ascii="Arial" w:cs="Arial" w:eastAsia="Arial" w:hAnsi="Arial"/>
          <w:sz w:val="18"/>
          <w:szCs w:val="18"/>
          <w:i w:val="1"/>
          <w:iCs w:val="1"/>
          <w:color w:val="auto"/>
        </w:rPr>
        <w:t xml:space="preserve"> </w:t>
      </w:r>
      <w:r>
        <w:rPr>
          <w:rFonts w:ascii="Arial" w:cs="Arial" w:eastAsia="Arial" w:hAnsi="Arial"/>
          <w:sz w:val="18"/>
          <w:szCs w:val="18"/>
          <w:color w:val="auto"/>
        </w:rPr>
        <w:t>this standard and the related modifications on January 1, 2018, using the modified retrospective approach. Under this approach, the cumulative effect of initially applying the guidance will be reflected as an adjustment to beginning retained earnings.</w:t>
      </w:r>
    </w:p>
    <w:p>
      <w:pPr>
        <w:spacing w:after="0" w:line="29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Molina Healthcare, Inc. 2017 Form 10-Q | 11</w:t>
      </w:r>
    </w:p>
    <w:p>
      <w:pPr>
        <w:sectPr>
          <w:pgSz w:w="11900" w:h="16838" w:orient="portrait"/>
          <w:cols w:equalWidth="0" w:num="1">
            <w:col w:w="11420"/>
          </w:cols>
          <w:pgMar w:left="240" w:top="116" w:right="239" w:bottom="1440" w:gutter="0" w:footer="0" w:header="0"/>
        </w:sectPr>
      </w:pPr>
    </w:p>
    <w:bookmarkStart w:id="11" w:name="page12"/>
    <w:bookmarkEnd w:id="1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61" w:lineRule="exact"/>
        <w:rPr>
          <w:sz w:val="20"/>
          <w:szCs w:val="20"/>
          <w:color w:val="auto"/>
        </w:rPr>
      </w:pPr>
    </w:p>
    <w:p>
      <w:pPr>
        <w:jc w:val="both"/>
        <w:ind w:right="140"/>
        <w:spacing w:after="0" w:line="271" w:lineRule="auto"/>
        <w:rPr>
          <w:sz w:val="20"/>
          <w:szCs w:val="20"/>
          <w:color w:val="auto"/>
        </w:rPr>
      </w:pPr>
      <w:r>
        <w:rPr>
          <w:rFonts w:ascii="Arial" w:cs="Arial" w:eastAsia="Arial" w:hAnsi="Arial"/>
          <w:sz w:val="18"/>
          <w:szCs w:val="18"/>
          <w:color w:val="auto"/>
        </w:rPr>
        <w:t>We have determined that the insurance contracts of our Health Plans segment, which segment constitutes the vast majority of our operations, are excluded from the scope of Topic 606 because the recognition of revenue under these contracts is dictated by other accounting standards governing insurance contracts.</w:t>
      </w:r>
    </w:p>
    <w:p>
      <w:pPr>
        <w:spacing w:after="0" w:line="163"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For our Molina Medicaid Solutions segment, we have reevaluated our earlier assessment and determined that revenue for contracts that include design, development and implementation of Medicaid managed care systems shall be deferred until the system ‘go-live’ date, and then generally recognized on a straight-line basis over the hosting period. This approach is consistent with the FASB/IASB Joint Transition Resource Group for Revenue Recognition view for entities that provide software as a service solution, and similar to our historical revenue recognition methodology. We are continuing to evaluate the existence of customers’ rights with regard to renewal options and whether such rights may constitute separate performance obligations. We expect that cost of service revenue will generally be recognized in a manner consistent with the corresponding revenue recognition.</w:t>
      </w:r>
    </w:p>
    <w:p>
      <w:pPr>
        <w:spacing w:after="0" w:line="177" w:lineRule="exact"/>
        <w:rPr>
          <w:sz w:val="20"/>
          <w:szCs w:val="20"/>
          <w:color w:val="auto"/>
        </w:rPr>
      </w:pPr>
    </w:p>
    <w:p>
      <w:pPr>
        <w:ind w:right="740"/>
        <w:spacing w:after="0" w:line="292" w:lineRule="auto"/>
        <w:rPr>
          <w:sz w:val="20"/>
          <w:szCs w:val="20"/>
          <w:color w:val="auto"/>
        </w:rPr>
      </w:pPr>
      <w:r>
        <w:rPr>
          <w:rFonts w:ascii="Arial" w:cs="Arial" w:eastAsia="Arial" w:hAnsi="Arial"/>
          <w:sz w:val="18"/>
          <w:szCs w:val="18"/>
          <w:color w:val="auto"/>
        </w:rPr>
        <w:t>We believe the cumulative adjustment to retained earnings associated with the adoption of Topic 606 effective January 1, 2018, will be insignificant for both our Molina Medicaid Solutions and Other segments.</w:t>
      </w:r>
    </w:p>
    <w:p>
      <w:pPr>
        <w:spacing w:after="0" w:line="145" w:lineRule="exact"/>
        <w:rPr>
          <w:sz w:val="20"/>
          <w:szCs w:val="20"/>
          <w:color w:val="auto"/>
        </w:rPr>
      </w:pPr>
    </w:p>
    <w:p>
      <w:pPr>
        <w:ind w:right="280"/>
        <w:spacing w:after="0" w:line="271" w:lineRule="auto"/>
        <w:rPr>
          <w:sz w:val="20"/>
          <w:szCs w:val="20"/>
          <w:color w:val="auto"/>
        </w:rPr>
      </w:pPr>
      <w:r>
        <w:rPr>
          <w:rFonts w:ascii="Arial" w:cs="Arial" w:eastAsia="Arial" w:hAnsi="Arial"/>
          <w:sz w:val="18"/>
          <w:szCs w:val="18"/>
          <w:color w:val="auto"/>
        </w:rPr>
        <w:t>Other recent accounting pronouncements issued by the FASB (including its Emerging Issues Task Force), the American Institute of Certified Public Accountants, and the Securities and Exchange Commission (SEC) did not have, or are not believed by management to have, a significant impact on our present or future consolidated financial statements.</w:t>
      </w:r>
    </w:p>
    <w:p>
      <w:pPr>
        <w:spacing w:after="0" w:line="252" w:lineRule="exact"/>
        <w:rPr>
          <w:sz w:val="20"/>
          <w:szCs w:val="20"/>
          <w:color w:val="auto"/>
        </w:rPr>
      </w:pPr>
    </w:p>
    <w:p>
      <w:pPr>
        <w:spacing w:after="0"/>
        <w:rPr>
          <w:sz w:val="20"/>
          <w:szCs w:val="20"/>
          <w:color w:val="auto"/>
        </w:rPr>
      </w:pPr>
      <w:r>
        <w:rPr>
          <w:rFonts w:ascii="Arial" w:cs="Arial" w:eastAsia="Arial" w:hAnsi="Arial"/>
          <w:sz w:val="32"/>
          <w:szCs w:val="32"/>
          <w:b w:val="1"/>
          <w:bCs w:val="1"/>
          <w:color w:val="ACACAC"/>
        </w:rPr>
        <w:t>3. Net (Loss) Income per Share</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the calculation of basic and diluted net (loss) income per share:</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700" w:type="dxa"/>
            <w:vAlign w:val="bottom"/>
          </w:tcPr>
          <w:p>
            <w:pPr>
              <w:spacing w:after="0"/>
              <w:rPr>
                <w:sz w:val="17"/>
                <w:szCs w:val="17"/>
                <w:color w:val="auto"/>
              </w:rPr>
            </w:pPr>
          </w:p>
        </w:tc>
        <w:tc>
          <w:tcPr>
            <w:tcW w:w="3420" w:type="dxa"/>
            <w:vAlign w:val="bottom"/>
            <w:gridSpan w:val="6"/>
          </w:tcPr>
          <w:p>
            <w:pPr>
              <w:ind w:left="440"/>
              <w:spacing w:after="0"/>
              <w:rPr>
                <w:sz w:val="20"/>
                <w:szCs w:val="20"/>
                <w:color w:val="auto"/>
              </w:rPr>
            </w:pPr>
            <w:r>
              <w:rPr>
                <w:rFonts w:ascii="Arial" w:cs="Arial" w:eastAsia="Arial" w:hAnsi="Arial"/>
                <w:sz w:val="14"/>
                <w:szCs w:val="14"/>
                <w:b w:val="1"/>
                <w:bCs w:val="1"/>
                <w:color w:val="auto"/>
              </w:rPr>
              <w:t>Three Months Ended September 30,</w:t>
            </w:r>
          </w:p>
        </w:tc>
        <w:tc>
          <w:tcPr>
            <w:tcW w:w="300" w:type="dxa"/>
            <w:vAlign w:val="bottom"/>
          </w:tcPr>
          <w:p>
            <w:pPr>
              <w:spacing w:after="0"/>
              <w:rPr>
                <w:sz w:val="17"/>
                <w:szCs w:val="17"/>
                <w:color w:val="auto"/>
              </w:rPr>
            </w:pPr>
          </w:p>
        </w:tc>
        <w:tc>
          <w:tcPr>
            <w:tcW w:w="3000" w:type="dxa"/>
            <w:vAlign w:val="bottom"/>
            <w:gridSpan w:val="4"/>
          </w:tcPr>
          <w:p>
            <w:pPr>
              <w:jc w:val="right"/>
              <w:ind w:right="380"/>
              <w:spacing w:after="0"/>
              <w:rPr>
                <w:sz w:val="20"/>
                <w:szCs w:val="20"/>
                <w:color w:val="auto"/>
              </w:rPr>
            </w:pPr>
            <w:r>
              <w:rPr>
                <w:rFonts w:ascii="Arial" w:cs="Arial" w:eastAsia="Arial" w:hAnsi="Arial"/>
                <w:sz w:val="14"/>
                <w:szCs w:val="14"/>
                <w:b w:val="1"/>
                <w:bCs w:val="1"/>
                <w:color w:val="auto"/>
              </w:rPr>
              <w:t>Nine Months Ended September 30,</w:t>
            </w:r>
          </w:p>
        </w:tc>
      </w:tr>
      <w:tr>
        <w:trPr>
          <w:trHeight w:val="264"/>
        </w:trPr>
        <w:tc>
          <w:tcPr>
            <w:tcW w:w="4700" w:type="dxa"/>
            <w:vAlign w:val="bottom"/>
          </w:tcPr>
          <w:p>
            <w:pPr>
              <w:spacing w:after="0"/>
              <w:rPr>
                <w:sz w:val="22"/>
                <w:szCs w:val="22"/>
                <w:color w:val="auto"/>
              </w:rPr>
            </w:pPr>
          </w:p>
        </w:tc>
        <w:tc>
          <w:tcPr>
            <w:tcW w:w="1060" w:type="dxa"/>
            <w:vAlign w:val="bottom"/>
            <w:tcBorders>
              <w:top w:val="single" w:sz="8" w:color="auto"/>
              <w:bottom w:val="single" w:sz="8" w:color="auto"/>
            </w:tcBorders>
          </w:tcPr>
          <w:p>
            <w:pPr>
              <w:jc w:val="right"/>
              <w:ind w:right="23"/>
              <w:spacing w:after="0"/>
              <w:rPr>
                <w:sz w:val="20"/>
                <w:szCs w:val="20"/>
                <w:color w:val="auto"/>
              </w:rPr>
            </w:pPr>
            <w:r>
              <w:rPr>
                <w:rFonts w:ascii="Arial" w:cs="Arial" w:eastAsia="Arial" w:hAnsi="Arial"/>
                <w:sz w:val="14"/>
                <w:szCs w:val="14"/>
                <w:b w:val="1"/>
                <w:bCs w:val="1"/>
                <w:color w:val="auto"/>
              </w:rPr>
              <w:t>2017</w:t>
            </w:r>
          </w:p>
        </w:tc>
        <w:tc>
          <w:tcPr>
            <w:tcW w:w="560" w:type="dxa"/>
            <w:vAlign w:val="bottom"/>
            <w:tcBorders>
              <w:top w:val="single" w:sz="8" w:color="auto"/>
              <w:bottom w:val="single" w:sz="8" w:color="auto"/>
            </w:tcBorders>
          </w:tcPr>
          <w:p>
            <w:pPr>
              <w:spacing w:after="0"/>
              <w:rPr>
                <w:sz w:val="22"/>
                <w:szCs w:val="22"/>
                <w:color w:val="auto"/>
              </w:rPr>
            </w:pPr>
          </w:p>
        </w:tc>
        <w:tc>
          <w:tcPr>
            <w:tcW w:w="100" w:type="dxa"/>
            <w:vAlign w:val="bottom"/>
            <w:tcBorders>
              <w:top w:val="single" w:sz="8" w:color="auto"/>
              <w:bottom w:val="single" w:sz="8" w:color="auto"/>
            </w:tcBorders>
          </w:tcPr>
          <w:p>
            <w:pPr>
              <w:spacing w:after="0"/>
              <w:rPr>
                <w:sz w:val="22"/>
                <w:szCs w:val="22"/>
                <w:color w:val="auto"/>
              </w:rPr>
            </w:pPr>
          </w:p>
        </w:tc>
        <w:tc>
          <w:tcPr>
            <w:tcW w:w="180" w:type="dxa"/>
            <w:vAlign w:val="bottom"/>
            <w:tcBorders>
              <w:top w:val="single" w:sz="8" w:color="auto"/>
              <w:bottom w:val="single" w:sz="8" w:color="auto"/>
            </w:tcBorders>
          </w:tcPr>
          <w:p>
            <w:pPr>
              <w:spacing w:after="0"/>
              <w:rPr>
                <w:sz w:val="22"/>
                <w:szCs w:val="22"/>
                <w:color w:val="auto"/>
              </w:rPr>
            </w:pPr>
          </w:p>
        </w:tc>
        <w:tc>
          <w:tcPr>
            <w:tcW w:w="1420" w:type="dxa"/>
            <w:vAlign w:val="bottom"/>
            <w:tcBorders>
              <w:top w:val="single" w:sz="8" w:color="auto"/>
              <w:bottom w:val="single" w:sz="8" w:color="auto"/>
            </w:tcBorders>
          </w:tcPr>
          <w:p>
            <w:pPr>
              <w:jc w:val="right"/>
              <w:ind w:right="561"/>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auto"/>
            </w:tcBorders>
          </w:tcPr>
          <w:p>
            <w:pPr>
              <w:spacing w:after="0"/>
              <w:rPr>
                <w:sz w:val="22"/>
                <w:szCs w:val="22"/>
                <w:color w:val="auto"/>
              </w:rPr>
            </w:pPr>
          </w:p>
        </w:tc>
        <w:tc>
          <w:tcPr>
            <w:tcW w:w="300" w:type="dxa"/>
            <w:vAlign w:val="bottom"/>
            <w:tcBorders>
              <w:top w:val="single" w:sz="8" w:color="auto"/>
              <w:bottom w:val="single" w:sz="8" w:color="auto"/>
            </w:tcBorders>
          </w:tcPr>
          <w:p>
            <w:pPr>
              <w:spacing w:after="0"/>
              <w:rPr>
                <w:sz w:val="22"/>
                <w:szCs w:val="22"/>
                <w:color w:val="auto"/>
              </w:rPr>
            </w:pPr>
          </w:p>
        </w:tc>
        <w:tc>
          <w:tcPr>
            <w:tcW w:w="1300" w:type="dxa"/>
            <w:vAlign w:val="bottom"/>
            <w:tcBorders>
              <w:top w:val="single" w:sz="8" w:color="auto"/>
              <w:bottom w:val="single" w:sz="8" w:color="auto"/>
            </w:tcBorders>
          </w:tcPr>
          <w:p>
            <w:pPr>
              <w:jc w:val="right"/>
              <w:ind w:right="561"/>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top w:val="single" w:sz="8" w:color="auto"/>
              <w:bottom w:val="single" w:sz="8" w:color="auto"/>
            </w:tcBorders>
          </w:tcPr>
          <w:p>
            <w:pPr>
              <w:spacing w:after="0"/>
              <w:rPr>
                <w:sz w:val="22"/>
                <w:szCs w:val="22"/>
                <w:color w:val="auto"/>
              </w:rPr>
            </w:pPr>
          </w:p>
        </w:tc>
        <w:tc>
          <w:tcPr>
            <w:tcW w:w="380" w:type="dxa"/>
            <w:vAlign w:val="bottom"/>
            <w:tcBorders>
              <w:top w:val="single" w:sz="8" w:color="auto"/>
              <w:bottom w:val="single" w:sz="8" w:color="auto"/>
            </w:tcBorders>
          </w:tcPr>
          <w:p>
            <w:pPr>
              <w:spacing w:after="0"/>
              <w:rPr>
                <w:sz w:val="22"/>
                <w:szCs w:val="22"/>
                <w:color w:val="auto"/>
              </w:rPr>
            </w:pPr>
          </w:p>
        </w:tc>
        <w:tc>
          <w:tcPr>
            <w:tcW w:w="1220" w:type="dxa"/>
            <w:vAlign w:val="bottom"/>
            <w:tcBorders>
              <w:top w:val="single" w:sz="8" w:color="auto"/>
              <w:bottom w:val="single" w:sz="8" w:color="auto"/>
            </w:tcBorders>
          </w:tcPr>
          <w:p>
            <w:pPr>
              <w:jc w:val="right"/>
              <w:ind w:right="560"/>
              <w:spacing w:after="0"/>
              <w:rPr>
                <w:sz w:val="20"/>
                <w:szCs w:val="20"/>
                <w:color w:val="auto"/>
              </w:rPr>
            </w:pPr>
            <w:r>
              <w:rPr>
                <w:rFonts w:ascii="Arial" w:cs="Arial" w:eastAsia="Arial" w:hAnsi="Arial"/>
                <w:sz w:val="14"/>
                <w:szCs w:val="14"/>
                <w:b w:val="1"/>
                <w:bCs w:val="1"/>
                <w:color w:val="auto"/>
              </w:rPr>
              <w:t>2016</w:t>
            </w:r>
          </w:p>
        </w:tc>
      </w:tr>
      <w:tr>
        <w:trPr>
          <w:trHeight w:val="210"/>
        </w:trPr>
        <w:tc>
          <w:tcPr>
            <w:tcW w:w="47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220" w:type="dxa"/>
            <w:vAlign w:val="bottom"/>
            <w:gridSpan w:val="5"/>
          </w:tcPr>
          <w:p>
            <w:pPr>
              <w:ind w:left="60"/>
              <w:spacing w:after="0"/>
              <w:rPr>
                <w:sz w:val="20"/>
                <w:szCs w:val="20"/>
                <w:color w:val="auto"/>
              </w:rPr>
            </w:pPr>
            <w:r>
              <w:rPr>
                <w:rFonts w:ascii="Arial" w:cs="Arial" w:eastAsia="Arial" w:hAnsi="Arial"/>
                <w:sz w:val="14"/>
                <w:szCs w:val="14"/>
                <w:b w:val="1"/>
                <w:bCs w:val="1"/>
                <w:color w:val="auto"/>
              </w:rPr>
              <w:t>(In millions, except net income per share)</w:t>
            </w:r>
          </w:p>
        </w:tc>
        <w:tc>
          <w:tcPr>
            <w:tcW w:w="38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71"/>
        </w:trPr>
        <w:tc>
          <w:tcPr>
            <w:tcW w:w="4700" w:type="dxa"/>
            <w:vAlign w:val="bottom"/>
            <w:shd w:val="clear" w:color="auto" w:fill="CCEEFF"/>
          </w:tcPr>
          <w:p>
            <w:pPr>
              <w:ind w:left="40"/>
              <w:spacing w:after="0"/>
              <w:rPr>
                <w:sz w:val="20"/>
                <w:szCs w:val="20"/>
                <w:color w:val="auto"/>
              </w:rPr>
            </w:pPr>
            <w:r>
              <w:rPr>
                <w:rFonts w:ascii="Arial" w:cs="Arial" w:eastAsia="Arial" w:hAnsi="Arial"/>
                <w:sz w:val="16"/>
                <w:szCs w:val="16"/>
                <w:b w:val="1"/>
                <w:bCs w:val="1"/>
                <w:i w:val="1"/>
                <w:iCs w:val="1"/>
                <w:color w:val="auto"/>
              </w:rPr>
              <w:t>Numerator:</w:t>
            </w:r>
          </w:p>
        </w:tc>
        <w:tc>
          <w:tcPr>
            <w:tcW w:w="1060" w:type="dxa"/>
            <w:vAlign w:val="bottom"/>
            <w:shd w:val="clear" w:color="auto" w:fill="CCEEFF"/>
          </w:tcPr>
          <w:p>
            <w:pPr>
              <w:spacing w:after="0"/>
              <w:rPr>
                <w:sz w:val="23"/>
                <w:szCs w:val="23"/>
                <w:color w:val="auto"/>
              </w:rPr>
            </w:pPr>
          </w:p>
        </w:tc>
        <w:tc>
          <w:tcPr>
            <w:tcW w:w="5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4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3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220" w:type="dxa"/>
            <w:vAlign w:val="bottom"/>
            <w:shd w:val="clear" w:color="auto" w:fill="CCEEFF"/>
          </w:tcPr>
          <w:p>
            <w:pPr>
              <w:spacing w:after="0"/>
              <w:rPr>
                <w:sz w:val="23"/>
                <w:szCs w:val="23"/>
                <w:color w:val="auto"/>
              </w:rPr>
            </w:pPr>
          </w:p>
        </w:tc>
      </w:tr>
      <w:tr>
        <w:trPr>
          <w:trHeight w:val="296"/>
        </w:trPr>
        <w:tc>
          <w:tcPr>
            <w:tcW w:w="470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Net (loss) income</w:t>
            </w:r>
          </w:p>
        </w:tc>
        <w:tc>
          <w:tcPr>
            <w:tcW w:w="1060" w:type="dxa"/>
            <w:vAlign w:val="bottom"/>
            <w:tcBorders>
              <w:bottom w:val="single" w:sz="8" w:color="auto"/>
            </w:tcBorders>
          </w:tcPr>
          <w:p>
            <w:pPr>
              <w:jc w:val="right"/>
              <w:ind w:right="863"/>
              <w:spacing w:after="0"/>
              <w:rPr>
                <w:sz w:val="20"/>
                <w:szCs w:val="20"/>
                <w:color w:val="auto"/>
              </w:rPr>
            </w:pPr>
            <w:r>
              <w:rPr>
                <w:rFonts w:ascii="Arial" w:cs="Arial" w:eastAsia="Arial" w:hAnsi="Arial"/>
                <w:sz w:val="16"/>
                <w:szCs w:val="16"/>
                <w:color w:val="auto"/>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(97)</w:t>
            </w:r>
          </w:p>
        </w:tc>
        <w:tc>
          <w:tcPr>
            <w:tcW w:w="10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42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42</w:t>
            </w:r>
          </w:p>
        </w:tc>
        <w:tc>
          <w:tcPr>
            <w:tcW w:w="100" w:type="dxa"/>
            <w:vAlign w:val="bottom"/>
            <w:tcBorders>
              <w:bottom w:val="single" w:sz="8" w:color="CCEEFF"/>
            </w:tcBorders>
          </w:tcPr>
          <w:p>
            <w:pPr>
              <w:spacing w:after="0"/>
              <w:rPr>
                <w:sz w:val="24"/>
                <w:szCs w:val="24"/>
                <w:color w:val="auto"/>
              </w:rPr>
            </w:pPr>
          </w:p>
        </w:tc>
        <w:tc>
          <w:tcPr>
            <w:tcW w:w="3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(250)</w:t>
            </w:r>
          </w:p>
        </w:tc>
        <w:tc>
          <w:tcPr>
            <w:tcW w:w="100" w:type="dxa"/>
            <w:vAlign w:val="bottom"/>
            <w:tcBorders>
              <w:bottom w:val="single" w:sz="8" w:color="CCEEFF"/>
            </w:tcBorders>
          </w:tcPr>
          <w:p>
            <w:pPr>
              <w:spacing w:after="0"/>
              <w:rPr>
                <w:sz w:val="24"/>
                <w:szCs w:val="24"/>
                <w:color w:val="auto"/>
              </w:rPr>
            </w:pPr>
          </w:p>
        </w:tc>
        <w:tc>
          <w:tcPr>
            <w:tcW w:w="38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99</w:t>
            </w:r>
          </w:p>
        </w:tc>
      </w:tr>
      <w:tr>
        <w:trPr>
          <w:trHeight w:val="252"/>
        </w:trPr>
        <w:tc>
          <w:tcPr>
            <w:tcW w:w="4700" w:type="dxa"/>
            <w:vAlign w:val="bottom"/>
            <w:shd w:val="clear" w:color="auto" w:fill="CCEEFF"/>
          </w:tcPr>
          <w:p>
            <w:pPr>
              <w:ind w:left="40"/>
              <w:spacing w:after="0"/>
              <w:rPr>
                <w:sz w:val="20"/>
                <w:szCs w:val="20"/>
                <w:color w:val="auto"/>
              </w:rPr>
            </w:pPr>
            <w:r>
              <w:rPr>
                <w:rFonts w:ascii="Arial" w:cs="Arial" w:eastAsia="Arial" w:hAnsi="Arial"/>
                <w:sz w:val="16"/>
                <w:szCs w:val="16"/>
                <w:b w:val="1"/>
                <w:bCs w:val="1"/>
                <w:i w:val="1"/>
                <w:iCs w:val="1"/>
                <w:color w:val="auto"/>
              </w:rPr>
              <w:t>Denominator:</w:t>
            </w:r>
          </w:p>
        </w:tc>
        <w:tc>
          <w:tcPr>
            <w:tcW w:w="1060" w:type="dxa"/>
            <w:vAlign w:val="bottom"/>
            <w:shd w:val="clear" w:color="auto" w:fill="CCEEFF"/>
          </w:tcPr>
          <w:p>
            <w:pPr>
              <w:spacing w:after="0"/>
              <w:rPr>
                <w:sz w:val="21"/>
                <w:szCs w:val="21"/>
                <w:color w:val="auto"/>
              </w:rPr>
            </w:pPr>
          </w:p>
        </w:tc>
        <w:tc>
          <w:tcPr>
            <w:tcW w:w="5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4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3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220" w:type="dxa"/>
            <w:vAlign w:val="bottom"/>
            <w:shd w:val="clear" w:color="auto" w:fill="CCEEFF"/>
          </w:tcPr>
          <w:p>
            <w:pPr>
              <w:spacing w:after="0"/>
              <w:rPr>
                <w:sz w:val="21"/>
                <w:szCs w:val="21"/>
                <w:color w:val="auto"/>
              </w:rPr>
            </w:pPr>
          </w:p>
        </w:tc>
      </w:tr>
      <w:tr>
        <w:trPr>
          <w:trHeight w:val="262"/>
        </w:trPr>
        <w:tc>
          <w:tcPr>
            <w:tcW w:w="4700" w:type="dxa"/>
            <w:vAlign w:val="bottom"/>
          </w:tcPr>
          <w:p>
            <w:pPr>
              <w:ind w:left="40"/>
              <w:spacing w:after="0"/>
              <w:rPr>
                <w:sz w:val="20"/>
                <w:szCs w:val="20"/>
                <w:color w:val="auto"/>
              </w:rPr>
            </w:pPr>
            <w:r>
              <w:rPr>
                <w:rFonts w:ascii="Arial" w:cs="Arial" w:eastAsia="Arial" w:hAnsi="Arial"/>
                <w:sz w:val="16"/>
                <w:szCs w:val="16"/>
                <w:color w:val="auto"/>
              </w:rPr>
              <w:t>Denominator for basic net (loss) income per share</w:t>
            </w:r>
          </w:p>
        </w:tc>
        <w:tc>
          <w:tcPr>
            <w:tcW w:w="1060" w:type="dxa"/>
            <w:vAlign w:val="bottom"/>
          </w:tcPr>
          <w:p>
            <w:pPr>
              <w:spacing w:after="0"/>
              <w:rPr>
                <w:sz w:val="22"/>
                <w:szCs w:val="22"/>
                <w:color w:val="auto"/>
              </w:rPr>
            </w:pPr>
          </w:p>
        </w:tc>
        <w:tc>
          <w:tcPr>
            <w:tcW w:w="560" w:type="dxa"/>
            <w:vAlign w:val="bottom"/>
          </w:tcPr>
          <w:p>
            <w:pPr>
              <w:jc w:val="right"/>
              <w:ind w:right="39"/>
              <w:spacing w:after="0"/>
              <w:rPr>
                <w:sz w:val="20"/>
                <w:szCs w:val="20"/>
                <w:color w:val="auto"/>
              </w:rPr>
            </w:pPr>
            <w:r>
              <w:rPr>
                <w:rFonts w:ascii="Arial" w:cs="Arial" w:eastAsia="Arial" w:hAnsi="Arial"/>
                <w:sz w:val="16"/>
                <w:szCs w:val="16"/>
                <w:color w:val="auto"/>
              </w:rPr>
              <w:t>57</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420" w:type="dxa"/>
            <w:vAlign w:val="bottom"/>
          </w:tcPr>
          <w:p>
            <w:pPr>
              <w:jc w:val="right"/>
              <w:ind w:right="41"/>
              <w:spacing w:after="0"/>
              <w:rPr>
                <w:sz w:val="20"/>
                <w:szCs w:val="20"/>
                <w:color w:val="auto"/>
              </w:rPr>
            </w:pPr>
            <w:r>
              <w:rPr>
                <w:rFonts w:ascii="Arial" w:cs="Arial" w:eastAsia="Arial" w:hAnsi="Arial"/>
                <w:sz w:val="16"/>
                <w:szCs w:val="16"/>
                <w:color w:val="auto"/>
              </w:rPr>
              <w:t>56</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300" w:type="dxa"/>
            <w:vAlign w:val="bottom"/>
          </w:tcPr>
          <w:p>
            <w:pPr>
              <w:jc w:val="right"/>
              <w:ind w:right="21"/>
              <w:spacing w:after="0"/>
              <w:rPr>
                <w:sz w:val="20"/>
                <w:szCs w:val="20"/>
                <w:color w:val="auto"/>
              </w:rPr>
            </w:pPr>
            <w:r>
              <w:rPr>
                <w:rFonts w:ascii="Arial" w:cs="Arial" w:eastAsia="Arial" w:hAnsi="Arial"/>
                <w:sz w:val="16"/>
                <w:szCs w:val="16"/>
                <w:color w:val="auto"/>
              </w:rPr>
              <w:t>56</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20" w:type="dxa"/>
            <w:vAlign w:val="bottom"/>
          </w:tcPr>
          <w:p>
            <w:pPr>
              <w:jc w:val="right"/>
              <w:ind w:right="20"/>
              <w:spacing w:after="0"/>
              <w:rPr>
                <w:sz w:val="20"/>
                <w:szCs w:val="20"/>
                <w:color w:val="auto"/>
              </w:rPr>
            </w:pPr>
            <w:r>
              <w:rPr>
                <w:rFonts w:ascii="Arial" w:cs="Arial" w:eastAsia="Arial" w:hAnsi="Arial"/>
                <w:sz w:val="16"/>
                <w:szCs w:val="16"/>
                <w:color w:val="auto"/>
              </w:rPr>
              <w:t>55</w:t>
            </w:r>
          </w:p>
        </w:tc>
      </w:tr>
      <w:tr>
        <w:trPr>
          <w:trHeight w:val="278"/>
        </w:trPr>
        <w:tc>
          <w:tcPr>
            <w:tcW w:w="4700" w:type="dxa"/>
            <w:vAlign w:val="bottom"/>
            <w:shd w:val="clear" w:color="auto" w:fill="CCEEFF"/>
          </w:tcPr>
          <w:p>
            <w:pPr>
              <w:ind w:left="40"/>
              <w:spacing w:after="0"/>
              <w:rPr>
                <w:sz w:val="20"/>
                <w:szCs w:val="20"/>
                <w:color w:val="auto"/>
              </w:rPr>
            </w:pPr>
            <w:r>
              <w:rPr>
                <w:rFonts w:ascii="Arial" w:cs="Arial" w:eastAsia="Arial" w:hAnsi="Arial"/>
                <w:sz w:val="16"/>
                <w:szCs w:val="16"/>
                <w:color w:val="auto"/>
              </w:rPr>
              <w:t>Effect of dilutive securities:</w:t>
            </w:r>
          </w:p>
        </w:tc>
        <w:tc>
          <w:tcPr>
            <w:tcW w:w="1060" w:type="dxa"/>
            <w:vAlign w:val="bottom"/>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4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3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r>
      <w:tr>
        <w:trPr>
          <w:trHeight w:val="270"/>
        </w:trPr>
        <w:tc>
          <w:tcPr>
            <w:tcW w:w="4700" w:type="dxa"/>
            <w:vAlign w:val="bottom"/>
          </w:tcPr>
          <w:p>
            <w:pPr>
              <w:ind w:left="180"/>
              <w:spacing w:after="0"/>
              <w:rPr>
                <w:sz w:val="20"/>
                <w:szCs w:val="20"/>
                <w:color w:val="auto"/>
              </w:rPr>
            </w:pPr>
            <w:r>
              <w:rPr>
                <w:rFonts w:ascii="Arial" w:cs="Arial" w:eastAsia="Arial" w:hAnsi="Arial"/>
                <w:sz w:val="16"/>
                <w:szCs w:val="16"/>
                <w:color w:val="auto"/>
              </w:rPr>
              <w:t xml:space="preserve">1.125% Warrants </w:t>
            </w:r>
            <w:r>
              <w:rPr>
                <w:rFonts w:ascii="Arial" w:cs="Arial" w:eastAsia="Arial" w:hAnsi="Arial"/>
                <w:sz w:val="21"/>
                <w:szCs w:val="21"/>
                <w:color w:val="auto"/>
                <w:vertAlign w:val="superscript"/>
              </w:rPr>
              <w:t>(1)</w:t>
            </w:r>
          </w:p>
        </w:tc>
        <w:tc>
          <w:tcPr>
            <w:tcW w:w="1060" w:type="dxa"/>
            <w:vAlign w:val="bottom"/>
          </w:tcPr>
          <w:p>
            <w:pPr>
              <w:spacing w:after="0"/>
              <w:rPr>
                <w:sz w:val="23"/>
                <w:szCs w:val="23"/>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3"/>
                <w:szCs w:val="23"/>
                <w:color w:val="auto"/>
              </w:rPr>
            </w:pPr>
          </w:p>
        </w:tc>
        <w:tc>
          <w:tcPr>
            <w:tcW w:w="15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23"/>
                <w:szCs w:val="23"/>
                <w:color w:val="auto"/>
              </w:rPr>
            </w:pPr>
          </w:p>
        </w:tc>
        <w:tc>
          <w:tcPr>
            <w:tcW w:w="14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23"/>
                <w:szCs w:val="23"/>
                <w:color w:val="auto"/>
              </w:rPr>
            </w:pPr>
          </w:p>
        </w:tc>
        <w:tc>
          <w:tcPr>
            <w:tcW w:w="1220" w:type="dxa"/>
            <w:vAlign w:val="bottom"/>
          </w:tcPr>
          <w:p>
            <w:pPr>
              <w:jc w:val="right"/>
              <w:ind w:right="20"/>
              <w:spacing w:after="0"/>
              <w:rPr>
                <w:sz w:val="20"/>
                <w:szCs w:val="20"/>
                <w:color w:val="auto"/>
              </w:rPr>
            </w:pPr>
            <w:r>
              <w:rPr>
                <w:rFonts w:ascii="Arial" w:cs="Arial" w:eastAsia="Arial" w:hAnsi="Arial"/>
                <w:sz w:val="16"/>
                <w:szCs w:val="16"/>
                <w:color w:val="auto"/>
              </w:rPr>
              <w:t>1</w:t>
            </w:r>
          </w:p>
        </w:tc>
      </w:tr>
      <w:tr>
        <w:trPr>
          <w:trHeight w:val="236"/>
        </w:trPr>
        <w:tc>
          <w:tcPr>
            <w:tcW w:w="47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Denominator for diluted net (loss) income per share</w:t>
            </w:r>
          </w:p>
        </w:tc>
        <w:tc>
          <w:tcPr>
            <w:tcW w:w="1060" w:type="dxa"/>
            <w:vAlign w:val="bottom"/>
            <w:tcBorders>
              <w:top w:val="single" w:sz="8" w:color="auto"/>
              <w:bottom w:val="single" w:sz="8" w:color="auto"/>
            </w:tcBorders>
            <w:shd w:val="clear" w:color="auto" w:fill="CCEEFF"/>
          </w:tcPr>
          <w:p>
            <w:pPr>
              <w:spacing w:after="0"/>
              <w:rPr>
                <w:sz w:val="20"/>
                <w:szCs w:val="20"/>
                <w:color w:val="auto"/>
              </w:rPr>
            </w:pPr>
          </w:p>
        </w:tc>
        <w:tc>
          <w:tcPr>
            <w:tcW w:w="560" w:type="dxa"/>
            <w:vAlign w:val="bottom"/>
            <w:tcBorders>
              <w:top w:val="single" w:sz="8" w:color="auto"/>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57</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spacing w:after="0"/>
              <w:rPr>
                <w:sz w:val="20"/>
                <w:szCs w:val="20"/>
                <w:color w:val="auto"/>
              </w:rPr>
            </w:pPr>
          </w:p>
        </w:tc>
        <w:tc>
          <w:tcPr>
            <w:tcW w:w="1420" w:type="dxa"/>
            <w:vAlign w:val="bottom"/>
            <w:tcBorders>
              <w:top w:val="single" w:sz="8" w:color="auto"/>
              <w:bottom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color w:val="auto"/>
              </w:rPr>
              <w:t>56</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300" w:type="dxa"/>
            <w:vAlign w:val="bottom"/>
            <w:tcBorders>
              <w:top w:val="single" w:sz="8" w:color="auto"/>
              <w:bottom w:val="single" w:sz="8" w:color="auto"/>
            </w:tcBorders>
            <w:shd w:val="clear" w:color="auto" w:fill="CCEEFF"/>
          </w:tcPr>
          <w:p>
            <w:pPr>
              <w:spacing w:after="0"/>
              <w:rPr>
                <w:sz w:val="20"/>
                <w:szCs w:val="20"/>
                <w:color w:val="auto"/>
              </w:rPr>
            </w:pPr>
          </w:p>
        </w:tc>
        <w:tc>
          <w:tcPr>
            <w:tcW w:w="1300" w:type="dxa"/>
            <w:vAlign w:val="bottom"/>
            <w:tcBorders>
              <w:top w:val="single" w:sz="8" w:color="auto"/>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rPr>
              <w:t>56</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380" w:type="dxa"/>
            <w:vAlign w:val="bottom"/>
            <w:tcBorders>
              <w:top w:val="single" w:sz="8" w:color="auto"/>
              <w:bottom w:val="single" w:sz="8" w:color="auto"/>
            </w:tcBorders>
            <w:shd w:val="clear" w:color="auto" w:fill="CCEEFF"/>
          </w:tcPr>
          <w:p>
            <w:pPr>
              <w:spacing w:after="0"/>
              <w:rPr>
                <w:sz w:val="20"/>
                <w:szCs w:val="20"/>
                <w:color w:val="auto"/>
              </w:rPr>
            </w:pPr>
          </w:p>
        </w:tc>
        <w:tc>
          <w:tcPr>
            <w:tcW w:w="1220" w:type="dxa"/>
            <w:vAlign w:val="bottom"/>
            <w:tcBorders>
              <w:top w:val="single" w:sz="8" w:color="auto"/>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56</w:t>
            </w:r>
          </w:p>
        </w:tc>
      </w:tr>
      <w:tr>
        <w:trPr>
          <w:trHeight w:val="20"/>
        </w:trPr>
        <w:tc>
          <w:tcPr>
            <w:tcW w:w="470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r>
        <w:trPr>
          <w:trHeight w:val="306"/>
        </w:trPr>
        <w:tc>
          <w:tcPr>
            <w:tcW w:w="47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270"/>
        </w:trPr>
        <w:tc>
          <w:tcPr>
            <w:tcW w:w="4700" w:type="dxa"/>
            <w:vAlign w:val="bottom"/>
            <w:shd w:val="clear" w:color="auto" w:fill="CCEEFF"/>
          </w:tcPr>
          <w:p>
            <w:pPr>
              <w:ind w:left="40"/>
              <w:spacing w:after="0"/>
              <w:rPr>
                <w:sz w:val="20"/>
                <w:szCs w:val="20"/>
                <w:color w:val="auto"/>
              </w:rPr>
            </w:pPr>
            <w:r>
              <w:rPr>
                <w:rFonts w:ascii="Arial" w:cs="Arial" w:eastAsia="Arial" w:hAnsi="Arial"/>
                <w:sz w:val="16"/>
                <w:szCs w:val="16"/>
                <w:color w:val="auto"/>
              </w:rPr>
              <w:t xml:space="preserve">Net (loss) income per share: </w:t>
            </w:r>
            <w:r>
              <w:rPr>
                <w:rFonts w:ascii="Arial" w:cs="Arial" w:eastAsia="Arial" w:hAnsi="Arial"/>
                <w:sz w:val="21"/>
                <w:szCs w:val="21"/>
                <w:color w:val="auto"/>
                <w:vertAlign w:val="superscript"/>
              </w:rPr>
              <w:t>(2)</w:t>
            </w:r>
          </w:p>
        </w:tc>
        <w:tc>
          <w:tcPr>
            <w:tcW w:w="1060" w:type="dxa"/>
            <w:vAlign w:val="bottom"/>
            <w:shd w:val="clear" w:color="auto" w:fill="CCEEFF"/>
          </w:tcPr>
          <w:p>
            <w:pPr>
              <w:spacing w:after="0"/>
              <w:rPr>
                <w:sz w:val="23"/>
                <w:szCs w:val="23"/>
                <w:color w:val="auto"/>
              </w:rPr>
            </w:pPr>
          </w:p>
        </w:tc>
        <w:tc>
          <w:tcPr>
            <w:tcW w:w="5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4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3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220" w:type="dxa"/>
            <w:vAlign w:val="bottom"/>
            <w:shd w:val="clear" w:color="auto" w:fill="CCEEFF"/>
          </w:tcPr>
          <w:p>
            <w:pPr>
              <w:spacing w:after="0"/>
              <w:rPr>
                <w:sz w:val="23"/>
                <w:szCs w:val="23"/>
                <w:color w:val="auto"/>
              </w:rPr>
            </w:pPr>
          </w:p>
        </w:tc>
      </w:tr>
      <w:tr>
        <w:trPr>
          <w:trHeight w:val="296"/>
        </w:trPr>
        <w:tc>
          <w:tcPr>
            <w:tcW w:w="4700" w:type="dxa"/>
            <w:vAlign w:val="bottom"/>
            <w:tcBorders>
              <w:bottom w:val="single" w:sz="8" w:color="CCEEFF"/>
            </w:tcBorders>
          </w:tcPr>
          <w:p>
            <w:pPr>
              <w:ind w:left="180"/>
              <w:spacing w:after="0"/>
              <w:rPr>
                <w:sz w:val="20"/>
                <w:szCs w:val="20"/>
                <w:color w:val="auto"/>
              </w:rPr>
            </w:pPr>
            <w:r>
              <w:rPr>
                <w:rFonts w:ascii="Arial" w:cs="Arial" w:eastAsia="Arial" w:hAnsi="Arial"/>
                <w:sz w:val="16"/>
                <w:szCs w:val="16"/>
                <w:color w:val="auto"/>
              </w:rPr>
              <w:t>Basic</w:t>
            </w:r>
          </w:p>
        </w:tc>
        <w:tc>
          <w:tcPr>
            <w:tcW w:w="1060" w:type="dxa"/>
            <w:vAlign w:val="bottom"/>
            <w:tcBorders>
              <w:bottom w:val="single" w:sz="8" w:color="auto"/>
            </w:tcBorders>
          </w:tcPr>
          <w:p>
            <w:pPr>
              <w:jc w:val="right"/>
              <w:ind w:right="863"/>
              <w:spacing w:after="0"/>
              <w:rPr>
                <w:sz w:val="20"/>
                <w:szCs w:val="20"/>
                <w:color w:val="auto"/>
              </w:rPr>
            </w:pPr>
            <w:r>
              <w:rPr>
                <w:rFonts w:ascii="Arial" w:cs="Arial" w:eastAsia="Arial" w:hAnsi="Arial"/>
                <w:sz w:val="16"/>
                <w:szCs w:val="16"/>
                <w:color w:val="auto"/>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(1.70)</w:t>
            </w:r>
          </w:p>
        </w:tc>
        <w:tc>
          <w:tcPr>
            <w:tcW w:w="10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42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0.77</w:t>
            </w:r>
          </w:p>
        </w:tc>
        <w:tc>
          <w:tcPr>
            <w:tcW w:w="100" w:type="dxa"/>
            <w:vAlign w:val="bottom"/>
            <w:tcBorders>
              <w:bottom w:val="single" w:sz="8" w:color="CCEEFF"/>
            </w:tcBorders>
          </w:tcPr>
          <w:p>
            <w:pPr>
              <w:spacing w:after="0"/>
              <w:rPr>
                <w:sz w:val="24"/>
                <w:szCs w:val="24"/>
                <w:color w:val="auto"/>
              </w:rPr>
            </w:pPr>
          </w:p>
        </w:tc>
        <w:tc>
          <w:tcPr>
            <w:tcW w:w="3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(4.44)</w:t>
            </w:r>
          </w:p>
        </w:tc>
        <w:tc>
          <w:tcPr>
            <w:tcW w:w="100" w:type="dxa"/>
            <w:vAlign w:val="bottom"/>
            <w:tcBorders>
              <w:bottom w:val="single" w:sz="8" w:color="CCEEFF"/>
            </w:tcBorders>
          </w:tcPr>
          <w:p>
            <w:pPr>
              <w:spacing w:after="0"/>
              <w:rPr>
                <w:sz w:val="24"/>
                <w:szCs w:val="24"/>
                <w:color w:val="auto"/>
              </w:rPr>
            </w:pPr>
          </w:p>
        </w:tc>
        <w:tc>
          <w:tcPr>
            <w:tcW w:w="38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1.79</w:t>
            </w:r>
          </w:p>
        </w:tc>
      </w:tr>
      <w:tr>
        <w:trPr>
          <w:trHeight w:val="224"/>
        </w:trPr>
        <w:tc>
          <w:tcPr>
            <w:tcW w:w="47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Diluted</w:t>
            </w:r>
          </w:p>
        </w:tc>
        <w:tc>
          <w:tcPr>
            <w:tcW w:w="1060" w:type="dxa"/>
            <w:vAlign w:val="bottom"/>
            <w:tcBorders>
              <w:bottom w:val="single" w:sz="8" w:color="auto"/>
            </w:tcBorders>
            <w:shd w:val="clear" w:color="auto" w:fill="CCEEFF"/>
          </w:tcPr>
          <w:p>
            <w:pPr>
              <w:jc w:val="right"/>
              <w:ind w:right="863"/>
              <w:spacing w:after="0"/>
              <w:rPr>
                <w:sz w:val="20"/>
                <w:szCs w:val="20"/>
                <w:color w:val="auto"/>
              </w:rPr>
            </w:pPr>
            <w:r>
              <w:rPr>
                <w:rFonts w:ascii="Arial" w:cs="Arial" w:eastAsia="Arial" w:hAnsi="Arial"/>
                <w:sz w:val="16"/>
                <w:szCs w:val="16"/>
                <w:color w:val="auto"/>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(1.70)</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2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color w:val="auto"/>
              </w:rPr>
              <w:t>0.76</w:t>
            </w:r>
          </w:p>
        </w:tc>
        <w:tc>
          <w:tcPr>
            <w:tcW w:w="10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(4.44)</w:t>
            </w:r>
          </w:p>
        </w:tc>
        <w:tc>
          <w:tcPr>
            <w:tcW w:w="10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1.77</w:t>
            </w:r>
          </w:p>
        </w:tc>
      </w:tr>
      <w:tr>
        <w:trPr>
          <w:trHeight w:val="20"/>
        </w:trPr>
        <w:tc>
          <w:tcPr>
            <w:tcW w:w="470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r>
        <w:trPr>
          <w:trHeight w:val="306"/>
        </w:trPr>
        <w:tc>
          <w:tcPr>
            <w:tcW w:w="47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270"/>
        </w:trPr>
        <w:tc>
          <w:tcPr>
            <w:tcW w:w="4700" w:type="dxa"/>
            <w:vAlign w:val="bottom"/>
            <w:shd w:val="clear" w:color="auto" w:fill="CCEEFF"/>
          </w:tcPr>
          <w:p>
            <w:pPr>
              <w:ind w:left="40"/>
              <w:spacing w:after="0"/>
              <w:rPr>
                <w:sz w:val="20"/>
                <w:szCs w:val="20"/>
                <w:color w:val="auto"/>
              </w:rPr>
            </w:pPr>
            <w:r>
              <w:rPr>
                <w:rFonts w:ascii="Arial" w:cs="Arial" w:eastAsia="Arial" w:hAnsi="Arial"/>
                <w:sz w:val="16"/>
                <w:szCs w:val="16"/>
                <w:color w:val="auto"/>
              </w:rPr>
              <w:t>Potentially dilutive common shares excluded from calculations:</w:t>
            </w:r>
          </w:p>
        </w:tc>
        <w:tc>
          <w:tcPr>
            <w:tcW w:w="1060" w:type="dxa"/>
            <w:vAlign w:val="bottom"/>
            <w:shd w:val="clear" w:color="auto" w:fill="CCEEFF"/>
          </w:tcPr>
          <w:p>
            <w:pPr>
              <w:spacing w:after="0"/>
              <w:rPr>
                <w:sz w:val="23"/>
                <w:szCs w:val="23"/>
                <w:color w:val="auto"/>
              </w:rPr>
            </w:pPr>
          </w:p>
        </w:tc>
        <w:tc>
          <w:tcPr>
            <w:tcW w:w="5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4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3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220" w:type="dxa"/>
            <w:vAlign w:val="bottom"/>
            <w:shd w:val="clear" w:color="auto" w:fill="CCEEFF"/>
          </w:tcPr>
          <w:p>
            <w:pPr>
              <w:spacing w:after="0"/>
              <w:rPr>
                <w:sz w:val="23"/>
                <w:szCs w:val="23"/>
                <w:color w:val="auto"/>
              </w:rPr>
            </w:pPr>
          </w:p>
        </w:tc>
      </w:tr>
      <w:tr>
        <w:trPr>
          <w:trHeight w:val="270"/>
        </w:trPr>
        <w:tc>
          <w:tcPr>
            <w:tcW w:w="4700" w:type="dxa"/>
            <w:vAlign w:val="bottom"/>
          </w:tcPr>
          <w:p>
            <w:pPr>
              <w:ind w:left="180"/>
              <w:spacing w:after="0"/>
              <w:rPr>
                <w:sz w:val="20"/>
                <w:szCs w:val="20"/>
                <w:color w:val="auto"/>
              </w:rPr>
            </w:pPr>
            <w:r>
              <w:rPr>
                <w:rFonts w:ascii="Arial" w:cs="Arial" w:eastAsia="Arial" w:hAnsi="Arial"/>
                <w:sz w:val="16"/>
                <w:szCs w:val="16"/>
                <w:color w:val="auto"/>
              </w:rPr>
              <w:t xml:space="preserve">1.125% Warrants </w:t>
            </w:r>
            <w:r>
              <w:rPr>
                <w:rFonts w:ascii="Arial" w:cs="Arial" w:eastAsia="Arial" w:hAnsi="Arial"/>
                <w:sz w:val="21"/>
                <w:szCs w:val="21"/>
                <w:color w:val="auto"/>
                <w:vertAlign w:val="superscript"/>
              </w:rPr>
              <w:t>(1)</w:t>
            </w:r>
          </w:p>
        </w:tc>
        <w:tc>
          <w:tcPr>
            <w:tcW w:w="1060" w:type="dxa"/>
            <w:vAlign w:val="bottom"/>
          </w:tcPr>
          <w:p>
            <w:pPr>
              <w:spacing w:after="0"/>
              <w:rPr>
                <w:sz w:val="23"/>
                <w:szCs w:val="23"/>
                <w:color w:val="auto"/>
              </w:rPr>
            </w:pPr>
          </w:p>
        </w:tc>
        <w:tc>
          <w:tcPr>
            <w:tcW w:w="560" w:type="dxa"/>
            <w:vAlign w:val="bottom"/>
          </w:tcPr>
          <w:p>
            <w:pPr>
              <w:jc w:val="right"/>
              <w:ind w:right="39"/>
              <w:spacing w:after="0"/>
              <w:rPr>
                <w:sz w:val="20"/>
                <w:szCs w:val="20"/>
                <w:color w:val="auto"/>
              </w:rPr>
            </w:pPr>
            <w:r>
              <w:rPr>
                <w:rFonts w:ascii="Arial" w:cs="Arial" w:eastAsia="Arial" w:hAnsi="Arial"/>
                <w:sz w:val="16"/>
                <w:szCs w:val="16"/>
                <w:color w:val="auto"/>
              </w:rPr>
              <w:t>2</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5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23"/>
                <w:szCs w:val="23"/>
                <w:color w:val="auto"/>
              </w:rPr>
            </w:pPr>
          </w:p>
        </w:tc>
        <w:tc>
          <w:tcPr>
            <w:tcW w:w="1300" w:type="dxa"/>
            <w:vAlign w:val="bottom"/>
          </w:tcPr>
          <w:p>
            <w:pPr>
              <w:jc w:val="right"/>
              <w:ind w:right="21"/>
              <w:spacing w:after="0"/>
              <w:rPr>
                <w:sz w:val="20"/>
                <w:szCs w:val="20"/>
                <w:color w:val="auto"/>
              </w:rPr>
            </w:pPr>
            <w:r>
              <w:rPr>
                <w:rFonts w:ascii="Arial" w:cs="Arial" w:eastAsia="Arial" w:hAnsi="Arial"/>
                <w:sz w:val="16"/>
                <w:szCs w:val="16"/>
                <w:color w:val="auto"/>
              </w:rPr>
              <w:t>2</w:t>
            </w: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220" w:type="dxa"/>
            <w:vAlign w:val="bottom"/>
          </w:tcPr>
          <w:p>
            <w:pPr>
              <w:jc w:val="right"/>
              <w:ind w:right="20"/>
              <w:spacing w:after="0"/>
              <w:rPr>
                <w:sz w:val="20"/>
                <w:szCs w:val="20"/>
                <w:color w:val="auto"/>
              </w:rPr>
            </w:pPr>
            <w:r>
              <w:rPr>
                <w:rFonts w:ascii="Arial" w:cs="Arial" w:eastAsia="Arial" w:hAnsi="Arial"/>
                <w:sz w:val="16"/>
                <w:szCs w:val="16"/>
                <w:color w:val="auto"/>
              </w:rPr>
              <w:t>—</w:t>
            </w:r>
          </w:p>
        </w:tc>
      </w:tr>
      <w:tr>
        <w:trPr>
          <w:trHeight w:val="270"/>
        </w:trPr>
        <w:tc>
          <w:tcPr>
            <w:tcW w:w="4700" w:type="dxa"/>
            <w:vAlign w:val="bottom"/>
            <w:shd w:val="clear" w:color="auto" w:fill="CCEEFF"/>
          </w:tcPr>
          <w:p>
            <w:pPr>
              <w:ind w:left="180"/>
              <w:spacing w:after="0"/>
              <w:rPr>
                <w:sz w:val="20"/>
                <w:szCs w:val="20"/>
                <w:color w:val="auto"/>
              </w:rPr>
            </w:pPr>
            <w:r>
              <w:rPr>
                <w:rFonts w:ascii="Arial" w:cs="Arial" w:eastAsia="Arial" w:hAnsi="Arial"/>
                <w:sz w:val="16"/>
                <w:szCs w:val="16"/>
                <w:color w:val="auto"/>
              </w:rPr>
              <w:t xml:space="preserve">1.625% Notes </w:t>
            </w:r>
            <w:r>
              <w:rPr>
                <w:rFonts w:ascii="Arial" w:cs="Arial" w:eastAsia="Arial" w:hAnsi="Arial"/>
                <w:sz w:val="21"/>
                <w:szCs w:val="21"/>
                <w:color w:val="auto"/>
                <w:vertAlign w:val="superscript"/>
              </w:rPr>
              <w:t>(1)</w:t>
            </w:r>
          </w:p>
        </w:tc>
        <w:tc>
          <w:tcPr>
            <w:tcW w:w="1060" w:type="dxa"/>
            <w:vAlign w:val="bottom"/>
            <w:shd w:val="clear" w:color="auto" w:fill="CCEEFF"/>
          </w:tcPr>
          <w:p>
            <w:pPr>
              <w:spacing w:after="0"/>
              <w:rPr>
                <w:sz w:val="23"/>
                <w:szCs w:val="23"/>
                <w:color w:val="auto"/>
              </w:rPr>
            </w:pPr>
          </w:p>
        </w:tc>
        <w:tc>
          <w:tcPr>
            <w:tcW w:w="5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5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00" w:type="dxa"/>
            <w:vAlign w:val="bottom"/>
            <w:shd w:val="clear" w:color="auto" w:fill="CCEEFF"/>
          </w:tcPr>
          <w:p>
            <w:pPr>
              <w:spacing w:after="0"/>
              <w:rPr>
                <w:sz w:val="23"/>
                <w:szCs w:val="23"/>
                <w:color w:val="auto"/>
              </w:rPr>
            </w:pPr>
          </w:p>
        </w:tc>
        <w:tc>
          <w:tcPr>
            <w:tcW w:w="140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380" w:type="dxa"/>
            <w:vAlign w:val="bottom"/>
            <w:shd w:val="clear" w:color="auto" w:fill="CCEEFF"/>
          </w:tcPr>
          <w:p>
            <w:pPr>
              <w:spacing w:after="0"/>
              <w:rPr>
                <w:sz w:val="23"/>
                <w:szCs w:val="23"/>
                <w:color w:val="auto"/>
              </w:rPr>
            </w:pPr>
          </w:p>
        </w:tc>
        <w:tc>
          <w:tcPr>
            <w:tcW w:w="122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w:t>
            </w:r>
          </w:p>
        </w:tc>
      </w:tr>
      <w:tr>
        <w:trPr>
          <w:trHeight w:val="243"/>
        </w:trPr>
        <w:tc>
          <w:tcPr>
            <w:tcW w:w="4700" w:type="dxa"/>
            <w:vAlign w:val="bottom"/>
          </w:tcPr>
          <w:p>
            <w:pPr>
              <w:spacing w:after="0"/>
              <w:rPr>
                <w:sz w:val="20"/>
                <w:szCs w:val="20"/>
                <w:color w:val="auto"/>
              </w:rPr>
            </w:pPr>
            <w:r>
              <w:rPr>
                <w:rFonts w:ascii="Arial" w:cs="Arial" w:eastAsia="Arial" w:hAnsi="Arial"/>
                <w:sz w:val="18"/>
                <w:szCs w:val="18"/>
                <w:color w:val="auto"/>
              </w:rPr>
              <w:t>______________________________</w:t>
            </w:r>
          </w:p>
        </w:tc>
        <w:tc>
          <w:tcPr>
            <w:tcW w:w="106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spacing w:after="0"/>
              <w:rPr>
                <w:sz w:val="21"/>
                <w:szCs w:val="21"/>
                <w:color w:val="auto"/>
              </w:rPr>
            </w:pPr>
          </w:p>
        </w:tc>
      </w:tr>
    </w:tbl>
    <w:p>
      <w:pPr>
        <w:spacing w:after="0" w:line="198" w:lineRule="exact"/>
        <w:rPr>
          <w:sz w:val="20"/>
          <w:szCs w:val="20"/>
          <w:color w:val="auto"/>
        </w:rPr>
      </w:pPr>
    </w:p>
    <w:p>
      <w:pPr>
        <w:ind w:left="340" w:right="240" w:hanging="332"/>
        <w:spacing w:after="0" w:line="253" w:lineRule="auto"/>
        <w:tabs>
          <w:tab w:leader="none" w:pos="340" w:val="left"/>
        </w:tabs>
        <w:numPr>
          <w:ilvl w:val="0"/>
          <w:numId w:val="4"/>
        </w:numPr>
        <w:rPr>
          <w:rFonts w:ascii="Arial" w:cs="Arial" w:eastAsia="Arial" w:hAnsi="Arial"/>
          <w:sz w:val="16"/>
          <w:szCs w:val="16"/>
          <w:color w:val="auto"/>
        </w:rPr>
      </w:pPr>
      <w:r>
        <w:rPr>
          <w:rFonts w:ascii="Arial" w:cs="Arial" w:eastAsia="Arial" w:hAnsi="Arial"/>
          <w:sz w:val="16"/>
          <w:szCs w:val="16"/>
          <w:color w:val="auto"/>
        </w:rPr>
        <w:t>For more information regarding the 1.125% Warrants, refer to Note 9, “Stockholders' Equity.” For more information regarding the 1.625% Notes, refer to Note 7, “Debt.” The dilutive effect of all potentially dilutive common shares is calculated using the treasury stock method. Potentially dilutive common shares were not included in the computation of diluted net loss per share in the three and nine months ended September 30, 2017, because to do so would have been anti-dilutive.</w:t>
      </w:r>
    </w:p>
    <w:p>
      <w:pPr>
        <w:ind w:left="340" w:hanging="332"/>
        <w:spacing w:after="0"/>
        <w:tabs>
          <w:tab w:leader="none" w:pos="340" w:val="left"/>
        </w:tabs>
        <w:numPr>
          <w:ilvl w:val="0"/>
          <w:numId w:val="4"/>
        </w:numPr>
        <w:rPr>
          <w:rFonts w:ascii="Arial" w:cs="Arial" w:eastAsia="Arial" w:hAnsi="Arial"/>
          <w:sz w:val="16"/>
          <w:szCs w:val="16"/>
          <w:color w:val="auto"/>
        </w:rPr>
      </w:pPr>
      <w:r>
        <w:rPr>
          <w:rFonts w:ascii="Arial" w:cs="Arial" w:eastAsia="Arial" w:hAnsi="Arial"/>
          <w:sz w:val="16"/>
          <w:szCs w:val="16"/>
          <w:color w:val="auto"/>
        </w:rPr>
        <w:t>Source data for calculations in thousands.</w:t>
      </w:r>
    </w:p>
    <w:p>
      <w:pPr>
        <w:spacing w:after="0" w:line="69" w:lineRule="exact"/>
        <w:rPr>
          <w:sz w:val="20"/>
          <w:szCs w:val="20"/>
          <w:color w:val="auto"/>
        </w:rPr>
      </w:pPr>
    </w:p>
    <w:p>
      <w:pPr>
        <w:spacing w:after="0"/>
        <w:rPr>
          <w:sz w:val="20"/>
          <w:szCs w:val="20"/>
          <w:color w:val="auto"/>
        </w:rPr>
      </w:pPr>
      <w:r>
        <w:rPr>
          <w:rFonts w:ascii="Arial" w:cs="Arial" w:eastAsia="Arial" w:hAnsi="Arial"/>
          <w:sz w:val="32"/>
          <w:szCs w:val="32"/>
          <w:b w:val="1"/>
          <w:bCs w:val="1"/>
          <w:color w:val="ACACAC"/>
        </w:rPr>
        <w:t>4. Fair Value Measurements</w:t>
      </w:r>
    </w:p>
    <w:p>
      <w:pPr>
        <w:spacing w:after="0" w:line="246" w:lineRule="exact"/>
        <w:rPr>
          <w:sz w:val="20"/>
          <w:szCs w:val="20"/>
          <w:color w:val="auto"/>
        </w:rPr>
      </w:pPr>
    </w:p>
    <w:p>
      <w:pPr>
        <w:ind w:right="240"/>
        <w:spacing w:after="0" w:line="292" w:lineRule="auto"/>
        <w:rPr>
          <w:sz w:val="20"/>
          <w:szCs w:val="20"/>
          <w:color w:val="auto"/>
        </w:rPr>
      </w:pPr>
      <w:r>
        <w:rPr>
          <w:rFonts w:ascii="Arial" w:cs="Arial" w:eastAsia="Arial" w:hAnsi="Arial"/>
          <w:sz w:val="18"/>
          <w:szCs w:val="18"/>
          <w:color w:val="auto"/>
        </w:rPr>
        <w:t>We consider the carrying amounts of cash, cash equivalents and other current assets and current liabilities (not including derivatives and the current portion of long-term debt) to approximate their fair values because of the</w:t>
      </w:r>
    </w:p>
    <w:p>
      <w:pPr>
        <w:spacing w:after="0" w:line="17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Molina Healthcare, Inc. 2017 Form 10-Q | 12</w:t>
      </w:r>
    </w:p>
    <w:p>
      <w:pPr>
        <w:sectPr>
          <w:pgSz w:w="11900" w:h="16838" w:orient="portrait"/>
          <w:cols w:equalWidth="0" w:num="1">
            <w:col w:w="11420"/>
          </w:cols>
          <w:pgMar w:left="240" w:top="115" w:right="239" w:bottom="1440" w:gutter="0" w:footer="0" w:header="0"/>
        </w:sectPr>
      </w:pPr>
    </w:p>
    <w:bookmarkStart w:id="12" w:name="page13"/>
    <w:bookmarkEnd w:id="1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61" w:lineRule="exact"/>
        <w:rPr>
          <w:sz w:val="20"/>
          <w:szCs w:val="20"/>
          <w:color w:val="auto"/>
        </w:rPr>
      </w:pPr>
    </w:p>
    <w:p>
      <w:pPr>
        <w:ind w:right="80"/>
        <w:spacing w:after="0" w:line="260" w:lineRule="auto"/>
        <w:rPr>
          <w:sz w:val="20"/>
          <w:szCs w:val="20"/>
          <w:color w:val="auto"/>
        </w:rPr>
      </w:pPr>
      <w:r>
        <w:rPr>
          <w:rFonts w:ascii="Arial" w:cs="Arial" w:eastAsia="Arial" w:hAnsi="Arial"/>
          <w:sz w:val="18"/>
          <w:szCs w:val="18"/>
          <w:color w:val="auto"/>
        </w:rPr>
        <w:t>relatively short period of time between the origination of these instruments and their expected realization or payment. For our financial instruments measured at fair value on a recurring basis, we prioritize the inputs used in measuring fair value according to the three-tier fair value hierarchy. For a description of the methods and assumptions that we use to a) estimate the fair value; and b) determine the classification according to the fair value hierarchy for each financial instrument, see Note 5, “Fair Value Measurements,” in our 2016 Annual Report on Form 10-K.</w:t>
      </w:r>
    </w:p>
    <w:p>
      <w:pPr>
        <w:spacing w:after="0" w:line="67"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Derivative financial instruments include the 1.125% Call Option derivative asset and the 1.125% Conversion Option derivative liability. These derivatives are not actively traded and are valued based on an option pricing model that uses observable and unobservable market data for inputs. Significant market data inputs used to determine fair value as of September 30, 2017, included the price of our common stock, the time to maturity of the derivative instruments, the risk-free interest rate, and the implied volatility of our common stock. As described further in Note 8, “Derivatives,” the 1.125% Call Option asset and the 1.125% Conversion Option liability were designed such that changes in their fair values would offset, with minimal impact to the consolidated statements of operations. Therefore, the sensitivity of changes in the unobservable inputs to the option pricing model for such instruments is mitigated.</w:t>
      </w:r>
    </w:p>
    <w:p>
      <w:pPr>
        <w:spacing w:after="0" w:line="69" w:lineRule="exact"/>
        <w:rPr>
          <w:sz w:val="20"/>
          <w:szCs w:val="20"/>
          <w:color w:val="auto"/>
        </w:rPr>
      </w:pPr>
    </w:p>
    <w:p>
      <w:pPr>
        <w:ind w:right="820"/>
        <w:spacing w:after="0" w:line="292" w:lineRule="auto"/>
        <w:rPr>
          <w:sz w:val="20"/>
          <w:szCs w:val="20"/>
          <w:color w:val="auto"/>
        </w:rPr>
      </w:pPr>
      <w:r>
        <w:rPr>
          <w:rFonts w:ascii="Arial" w:cs="Arial" w:eastAsia="Arial" w:hAnsi="Arial"/>
          <w:sz w:val="18"/>
          <w:szCs w:val="18"/>
          <w:color w:val="auto"/>
        </w:rPr>
        <w:t>The net changes in fair value of Level 3 financial instruments were insignificant to our results of operations for the nine months ended September 30, 2017.</w:t>
      </w:r>
    </w:p>
    <w:p>
      <w:pPr>
        <w:spacing w:after="0" w:line="37" w:lineRule="exact"/>
        <w:rPr>
          <w:sz w:val="20"/>
          <w:szCs w:val="20"/>
          <w:color w:val="auto"/>
        </w:rPr>
      </w:pPr>
    </w:p>
    <w:p>
      <w:pPr>
        <w:spacing w:after="0"/>
        <w:rPr>
          <w:sz w:val="20"/>
          <w:szCs w:val="20"/>
          <w:color w:val="auto"/>
        </w:rPr>
      </w:pPr>
      <w:r>
        <w:rPr>
          <w:rFonts w:ascii="Arial" w:cs="Arial" w:eastAsia="Arial" w:hAnsi="Arial"/>
          <w:sz w:val="18"/>
          <w:szCs w:val="18"/>
          <w:color w:val="auto"/>
        </w:rPr>
        <w:t>Our financial instruments measured at fair value on a recurring basis at September 30, 2017, were as follows:</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0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Significant Other</w:t>
            </w:r>
          </w:p>
        </w:tc>
        <w:tc>
          <w:tcPr>
            <w:tcW w:w="180" w:type="dxa"/>
            <w:vAlign w:val="bottom"/>
          </w:tcPr>
          <w:p>
            <w:pPr>
              <w:spacing w:after="0"/>
              <w:rPr>
                <w:sz w:val="14"/>
                <w:szCs w:val="14"/>
                <w:color w:val="auto"/>
              </w:rPr>
            </w:pPr>
          </w:p>
        </w:tc>
        <w:tc>
          <w:tcPr>
            <w:tcW w:w="1300" w:type="dxa"/>
            <w:vAlign w:val="bottom"/>
          </w:tcPr>
          <w:p>
            <w:pPr>
              <w:jc w:val="center"/>
              <w:ind w:right="81"/>
              <w:spacing w:after="0"/>
              <w:rPr>
                <w:sz w:val="20"/>
                <w:szCs w:val="20"/>
                <w:color w:val="auto"/>
              </w:rPr>
            </w:pPr>
            <w:r>
              <w:rPr>
                <w:rFonts w:ascii="Arial" w:cs="Arial" w:eastAsia="Arial" w:hAnsi="Arial"/>
                <w:sz w:val="14"/>
                <w:szCs w:val="14"/>
                <w:b w:val="1"/>
                <w:bCs w:val="1"/>
                <w:color w:val="auto"/>
              </w:rPr>
              <w:t>Significant</w:t>
            </w:r>
          </w:p>
        </w:tc>
      </w:tr>
      <w:tr>
        <w:trPr>
          <w:trHeight w:val="162"/>
        </w:trPr>
        <w:tc>
          <w:tcPr>
            <w:tcW w:w="50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0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rPr>
              <w:t>Quoted Market Prices</w:t>
            </w:r>
          </w:p>
        </w:tc>
        <w:tc>
          <w:tcPr>
            <w:tcW w:w="158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rPr>
              <w:t>Observable Inputs</w:t>
            </w:r>
          </w:p>
        </w:tc>
        <w:tc>
          <w:tcPr>
            <w:tcW w:w="180" w:type="dxa"/>
            <w:vAlign w:val="bottom"/>
          </w:tcPr>
          <w:p>
            <w:pPr>
              <w:spacing w:after="0"/>
              <w:rPr>
                <w:sz w:val="14"/>
                <w:szCs w:val="14"/>
                <w:color w:val="auto"/>
              </w:rPr>
            </w:pPr>
          </w:p>
        </w:tc>
        <w:tc>
          <w:tcPr>
            <w:tcW w:w="1300" w:type="dxa"/>
            <w:vAlign w:val="bottom"/>
          </w:tcPr>
          <w:p>
            <w:pPr>
              <w:jc w:val="center"/>
              <w:ind w:right="101"/>
              <w:spacing w:after="0"/>
              <w:rPr>
                <w:sz w:val="20"/>
                <w:szCs w:val="20"/>
                <w:color w:val="auto"/>
              </w:rPr>
            </w:pPr>
            <w:r>
              <w:rPr>
                <w:rFonts w:ascii="Arial" w:cs="Arial" w:eastAsia="Arial" w:hAnsi="Arial"/>
                <w:sz w:val="14"/>
                <w:szCs w:val="14"/>
                <w:b w:val="1"/>
                <w:bCs w:val="1"/>
                <w:color w:val="auto"/>
              </w:rPr>
              <w:t>Unobservable</w:t>
            </w:r>
          </w:p>
        </w:tc>
      </w:tr>
      <w:tr>
        <w:trPr>
          <w:trHeight w:val="203"/>
        </w:trPr>
        <w:tc>
          <w:tcPr>
            <w:tcW w:w="5040" w:type="dxa"/>
            <w:vAlign w:val="bottom"/>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Total</w:t>
            </w:r>
          </w:p>
        </w:tc>
        <w:tc>
          <w:tcPr>
            <w:tcW w:w="56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gridSpan w:val="2"/>
          </w:tcPr>
          <w:p>
            <w:pPr>
              <w:jc w:val="center"/>
              <w:ind w:right="400"/>
              <w:spacing w:after="0"/>
              <w:rPr>
                <w:sz w:val="20"/>
                <w:szCs w:val="20"/>
                <w:color w:val="auto"/>
              </w:rPr>
            </w:pPr>
            <w:r>
              <w:rPr>
                <w:rFonts w:ascii="Arial" w:cs="Arial" w:eastAsia="Arial" w:hAnsi="Arial"/>
                <w:sz w:val="14"/>
                <w:szCs w:val="14"/>
                <w:b w:val="1"/>
                <w:bCs w:val="1"/>
                <w:color w:val="auto"/>
              </w:rPr>
              <w:t>(Level 1)</w:t>
            </w:r>
          </w:p>
        </w:tc>
        <w:tc>
          <w:tcPr>
            <w:tcW w:w="14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4"/>
                <w:szCs w:val="14"/>
                <w:b w:val="1"/>
                <w:bCs w:val="1"/>
                <w:color w:val="auto"/>
              </w:rPr>
              <w:t>(Level 2)</w:t>
            </w:r>
          </w:p>
        </w:tc>
        <w:tc>
          <w:tcPr>
            <w:tcW w:w="18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center"/>
              <w:ind w:right="81"/>
              <w:spacing w:after="0"/>
              <w:rPr>
                <w:sz w:val="20"/>
                <w:szCs w:val="20"/>
                <w:color w:val="auto"/>
              </w:rPr>
            </w:pPr>
            <w:r>
              <w:rPr>
                <w:rFonts w:ascii="Arial" w:cs="Arial" w:eastAsia="Arial" w:hAnsi="Arial"/>
                <w:sz w:val="14"/>
                <w:szCs w:val="14"/>
                <w:b w:val="1"/>
                <w:bCs w:val="1"/>
                <w:color w:val="auto"/>
              </w:rPr>
              <w:t>Inputs (Level 3)</w:t>
            </w:r>
          </w:p>
        </w:tc>
      </w:tr>
      <w:tr>
        <w:trPr>
          <w:trHeight w:val="210"/>
        </w:trPr>
        <w:tc>
          <w:tcPr>
            <w:tcW w:w="50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960" w:type="dxa"/>
            <w:vAlign w:val="bottom"/>
            <w:gridSpan w:val="5"/>
          </w:tcPr>
          <w:p>
            <w:pPr>
              <w:ind w:left="860"/>
              <w:spacing w:after="0"/>
              <w:rPr>
                <w:sz w:val="20"/>
                <w:szCs w:val="20"/>
                <w:color w:val="auto"/>
              </w:rPr>
            </w:pPr>
            <w:r>
              <w:rPr>
                <w:rFonts w:ascii="Arial" w:cs="Arial" w:eastAsia="Arial" w:hAnsi="Arial"/>
                <w:sz w:val="14"/>
                <w:szCs w:val="14"/>
                <w:b w:val="1"/>
                <w:bCs w:val="1"/>
                <w:color w:val="auto"/>
              </w:rPr>
              <w:t>(In millions)</w:t>
            </w:r>
          </w:p>
        </w:tc>
        <w:tc>
          <w:tcPr>
            <w:tcW w:w="18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271"/>
        </w:trPr>
        <w:tc>
          <w:tcPr>
            <w:tcW w:w="5040" w:type="dxa"/>
            <w:vAlign w:val="bottom"/>
            <w:shd w:val="clear" w:color="auto" w:fill="CCEEFF"/>
          </w:tcPr>
          <w:p>
            <w:pPr>
              <w:ind w:left="40"/>
              <w:spacing w:after="0"/>
              <w:rPr>
                <w:sz w:val="20"/>
                <w:szCs w:val="20"/>
                <w:color w:val="auto"/>
              </w:rPr>
            </w:pPr>
            <w:r>
              <w:rPr>
                <w:rFonts w:ascii="Arial" w:cs="Arial" w:eastAsia="Arial" w:hAnsi="Arial"/>
                <w:sz w:val="16"/>
                <w:szCs w:val="16"/>
                <w:color w:val="auto"/>
              </w:rPr>
              <w:t>Corporate debt securities</w:t>
            </w:r>
          </w:p>
        </w:tc>
        <w:tc>
          <w:tcPr>
            <w:tcW w:w="940" w:type="dxa"/>
            <w:vAlign w:val="bottom"/>
            <w:shd w:val="clear" w:color="auto" w:fill="CCEEFF"/>
          </w:tcPr>
          <w:p>
            <w:pPr>
              <w:jc w:val="right"/>
              <w:ind w:right="761"/>
              <w:spacing w:after="0"/>
              <w:rPr>
                <w:sz w:val="20"/>
                <w:szCs w:val="20"/>
                <w:color w:val="auto"/>
              </w:rPr>
            </w:pPr>
            <w:r>
              <w:rPr>
                <w:rFonts w:ascii="Arial" w:cs="Arial" w:eastAsia="Arial" w:hAnsi="Arial"/>
                <w:sz w:val="16"/>
                <w:szCs w:val="16"/>
                <w:color w:val="auto"/>
                <w:w w:val="89"/>
              </w:rPr>
              <w:t>$</w:t>
            </w:r>
          </w:p>
        </w:tc>
        <w:tc>
          <w:tcPr>
            <w:tcW w:w="5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1,162</w:t>
            </w:r>
          </w:p>
        </w:tc>
        <w:tc>
          <w:tcPr>
            <w:tcW w:w="120" w:type="dxa"/>
            <w:vAlign w:val="bottom"/>
            <w:shd w:val="clear" w:color="auto" w:fill="CCEEFF"/>
          </w:tcPr>
          <w:p>
            <w:pPr>
              <w:spacing w:after="0"/>
              <w:rPr>
                <w:sz w:val="23"/>
                <w:szCs w:val="23"/>
                <w:color w:val="auto"/>
              </w:rPr>
            </w:pPr>
          </w:p>
        </w:tc>
        <w:tc>
          <w:tcPr>
            <w:tcW w:w="320" w:type="dxa"/>
            <w:vAlign w:val="bottom"/>
            <w:shd w:val="clear" w:color="auto" w:fill="CCEEFF"/>
          </w:tcPr>
          <w:p>
            <w:pPr>
              <w:jc w:val="right"/>
              <w:ind w:right="121"/>
              <w:spacing w:after="0"/>
              <w:rPr>
                <w:sz w:val="20"/>
                <w:szCs w:val="20"/>
                <w:color w:val="auto"/>
              </w:rPr>
            </w:pPr>
            <w:r>
              <w:rPr>
                <w:rFonts w:ascii="Arial" w:cs="Arial" w:eastAsia="Arial" w:hAnsi="Arial"/>
                <w:sz w:val="16"/>
                <w:szCs w:val="16"/>
                <w:color w:val="auto"/>
              </w:rPr>
              <w:t>$</w:t>
            </w:r>
          </w:p>
        </w:tc>
        <w:tc>
          <w:tcPr>
            <w:tcW w:w="138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4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1,162</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0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w:t>
            </w:r>
          </w:p>
        </w:tc>
      </w:tr>
      <w:tr>
        <w:trPr>
          <w:trHeight w:val="262"/>
        </w:trPr>
        <w:tc>
          <w:tcPr>
            <w:tcW w:w="5040" w:type="dxa"/>
            <w:vAlign w:val="bottom"/>
          </w:tcPr>
          <w:p>
            <w:pPr>
              <w:ind w:left="40"/>
              <w:spacing w:after="0"/>
              <w:rPr>
                <w:sz w:val="20"/>
                <w:szCs w:val="20"/>
                <w:color w:val="auto"/>
              </w:rPr>
            </w:pPr>
            <w:r>
              <w:rPr>
                <w:rFonts w:ascii="Arial" w:cs="Arial" w:eastAsia="Arial" w:hAnsi="Arial"/>
                <w:sz w:val="16"/>
                <w:szCs w:val="16"/>
                <w:color w:val="auto"/>
              </w:rPr>
              <w:t>Government-sponsored enterprise securities (GSEs)</w:t>
            </w:r>
          </w:p>
        </w:tc>
        <w:tc>
          <w:tcPr>
            <w:tcW w:w="940" w:type="dxa"/>
            <w:vAlign w:val="bottom"/>
          </w:tcPr>
          <w:p>
            <w:pPr>
              <w:spacing w:after="0"/>
              <w:rPr>
                <w:sz w:val="22"/>
                <w:szCs w:val="22"/>
                <w:color w:val="auto"/>
              </w:rPr>
            </w:pPr>
          </w:p>
        </w:tc>
        <w:tc>
          <w:tcPr>
            <w:tcW w:w="560" w:type="dxa"/>
            <w:vAlign w:val="bottom"/>
          </w:tcPr>
          <w:p>
            <w:pPr>
              <w:jc w:val="right"/>
              <w:ind w:right="39"/>
              <w:spacing w:after="0"/>
              <w:rPr>
                <w:sz w:val="20"/>
                <w:szCs w:val="20"/>
                <w:color w:val="auto"/>
              </w:rPr>
            </w:pPr>
            <w:r>
              <w:rPr>
                <w:rFonts w:ascii="Arial" w:cs="Arial" w:eastAsia="Arial" w:hAnsi="Arial"/>
                <w:sz w:val="16"/>
                <w:szCs w:val="16"/>
                <w:color w:val="auto"/>
              </w:rPr>
              <w:t>220</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280" w:type="dxa"/>
            <w:vAlign w:val="bottom"/>
          </w:tcPr>
          <w:p>
            <w:pPr>
              <w:jc w:val="right"/>
              <w:ind w:right="20"/>
              <w:spacing w:after="0"/>
              <w:rPr>
                <w:sz w:val="20"/>
                <w:szCs w:val="20"/>
                <w:color w:val="auto"/>
              </w:rPr>
            </w:pPr>
            <w:r>
              <w:rPr>
                <w:rFonts w:ascii="Arial" w:cs="Arial" w:eastAsia="Arial" w:hAnsi="Arial"/>
                <w:sz w:val="16"/>
                <w:szCs w:val="16"/>
                <w:color w:val="auto"/>
              </w:rPr>
              <w:t>220</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4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2"/>
                <w:szCs w:val="22"/>
                <w:color w:val="auto"/>
              </w:rPr>
            </w:pPr>
          </w:p>
        </w:tc>
        <w:tc>
          <w:tcPr>
            <w:tcW w:w="1300" w:type="dxa"/>
            <w:vAlign w:val="bottom"/>
          </w:tcPr>
          <w:p>
            <w:pPr>
              <w:jc w:val="right"/>
              <w:ind w:right="21"/>
              <w:spacing w:after="0"/>
              <w:rPr>
                <w:sz w:val="20"/>
                <w:szCs w:val="20"/>
                <w:color w:val="auto"/>
              </w:rPr>
            </w:pPr>
            <w:r>
              <w:rPr>
                <w:rFonts w:ascii="Arial" w:cs="Arial" w:eastAsia="Arial" w:hAnsi="Arial"/>
                <w:sz w:val="16"/>
                <w:szCs w:val="16"/>
                <w:color w:val="auto"/>
              </w:rPr>
              <w:t>—</w:t>
            </w:r>
          </w:p>
        </w:tc>
      </w:tr>
      <w:tr>
        <w:trPr>
          <w:trHeight w:val="278"/>
        </w:trPr>
        <w:tc>
          <w:tcPr>
            <w:tcW w:w="5040" w:type="dxa"/>
            <w:vAlign w:val="bottom"/>
            <w:shd w:val="clear" w:color="auto" w:fill="CCEEFF"/>
          </w:tcPr>
          <w:p>
            <w:pPr>
              <w:ind w:left="40"/>
              <w:spacing w:after="0"/>
              <w:rPr>
                <w:sz w:val="20"/>
                <w:szCs w:val="20"/>
                <w:color w:val="auto"/>
              </w:rPr>
            </w:pPr>
            <w:r>
              <w:rPr>
                <w:rFonts w:ascii="Arial" w:cs="Arial" w:eastAsia="Arial" w:hAnsi="Arial"/>
                <w:sz w:val="16"/>
                <w:szCs w:val="16"/>
                <w:color w:val="auto"/>
              </w:rPr>
              <w:t>Municipal securities</w:t>
            </w:r>
          </w:p>
        </w:tc>
        <w:tc>
          <w:tcPr>
            <w:tcW w:w="940" w:type="dxa"/>
            <w:vAlign w:val="bottom"/>
            <w:shd w:val="clear" w:color="auto" w:fill="CCEEFF"/>
          </w:tcPr>
          <w:p>
            <w:pPr>
              <w:spacing w:after="0"/>
              <w:rPr>
                <w:sz w:val="24"/>
                <w:szCs w:val="24"/>
                <w:color w:val="auto"/>
              </w:rPr>
            </w:pPr>
          </w:p>
        </w:tc>
        <w:tc>
          <w:tcPr>
            <w:tcW w:w="5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131</w:t>
            </w: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38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24"/>
                <w:szCs w:val="24"/>
                <w:color w:val="auto"/>
              </w:rPr>
            </w:pPr>
          </w:p>
        </w:tc>
        <w:tc>
          <w:tcPr>
            <w:tcW w:w="134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131</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30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w:t>
            </w:r>
          </w:p>
        </w:tc>
      </w:tr>
      <w:tr>
        <w:trPr>
          <w:trHeight w:val="262"/>
        </w:trPr>
        <w:tc>
          <w:tcPr>
            <w:tcW w:w="5040" w:type="dxa"/>
            <w:vAlign w:val="bottom"/>
          </w:tcPr>
          <w:p>
            <w:pPr>
              <w:ind w:left="40"/>
              <w:spacing w:after="0"/>
              <w:rPr>
                <w:sz w:val="20"/>
                <w:szCs w:val="20"/>
                <w:color w:val="auto"/>
              </w:rPr>
            </w:pPr>
            <w:r>
              <w:rPr>
                <w:rFonts w:ascii="Arial" w:cs="Arial" w:eastAsia="Arial" w:hAnsi="Arial"/>
                <w:sz w:val="16"/>
                <w:szCs w:val="16"/>
                <w:color w:val="auto"/>
              </w:rPr>
              <w:t>Asset-backed securities</w:t>
            </w:r>
          </w:p>
        </w:tc>
        <w:tc>
          <w:tcPr>
            <w:tcW w:w="940" w:type="dxa"/>
            <w:vAlign w:val="bottom"/>
          </w:tcPr>
          <w:p>
            <w:pPr>
              <w:spacing w:after="0"/>
              <w:rPr>
                <w:sz w:val="22"/>
                <w:szCs w:val="22"/>
                <w:color w:val="auto"/>
              </w:rPr>
            </w:pPr>
          </w:p>
        </w:tc>
        <w:tc>
          <w:tcPr>
            <w:tcW w:w="560" w:type="dxa"/>
            <w:vAlign w:val="bottom"/>
          </w:tcPr>
          <w:p>
            <w:pPr>
              <w:jc w:val="right"/>
              <w:ind w:right="39"/>
              <w:spacing w:after="0"/>
              <w:rPr>
                <w:sz w:val="20"/>
                <w:szCs w:val="20"/>
                <w:color w:val="auto"/>
              </w:rPr>
            </w:pPr>
            <w:r>
              <w:rPr>
                <w:rFonts w:ascii="Arial" w:cs="Arial" w:eastAsia="Arial" w:hAnsi="Arial"/>
                <w:sz w:val="16"/>
                <w:szCs w:val="16"/>
                <w:color w:val="auto"/>
              </w:rPr>
              <w:t>125</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3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2"/>
                <w:szCs w:val="22"/>
                <w:color w:val="auto"/>
              </w:rPr>
            </w:pPr>
          </w:p>
        </w:tc>
        <w:tc>
          <w:tcPr>
            <w:tcW w:w="1340" w:type="dxa"/>
            <w:vAlign w:val="bottom"/>
          </w:tcPr>
          <w:p>
            <w:pPr>
              <w:jc w:val="right"/>
              <w:ind w:right="20"/>
              <w:spacing w:after="0"/>
              <w:rPr>
                <w:sz w:val="20"/>
                <w:szCs w:val="20"/>
                <w:color w:val="auto"/>
              </w:rPr>
            </w:pPr>
            <w:r>
              <w:rPr>
                <w:rFonts w:ascii="Arial" w:cs="Arial" w:eastAsia="Arial" w:hAnsi="Arial"/>
                <w:sz w:val="16"/>
                <w:szCs w:val="16"/>
                <w:color w:val="auto"/>
              </w:rPr>
              <w:t>125</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00" w:type="dxa"/>
            <w:vAlign w:val="bottom"/>
          </w:tcPr>
          <w:p>
            <w:pPr>
              <w:jc w:val="right"/>
              <w:ind w:right="21"/>
              <w:spacing w:after="0"/>
              <w:rPr>
                <w:sz w:val="20"/>
                <w:szCs w:val="20"/>
                <w:color w:val="auto"/>
              </w:rPr>
            </w:pPr>
            <w:r>
              <w:rPr>
                <w:rFonts w:ascii="Arial" w:cs="Arial" w:eastAsia="Arial" w:hAnsi="Arial"/>
                <w:sz w:val="16"/>
                <w:szCs w:val="16"/>
                <w:color w:val="auto"/>
              </w:rPr>
              <w:t>—</w:t>
            </w:r>
          </w:p>
        </w:tc>
      </w:tr>
      <w:tr>
        <w:trPr>
          <w:trHeight w:val="278"/>
        </w:trPr>
        <w:tc>
          <w:tcPr>
            <w:tcW w:w="5040" w:type="dxa"/>
            <w:vAlign w:val="bottom"/>
            <w:shd w:val="clear" w:color="auto" w:fill="CCEEFF"/>
          </w:tcPr>
          <w:p>
            <w:pPr>
              <w:ind w:left="40"/>
              <w:spacing w:after="0"/>
              <w:rPr>
                <w:sz w:val="20"/>
                <w:szCs w:val="20"/>
                <w:color w:val="auto"/>
              </w:rPr>
            </w:pPr>
            <w:r>
              <w:rPr>
                <w:rFonts w:ascii="Arial" w:cs="Arial" w:eastAsia="Arial" w:hAnsi="Arial"/>
                <w:sz w:val="16"/>
                <w:szCs w:val="16"/>
                <w:color w:val="auto"/>
              </w:rPr>
              <w:t>U.S. treasury notes</w:t>
            </w:r>
          </w:p>
        </w:tc>
        <w:tc>
          <w:tcPr>
            <w:tcW w:w="940" w:type="dxa"/>
            <w:vAlign w:val="bottom"/>
            <w:shd w:val="clear" w:color="auto" w:fill="CCEEFF"/>
          </w:tcPr>
          <w:p>
            <w:pPr>
              <w:spacing w:after="0"/>
              <w:rPr>
                <w:sz w:val="24"/>
                <w:szCs w:val="24"/>
                <w:color w:val="auto"/>
              </w:rPr>
            </w:pPr>
          </w:p>
        </w:tc>
        <w:tc>
          <w:tcPr>
            <w:tcW w:w="5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121</w:t>
            </w: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28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121</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44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24"/>
                <w:szCs w:val="24"/>
                <w:color w:val="auto"/>
              </w:rPr>
            </w:pPr>
          </w:p>
        </w:tc>
        <w:tc>
          <w:tcPr>
            <w:tcW w:w="130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w:t>
            </w:r>
          </w:p>
        </w:tc>
      </w:tr>
      <w:tr>
        <w:trPr>
          <w:trHeight w:val="264"/>
        </w:trPr>
        <w:tc>
          <w:tcPr>
            <w:tcW w:w="5040" w:type="dxa"/>
            <w:vAlign w:val="bottom"/>
          </w:tcPr>
          <w:p>
            <w:pPr>
              <w:ind w:left="40"/>
              <w:spacing w:after="0"/>
              <w:rPr>
                <w:sz w:val="20"/>
                <w:szCs w:val="20"/>
                <w:color w:val="auto"/>
              </w:rPr>
            </w:pPr>
            <w:r>
              <w:rPr>
                <w:rFonts w:ascii="Arial" w:cs="Arial" w:eastAsia="Arial" w:hAnsi="Arial"/>
                <w:sz w:val="16"/>
                <w:szCs w:val="16"/>
                <w:color w:val="auto"/>
              </w:rPr>
              <w:t>Certificates of deposit</w:t>
            </w:r>
          </w:p>
        </w:tc>
        <w:tc>
          <w:tcPr>
            <w:tcW w:w="940" w:type="dxa"/>
            <w:vAlign w:val="bottom"/>
          </w:tcPr>
          <w:p>
            <w:pPr>
              <w:spacing w:after="0"/>
              <w:rPr>
                <w:sz w:val="22"/>
                <w:szCs w:val="22"/>
                <w:color w:val="auto"/>
              </w:rPr>
            </w:pPr>
          </w:p>
        </w:tc>
        <w:tc>
          <w:tcPr>
            <w:tcW w:w="560" w:type="dxa"/>
            <w:vAlign w:val="bottom"/>
          </w:tcPr>
          <w:p>
            <w:pPr>
              <w:jc w:val="right"/>
              <w:ind w:right="39"/>
              <w:spacing w:after="0"/>
              <w:rPr>
                <w:sz w:val="20"/>
                <w:szCs w:val="20"/>
                <w:color w:val="auto"/>
              </w:rPr>
            </w:pPr>
            <w:r>
              <w:rPr>
                <w:rFonts w:ascii="Arial" w:cs="Arial" w:eastAsia="Arial" w:hAnsi="Arial"/>
                <w:sz w:val="16"/>
                <w:szCs w:val="16"/>
                <w:color w:val="auto"/>
              </w:rPr>
              <w:t>28</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3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2"/>
                <w:szCs w:val="22"/>
                <w:color w:val="auto"/>
              </w:rPr>
            </w:pPr>
          </w:p>
        </w:tc>
        <w:tc>
          <w:tcPr>
            <w:tcW w:w="1340" w:type="dxa"/>
            <w:vAlign w:val="bottom"/>
          </w:tcPr>
          <w:p>
            <w:pPr>
              <w:jc w:val="right"/>
              <w:ind w:right="20"/>
              <w:spacing w:after="0"/>
              <w:rPr>
                <w:sz w:val="20"/>
                <w:szCs w:val="20"/>
                <w:color w:val="auto"/>
              </w:rPr>
            </w:pPr>
            <w:r>
              <w:rPr>
                <w:rFonts w:ascii="Arial" w:cs="Arial" w:eastAsia="Arial" w:hAnsi="Arial"/>
                <w:sz w:val="16"/>
                <w:szCs w:val="16"/>
                <w:color w:val="auto"/>
              </w:rPr>
              <w:t>28</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00" w:type="dxa"/>
            <w:vAlign w:val="bottom"/>
          </w:tcPr>
          <w:p>
            <w:pPr>
              <w:jc w:val="right"/>
              <w:ind w:right="21"/>
              <w:spacing w:after="0"/>
              <w:rPr>
                <w:sz w:val="20"/>
                <w:szCs w:val="20"/>
                <w:color w:val="auto"/>
              </w:rPr>
            </w:pPr>
            <w:r>
              <w:rPr>
                <w:rFonts w:ascii="Arial" w:cs="Arial" w:eastAsia="Arial" w:hAnsi="Arial"/>
                <w:sz w:val="16"/>
                <w:szCs w:val="16"/>
                <w:color w:val="auto"/>
              </w:rPr>
              <w:t>—</w:t>
            </w:r>
          </w:p>
        </w:tc>
      </w:tr>
      <w:tr>
        <w:trPr>
          <w:trHeight w:val="257"/>
        </w:trPr>
        <w:tc>
          <w:tcPr>
            <w:tcW w:w="5040" w:type="dxa"/>
            <w:vAlign w:val="bottom"/>
            <w:tcBorders>
              <w:top w:val="single" w:sz="8" w:color="CCEEFF"/>
            </w:tcBorders>
            <w:shd w:val="clear" w:color="auto" w:fill="CCEEFF"/>
          </w:tcPr>
          <w:p>
            <w:pPr>
              <w:ind w:left="260"/>
              <w:spacing w:after="0"/>
              <w:rPr>
                <w:sz w:val="20"/>
                <w:szCs w:val="20"/>
                <w:color w:val="auto"/>
              </w:rPr>
            </w:pPr>
            <w:r>
              <w:rPr>
                <w:rFonts w:ascii="Arial" w:cs="Arial" w:eastAsia="Arial" w:hAnsi="Arial"/>
                <w:sz w:val="16"/>
                <w:szCs w:val="16"/>
                <w:color w:val="auto"/>
              </w:rPr>
              <w:t>Subtotal - current investments</w:t>
            </w:r>
          </w:p>
        </w:tc>
        <w:tc>
          <w:tcPr>
            <w:tcW w:w="940" w:type="dxa"/>
            <w:vAlign w:val="bottom"/>
            <w:tcBorders>
              <w:top w:val="single" w:sz="8" w:color="auto"/>
            </w:tcBorders>
            <w:shd w:val="clear" w:color="auto" w:fill="CCEEFF"/>
          </w:tcPr>
          <w:p>
            <w:pPr>
              <w:spacing w:after="0"/>
              <w:rPr>
                <w:sz w:val="22"/>
                <w:szCs w:val="22"/>
                <w:color w:val="auto"/>
              </w:rPr>
            </w:pPr>
          </w:p>
        </w:tc>
        <w:tc>
          <w:tcPr>
            <w:tcW w:w="560" w:type="dxa"/>
            <w:vAlign w:val="bottom"/>
            <w:tcBorders>
              <w:top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1,787</w:t>
            </w:r>
          </w:p>
        </w:tc>
        <w:tc>
          <w:tcPr>
            <w:tcW w:w="120" w:type="dxa"/>
            <w:vAlign w:val="bottom"/>
            <w:tcBorders>
              <w:top w:val="single" w:sz="8" w:color="CCEEFF"/>
            </w:tcBorders>
            <w:shd w:val="clear" w:color="auto" w:fill="CCEEFF"/>
          </w:tcPr>
          <w:p>
            <w:pPr>
              <w:spacing w:after="0"/>
              <w:rPr>
                <w:sz w:val="22"/>
                <w:szCs w:val="22"/>
                <w:color w:val="auto"/>
              </w:rPr>
            </w:pPr>
          </w:p>
        </w:tc>
        <w:tc>
          <w:tcPr>
            <w:tcW w:w="320" w:type="dxa"/>
            <w:vAlign w:val="bottom"/>
            <w:tcBorders>
              <w:top w:val="single" w:sz="8" w:color="auto"/>
            </w:tcBorders>
            <w:shd w:val="clear" w:color="auto" w:fill="CCEEFF"/>
          </w:tcPr>
          <w:p>
            <w:pPr>
              <w:spacing w:after="0"/>
              <w:rPr>
                <w:sz w:val="22"/>
                <w:szCs w:val="22"/>
                <w:color w:val="auto"/>
              </w:rPr>
            </w:pPr>
          </w:p>
        </w:tc>
        <w:tc>
          <w:tcPr>
            <w:tcW w:w="1280" w:type="dxa"/>
            <w:vAlign w:val="bottom"/>
            <w:tcBorders>
              <w:top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341</w:t>
            </w:r>
          </w:p>
        </w:tc>
        <w:tc>
          <w:tcPr>
            <w:tcW w:w="100" w:type="dxa"/>
            <w:vAlign w:val="bottom"/>
            <w:tcBorders>
              <w:top w:val="single" w:sz="8" w:color="CCEEFF"/>
            </w:tcBorders>
            <w:shd w:val="clear" w:color="auto" w:fill="CCEEFF"/>
          </w:tcPr>
          <w:p>
            <w:pPr>
              <w:spacing w:after="0"/>
              <w:rPr>
                <w:sz w:val="22"/>
                <w:szCs w:val="22"/>
                <w:color w:val="auto"/>
              </w:rPr>
            </w:pPr>
          </w:p>
        </w:tc>
        <w:tc>
          <w:tcPr>
            <w:tcW w:w="140" w:type="dxa"/>
            <w:vAlign w:val="bottom"/>
            <w:tcBorders>
              <w:top w:val="single" w:sz="8" w:color="auto"/>
            </w:tcBorders>
            <w:shd w:val="clear" w:color="auto" w:fill="CCEEFF"/>
          </w:tcPr>
          <w:p>
            <w:pPr>
              <w:spacing w:after="0"/>
              <w:rPr>
                <w:sz w:val="22"/>
                <w:szCs w:val="22"/>
                <w:color w:val="auto"/>
              </w:rPr>
            </w:pPr>
          </w:p>
        </w:tc>
        <w:tc>
          <w:tcPr>
            <w:tcW w:w="1340" w:type="dxa"/>
            <w:vAlign w:val="bottom"/>
            <w:tcBorders>
              <w:top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1,446</w:t>
            </w:r>
          </w:p>
        </w:tc>
        <w:tc>
          <w:tcPr>
            <w:tcW w:w="100" w:type="dxa"/>
            <w:vAlign w:val="bottom"/>
            <w:tcBorders>
              <w:top w:val="single" w:sz="8" w:color="CCEEFF"/>
            </w:tcBorders>
            <w:shd w:val="clear" w:color="auto" w:fill="CCEEFF"/>
          </w:tcPr>
          <w:p>
            <w:pPr>
              <w:spacing w:after="0"/>
              <w:rPr>
                <w:sz w:val="22"/>
                <w:szCs w:val="22"/>
                <w:color w:val="auto"/>
              </w:rPr>
            </w:pPr>
          </w:p>
        </w:tc>
        <w:tc>
          <w:tcPr>
            <w:tcW w:w="180" w:type="dxa"/>
            <w:vAlign w:val="bottom"/>
            <w:tcBorders>
              <w:top w:val="single" w:sz="8" w:color="auto"/>
            </w:tcBorders>
            <w:shd w:val="clear" w:color="auto" w:fill="CCEEFF"/>
          </w:tcPr>
          <w:p>
            <w:pPr>
              <w:spacing w:after="0"/>
              <w:rPr>
                <w:sz w:val="22"/>
                <w:szCs w:val="22"/>
                <w:color w:val="auto"/>
              </w:rPr>
            </w:pPr>
          </w:p>
        </w:tc>
        <w:tc>
          <w:tcPr>
            <w:tcW w:w="1300" w:type="dxa"/>
            <w:vAlign w:val="bottom"/>
            <w:tcBorders>
              <w:top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rPr>
              <w:t>—</w:t>
            </w:r>
          </w:p>
        </w:tc>
      </w:tr>
      <w:tr>
        <w:trPr>
          <w:trHeight w:val="262"/>
        </w:trPr>
        <w:tc>
          <w:tcPr>
            <w:tcW w:w="5040" w:type="dxa"/>
            <w:vAlign w:val="bottom"/>
          </w:tcPr>
          <w:p>
            <w:pPr>
              <w:ind w:left="40"/>
              <w:spacing w:after="0"/>
              <w:rPr>
                <w:sz w:val="20"/>
                <w:szCs w:val="20"/>
                <w:color w:val="auto"/>
              </w:rPr>
            </w:pPr>
            <w:r>
              <w:rPr>
                <w:rFonts w:ascii="Arial" w:cs="Arial" w:eastAsia="Arial" w:hAnsi="Arial"/>
                <w:sz w:val="16"/>
                <w:szCs w:val="16"/>
                <w:color w:val="auto"/>
              </w:rPr>
              <w:t>Corporate debt securities</w:t>
            </w:r>
          </w:p>
        </w:tc>
        <w:tc>
          <w:tcPr>
            <w:tcW w:w="940" w:type="dxa"/>
            <w:vAlign w:val="bottom"/>
          </w:tcPr>
          <w:p>
            <w:pPr>
              <w:spacing w:after="0"/>
              <w:rPr>
                <w:sz w:val="22"/>
                <w:szCs w:val="22"/>
                <w:color w:val="auto"/>
              </w:rPr>
            </w:pPr>
          </w:p>
        </w:tc>
        <w:tc>
          <w:tcPr>
            <w:tcW w:w="560" w:type="dxa"/>
            <w:vAlign w:val="bottom"/>
          </w:tcPr>
          <w:p>
            <w:pPr>
              <w:jc w:val="right"/>
              <w:ind w:right="39"/>
              <w:spacing w:after="0"/>
              <w:rPr>
                <w:sz w:val="20"/>
                <w:szCs w:val="20"/>
                <w:color w:val="auto"/>
              </w:rPr>
            </w:pPr>
            <w:r>
              <w:rPr>
                <w:rFonts w:ascii="Arial" w:cs="Arial" w:eastAsia="Arial" w:hAnsi="Arial"/>
                <w:sz w:val="16"/>
                <w:szCs w:val="16"/>
                <w:color w:val="auto"/>
              </w:rPr>
              <w:t>229</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3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2"/>
                <w:szCs w:val="22"/>
                <w:color w:val="auto"/>
              </w:rPr>
            </w:pPr>
          </w:p>
        </w:tc>
        <w:tc>
          <w:tcPr>
            <w:tcW w:w="1340" w:type="dxa"/>
            <w:vAlign w:val="bottom"/>
          </w:tcPr>
          <w:p>
            <w:pPr>
              <w:jc w:val="right"/>
              <w:ind w:right="20"/>
              <w:spacing w:after="0"/>
              <w:rPr>
                <w:sz w:val="20"/>
                <w:szCs w:val="20"/>
                <w:color w:val="auto"/>
              </w:rPr>
            </w:pPr>
            <w:r>
              <w:rPr>
                <w:rFonts w:ascii="Arial" w:cs="Arial" w:eastAsia="Arial" w:hAnsi="Arial"/>
                <w:sz w:val="16"/>
                <w:szCs w:val="16"/>
                <w:color w:val="auto"/>
              </w:rPr>
              <w:t>229</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00" w:type="dxa"/>
            <w:vAlign w:val="bottom"/>
          </w:tcPr>
          <w:p>
            <w:pPr>
              <w:jc w:val="right"/>
              <w:ind w:right="21"/>
              <w:spacing w:after="0"/>
              <w:rPr>
                <w:sz w:val="20"/>
                <w:szCs w:val="20"/>
                <w:color w:val="auto"/>
              </w:rPr>
            </w:pPr>
            <w:r>
              <w:rPr>
                <w:rFonts w:ascii="Arial" w:cs="Arial" w:eastAsia="Arial" w:hAnsi="Arial"/>
                <w:sz w:val="16"/>
                <w:szCs w:val="16"/>
                <w:color w:val="auto"/>
              </w:rPr>
              <w:t>—</w:t>
            </w:r>
          </w:p>
        </w:tc>
      </w:tr>
      <w:tr>
        <w:trPr>
          <w:trHeight w:val="278"/>
        </w:trPr>
        <w:tc>
          <w:tcPr>
            <w:tcW w:w="5040" w:type="dxa"/>
            <w:vAlign w:val="bottom"/>
            <w:shd w:val="clear" w:color="auto" w:fill="CCEEFF"/>
          </w:tcPr>
          <w:p>
            <w:pPr>
              <w:ind w:left="40"/>
              <w:spacing w:after="0"/>
              <w:rPr>
                <w:sz w:val="20"/>
                <w:szCs w:val="20"/>
                <w:color w:val="auto"/>
              </w:rPr>
            </w:pPr>
            <w:r>
              <w:rPr>
                <w:rFonts w:ascii="Arial" w:cs="Arial" w:eastAsia="Arial" w:hAnsi="Arial"/>
                <w:sz w:val="16"/>
                <w:szCs w:val="16"/>
                <w:color w:val="auto"/>
              </w:rPr>
              <w:t>U.S. treasury notes</w:t>
            </w:r>
          </w:p>
        </w:tc>
        <w:tc>
          <w:tcPr>
            <w:tcW w:w="940" w:type="dxa"/>
            <w:vAlign w:val="bottom"/>
            <w:shd w:val="clear" w:color="auto" w:fill="CCEEFF"/>
          </w:tcPr>
          <w:p>
            <w:pPr>
              <w:spacing w:after="0"/>
              <w:rPr>
                <w:sz w:val="24"/>
                <w:szCs w:val="24"/>
                <w:color w:val="auto"/>
              </w:rPr>
            </w:pPr>
          </w:p>
        </w:tc>
        <w:tc>
          <w:tcPr>
            <w:tcW w:w="5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97</w:t>
            </w: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28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97</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44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24"/>
                <w:szCs w:val="24"/>
                <w:color w:val="auto"/>
              </w:rPr>
            </w:pPr>
          </w:p>
        </w:tc>
        <w:tc>
          <w:tcPr>
            <w:tcW w:w="130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w:t>
            </w:r>
          </w:p>
        </w:tc>
      </w:tr>
      <w:tr>
        <w:trPr>
          <w:trHeight w:val="242"/>
        </w:trPr>
        <w:tc>
          <w:tcPr>
            <w:tcW w:w="5040" w:type="dxa"/>
            <w:vAlign w:val="bottom"/>
          </w:tcPr>
          <w:p>
            <w:pPr>
              <w:ind w:left="260"/>
              <w:spacing w:after="0"/>
              <w:rPr>
                <w:sz w:val="20"/>
                <w:szCs w:val="20"/>
                <w:color w:val="auto"/>
              </w:rPr>
            </w:pPr>
            <w:r>
              <w:rPr>
                <w:rFonts w:ascii="Arial" w:cs="Arial" w:eastAsia="Arial" w:hAnsi="Arial"/>
                <w:sz w:val="16"/>
                <w:szCs w:val="16"/>
                <w:color w:val="auto"/>
              </w:rPr>
              <w:t>Subtotal - current restricted investments</w:t>
            </w:r>
          </w:p>
        </w:tc>
        <w:tc>
          <w:tcPr>
            <w:tcW w:w="940" w:type="dxa"/>
            <w:vAlign w:val="bottom"/>
            <w:tcBorders>
              <w:top w:val="single" w:sz="8" w:color="auto"/>
            </w:tcBorders>
          </w:tcPr>
          <w:p>
            <w:pPr>
              <w:spacing w:after="0"/>
              <w:rPr>
                <w:sz w:val="21"/>
                <w:szCs w:val="21"/>
                <w:color w:val="auto"/>
              </w:rPr>
            </w:pPr>
          </w:p>
        </w:tc>
        <w:tc>
          <w:tcPr>
            <w:tcW w:w="5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326</w:t>
            </w:r>
          </w:p>
        </w:tc>
        <w:tc>
          <w:tcPr>
            <w:tcW w:w="120" w:type="dxa"/>
            <w:vAlign w:val="bottom"/>
          </w:tcPr>
          <w:p>
            <w:pPr>
              <w:spacing w:after="0"/>
              <w:rPr>
                <w:sz w:val="21"/>
                <w:szCs w:val="21"/>
                <w:color w:val="auto"/>
              </w:rPr>
            </w:pPr>
          </w:p>
        </w:tc>
        <w:tc>
          <w:tcPr>
            <w:tcW w:w="320" w:type="dxa"/>
            <w:vAlign w:val="bottom"/>
            <w:tcBorders>
              <w:top w:val="single" w:sz="8" w:color="auto"/>
            </w:tcBorders>
          </w:tcPr>
          <w:p>
            <w:pPr>
              <w:spacing w:after="0"/>
              <w:rPr>
                <w:sz w:val="21"/>
                <w:szCs w:val="21"/>
                <w:color w:val="auto"/>
              </w:rPr>
            </w:pPr>
          </w:p>
        </w:tc>
        <w:tc>
          <w:tcPr>
            <w:tcW w:w="128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97</w:t>
            </w:r>
          </w:p>
        </w:tc>
        <w:tc>
          <w:tcPr>
            <w:tcW w:w="100" w:type="dxa"/>
            <w:vAlign w:val="bottom"/>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134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229</w:t>
            </w:r>
          </w:p>
        </w:tc>
        <w:tc>
          <w:tcPr>
            <w:tcW w:w="100" w:type="dxa"/>
            <w:vAlign w:val="bottom"/>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1300" w:type="dxa"/>
            <w:vAlign w:val="bottom"/>
            <w:tcBorders>
              <w:top w:val="single" w:sz="8" w:color="auto"/>
            </w:tcBorders>
          </w:tcPr>
          <w:p>
            <w:pPr>
              <w:jc w:val="right"/>
              <w:ind w:right="21"/>
              <w:spacing w:after="0"/>
              <w:rPr>
                <w:sz w:val="20"/>
                <w:szCs w:val="20"/>
                <w:color w:val="auto"/>
              </w:rPr>
            </w:pPr>
            <w:r>
              <w:rPr>
                <w:rFonts w:ascii="Arial" w:cs="Arial" w:eastAsia="Arial" w:hAnsi="Arial"/>
                <w:sz w:val="16"/>
                <w:szCs w:val="16"/>
                <w:color w:val="auto"/>
              </w:rPr>
              <w:t>—</w:t>
            </w:r>
          </w:p>
        </w:tc>
      </w:tr>
      <w:tr>
        <w:trPr>
          <w:trHeight w:val="271"/>
        </w:trPr>
        <w:tc>
          <w:tcPr>
            <w:tcW w:w="5040" w:type="dxa"/>
            <w:vAlign w:val="bottom"/>
            <w:shd w:val="clear" w:color="auto" w:fill="CCEEFF"/>
          </w:tcPr>
          <w:p>
            <w:pPr>
              <w:ind w:left="40"/>
              <w:spacing w:after="0"/>
              <w:rPr>
                <w:sz w:val="20"/>
                <w:szCs w:val="20"/>
                <w:color w:val="auto"/>
              </w:rPr>
            </w:pPr>
            <w:r>
              <w:rPr>
                <w:rFonts w:ascii="Arial" w:cs="Arial" w:eastAsia="Arial" w:hAnsi="Arial"/>
                <w:sz w:val="16"/>
                <w:szCs w:val="16"/>
                <w:color w:val="auto"/>
              </w:rPr>
              <w:t>1.125% Call Option derivative asset</w:t>
            </w:r>
          </w:p>
        </w:tc>
        <w:tc>
          <w:tcPr>
            <w:tcW w:w="940" w:type="dxa"/>
            <w:vAlign w:val="bottom"/>
            <w:shd w:val="clear" w:color="auto" w:fill="CCEEFF"/>
          </w:tcPr>
          <w:p>
            <w:pPr>
              <w:spacing w:after="0"/>
              <w:rPr>
                <w:sz w:val="23"/>
                <w:szCs w:val="23"/>
                <w:color w:val="auto"/>
              </w:rPr>
            </w:pPr>
          </w:p>
        </w:tc>
        <w:tc>
          <w:tcPr>
            <w:tcW w:w="5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425</w:t>
            </w:r>
          </w:p>
        </w:tc>
        <w:tc>
          <w:tcPr>
            <w:tcW w:w="12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38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23"/>
                <w:szCs w:val="23"/>
                <w:color w:val="auto"/>
              </w:rPr>
            </w:pPr>
          </w:p>
        </w:tc>
        <w:tc>
          <w:tcPr>
            <w:tcW w:w="144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23"/>
                <w:szCs w:val="23"/>
                <w:color w:val="auto"/>
              </w:rPr>
            </w:pPr>
          </w:p>
        </w:tc>
        <w:tc>
          <w:tcPr>
            <w:tcW w:w="130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425</w:t>
            </w:r>
          </w:p>
        </w:tc>
      </w:tr>
      <w:tr>
        <w:trPr>
          <w:trHeight w:val="282"/>
        </w:trPr>
        <w:tc>
          <w:tcPr>
            <w:tcW w:w="5040" w:type="dxa"/>
            <w:vAlign w:val="bottom"/>
            <w:tcBorders>
              <w:bottom w:val="single" w:sz="8" w:color="CCEEFF"/>
            </w:tcBorders>
          </w:tcPr>
          <w:p>
            <w:pPr>
              <w:ind w:left="280"/>
              <w:spacing w:after="0"/>
              <w:rPr>
                <w:sz w:val="20"/>
                <w:szCs w:val="20"/>
                <w:color w:val="auto"/>
              </w:rPr>
            </w:pPr>
            <w:r>
              <w:rPr>
                <w:rFonts w:ascii="Arial" w:cs="Arial" w:eastAsia="Arial" w:hAnsi="Arial"/>
                <w:sz w:val="16"/>
                <w:szCs w:val="16"/>
                <w:color w:val="auto"/>
              </w:rPr>
              <w:t>Total assets</w:t>
            </w:r>
          </w:p>
        </w:tc>
        <w:tc>
          <w:tcPr>
            <w:tcW w:w="940" w:type="dxa"/>
            <w:vAlign w:val="bottom"/>
            <w:tcBorders>
              <w:top w:val="single" w:sz="8" w:color="auto"/>
              <w:bottom w:val="single" w:sz="8" w:color="auto"/>
            </w:tcBorders>
          </w:tcPr>
          <w:p>
            <w:pPr>
              <w:jc w:val="right"/>
              <w:ind w:right="761"/>
              <w:spacing w:after="0"/>
              <w:rPr>
                <w:sz w:val="20"/>
                <w:szCs w:val="20"/>
                <w:color w:val="auto"/>
              </w:rPr>
            </w:pPr>
            <w:r>
              <w:rPr>
                <w:rFonts w:ascii="Arial" w:cs="Arial" w:eastAsia="Arial" w:hAnsi="Arial"/>
                <w:sz w:val="16"/>
                <w:szCs w:val="16"/>
                <w:color w:val="auto"/>
                <w:w w:val="89"/>
              </w:rPr>
              <w:t>$</w:t>
            </w:r>
          </w:p>
        </w:tc>
        <w:tc>
          <w:tcPr>
            <w:tcW w:w="56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2,538</w:t>
            </w:r>
          </w:p>
        </w:tc>
        <w:tc>
          <w:tcPr>
            <w:tcW w:w="120" w:type="dxa"/>
            <w:vAlign w:val="bottom"/>
            <w:tcBorders>
              <w:bottom w:val="single" w:sz="8" w:color="CCEEFF"/>
            </w:tcBorders>
          </w:tcPr>
          <w:p>
            <w:pPr>
              <w:spacing w:after="0"/>
              <w:rPr>
                <w:sz w:val="24"/>
                <w:szCs w:val="24"/>
                <w:color w:val="auto"/>
              </w:rPr>
            </w:pPr>
          </w:p>
        </w:tc>
        <w:tc>
          <w:tcPr>
            <w:tcW w:w="320" w:type="dxa"/>
            <w:vAlign w:val="bottom"/>
            <w:tcBorders>
              <w:top w:val="single" w:sz="8" w:color="auto"/>
              <w:bottom w:val="single" w:sz="8" w:color="auto"/>
            </w:tcBorders>
          </w:tcPr>
          <w:p>
            <w:pPr>
              <w:jc w:val="right"/>
              <w:ind w:right="121"/>
              <w:spacing w:after="0"/>
              <w:rPr>
                <w:sz w:val="20"/>
                <w:szCs w:val="20"/>
                <w:color w:val="auto"/>
              </w:rPr>
            </w:pPr>
            <w:r>
              <w:rPr>
                <w:rFonts w:ascii="Arial" w:cs="Arial" w:eastAsia="Arial" w:hAnsi="Arial"/>
                <w:sz w:val="16"/>
                <w:szCs w:val="16"/>
                <w:color w:val="auto"/>
              </w:rPr>
              <w:t>$</w:t>
            </w:r>
          </w:p>
        </w:tc>
        <w:tc>
          <w:tcPr>
            <w:tcW w:w="128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6"/>
                <w:szCs w:val="16"/>
                <w:color w:val="auto"/>
              </w:rPr>
              <w:t>438</w:t>
            </w:r>
          </w:p>
        </w:tc>
        <w:tc>
          <w:tcPr>
            <w:tcW w:w="100" w:type="dxa"/>
            <w:vAlign w:val="bottom"/>
            <w:tcBorders>
              <w:bottom w:val="single" w:sz="8" w:color="CCEEFF"/>
            </w:tcBorders>
          </w:tcPr>
          <w:p>
            <w:pPr>
              <w:spacing w:after="0"/>
              <w:rPr>
                <w:sz w:val="24"/>
                <w:szCs w:val="2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34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6"/>
                <w:szCs w:val="16"/>
                <w:color w:val="auto"/>
              </w:rPr>
              <w:t>1,675</w:t>
            </w:r>
          </w:p>
        </w:tc>
        <w:tc>
          <w:tcPr>
            <w:tcW w:w="10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300" w:type="dxa"/>
            <w:vAlign w:val="bottom"/>
            <w:tcBorders>
              <w:top w:val="single" w:sz="8" w:color="auto"/>
              <w:bottom w:val="single" w:sz="8" w:color="auto"/>
            </w:tcBorders>
          </w:tcPr>
          <w:p>
            <w:pPr>
              <w:jc w:val="right"/>
              <w:ind w:right="21"/>
              <w:spacing w:after="0"/>
              <w:rPr>
                <w:sz w:val="20"/>
                <w:szCs w:val="20"/>
                <w:color w:val="auto"/>
              </w:rPr>
            </w:pPr>
            <w:r>
              <w:rPr>
                <w:rFonts w:ascii="Arial" w:cs="Arial" w:eastAsia="Arial" w:hAnsi="Arial"/>
                <w:sz w:val="16"/>
                <w:szCs w:val="16"/>
                <w:color w:val="auto"/>
              </w:rPr>
              <w:t>425</w:t>
            </w:r>
          </w:p>
        </w:tc>
      </w:tr>
      <w:tr>
        <w:trPr>
          <w:trHeight w:val="279"/>
        </w:trPr>
        <w:tc>
          <w:tcPr>
            <w:tcW w:w="504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2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3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300" w:type="dxa"/>
            <w:vAlign w:val="bottom"/>
            <w:shd w:val="clear" w:color="auto" w:fill="CCEEFF"/>
          </w:tcPr>
          <w:p>
            <w:pPr>
              <w:spacing w:after="0"/>
              <w:rPr>
                <w:sz w:val="24"/>
                <w:szCs w:val="24"/>
                <w:color w:val="auto"/>
              </w:rPr>
            </w:pPr>
          </w:p>
        </w:tc>
      </w:tr>
      <w:tr>
        <w:trPr>
          <w:trHeight w:val="264"/>
        </w:trPr>
        <w:tc>
          <w:tcPr>
            <w:tcW w:w="504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1.125% Conversion Option derivative liability</w:t>
            </w:r>
          </w:p>
        </w:tc>
        <w:tc>
          <w:tcPr>
            <w:tcW w:w="940" w:type="dxa"/>
            <w:vAlign w:val="bottom"/>
            <w:tcBorders>
              <w:bottom w:val="single" w:sz="8" w:color="auto"/>
            </w:tcBorders>
          </w:tcPr>
          <w:p>
            <w:pPr>
              <w:jc w:val="right"/>
              <w:ind w:right="761"/>
              <w:spacing w:after="0"/>
              <w:rPr>
                <w:sz w:val="20"/>
                <w:szCs w:val="20"/>
                <w:color w:val="auto"/>
              </w:rPr>
            </w:pPr>
            <w:r>
              <w:rPr>
                <w:rFonts w:ascii="Arial" w:cs="Arial" w:eastAsia="Arial" w:hAnsi="Arial"/>
                <w:sz w:val="16"/>
                <w:szCs w:val="16"/>
                <w:color w:val="auto"/>
                <w:w w:val="89"/>
              </w:rPr>
              <w:t>$</w:t>
            </w:r>
          </w:p>
        </w:tc>
        <w:tc>
          <w:tcPr>
            <w:tcW w:w="5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425</w:t>
            </w:r>
          </w:p>
        </w:tc>
        <w:tc>
          <w:tcPr>
            <w:tcW w:w="12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jc w:val="right"/>
              <w:ind w:right="121"/>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3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425</w:t>
            </w:r>
          </w:p>
        </w:tc>
      </w:tr>
      <w:tr>
        <w:trPr>
          <w:trHeight w:val="242"/>
        </w:trPr>
        <w:tc>
          <w:tcPr>
            <w:tcW w:w="5040" w:type="dxa"/>
            <w:vAlign w:val="bottom"/>
            <w:shd w:val="clear" w:color="auto" w:fill="CCEEFF"/>
          </w:tcPr>
          <w:p>
            <w:pPr>
              <w:ind w:left="280"/>
              <w:spacing w:after="0"/>
              <w:rPr>
                <w:sz w:val="20"/>
                <w:szCs w:val="20"/>
                <w:color w:val="auto"/>
              </w:rPr>
            </w:pPr>
            <w:r>
              <w:rPr>
                <w:rFonts w:ascii="Arial" w:cs="Arial" w:eastAsia="Arial" w:hAnsi="Arial"/>
                <w:sz w:val="16"/>
                <w:szCs w:val="16"/>
                <w:color w:val="auto"/>
              </w:rPr>
              <w:t>Total liabilities</w:t>
            </w:r>
          </w:p>
        </w:tc>
        <w:tc>
          <w:tcPr>
            <w:tcW w:w="940" w:type="dxa"/>
            <w:vAlign w:val="bottom"/>
            <w:shd w:val="clear" w:color="auto" w:fill="CCEEFF"/>
          </w:tcPr>
          <w:p>
            <w:pPr>
              <w:jc w:val="right"/>
              <w:ind w:right="761"/>
              <w:spacing w:after="0"/>
              <w:rPr>
                <w:sz w:val="20"/>
                <w:szCs w:val="20"/>
                <w:color w:val="auto"/>
              </w:rPr>
            </w:pPr>
            <w:r>
              <w:rPr>
                <w:rFonts w:ascii="Arial" w:cs="Arial" w:eastAsia="Arial" w:hAnsi="Arial"/>
                <w:sz w:val="16"/>
                <w:szCs w:val="16"/>
                <w:color w:val="auto"/>
                <w:w w:val="89"/>
              </w:rPr>
              <w:t>$</w:t>
            </w:r>
          </w:p>
        </w:tc>
        <w:tc>
          <w:tcPr>
            <w:tcW w:w="5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425</w:t>
            </w:r>
          </w:p>
        </w:tc>
        <w:tc>
          <w:tcPr>
            <w:tcW w:w="120" w:type="dxa"/>
            <w:vAlign w:val="bottom"/>
            <w:shd w:val="clear" w:color="auto" w:fill="CCEEFF"/>
          </w:tcPr>
          <w:p>
            <w:pPr>
              <w:spacing w:after="0"/>
              <w:rPr>
                <w:sz w:val="21"/>
                <w:szCs w:val="21"/>
                <w:color w:val="auto"/>
              </w:rPr>
            </w:pPr>
          </w:p>
        </w:tc>
        <w:tc>
          <w:tcPr>
            <w:tcW w:w="320" w:type="dxa"/>
            <w:vAlign w:val="bottom"/>
            <w:shd w:val="clear" w:color="auto" w:fill="CCEEFF"/>
          </w:tcPr>
          <w:p>
            <w:pPr>
              <w:jc w:val="right"/>
              <w:ind w:right="121"/>
              <w:spacing w:after="0"/>
              <w:rPr>
                <w:sz w:val="20"/>
                <w:szCs w:val="20"/>
                <w:color w:val="auto"/>
              </w:rPr>
            </w:pPr>
            <w:r>
              <w:rPr>
                <w:rFonts w:ascii="Arial" w:cs="Arial" w:eastAsia="Arial" w:hAnsi="Arial"/>
                <w:sz w:val="16"/>
                <w:szCs w:val="16"/>
                <w:color w:val="auto"/>
              </w:rPr>
              <w:t>$</w:t>
            </w:r>
          </w:p>
        </w:tc>
        <w:tc>
          <w:tcPr>
            <w:tcW w:w="138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4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0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425</w:t>
            </w:r>
          </w:p>
        </w:tc>
      </w:tr>
      <w:tr>
        <w:trPr>
          <w:trHeight w:val="20"/>
        </w:trPr>
        <w:tc>
          <w:tcPr>
            <w:tcW w:w="504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r>
    </w:tbl>
    <w:p>
      <w:pPr>
        <w:spacing w:after="0" w:line="32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Molina Healthcare, Inc. 2017 Form 10-Q | 13</w:t>
      </w:r>
    </w:p>
    <w:p>
      <w:pPr>
        <w:sectPr>
          <w:pgSz w:w="11900" w:h="16838" w:orient="portrait"/>
          <w:cols w:equalWidth="0" w:num="1">
            <w:col w:w="11420"/>
          </w:cols>
          <w:pgMar w:left="240" w:top="116" w:right="239" w:bottom="1440" w:gutter="0" w:footer="0" w:header="0"/>
        </w:sectPr>
      </w:pPr>
    </w:p>
    <w:bookmarkStart w:id="13" w:name="page14"/>
    <w:bookmarkEnd w:id="1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61" w:lineRule="exact"/>
        <w:rPr>
          <w:sz w:val="20"/>
          <w:szCs w:val="20"/>
          <w:color w:val="auto"/>
        </w:rPr>
      </w:pPr>
    </w:p>
    <w:p>
      <w:pPr>
        <w:spacing w:after="0"/>
        <w:rPr>
          <w:sz w:val="20"/>
          <w:szCs w:val="20"/>
          <w:color w:val="auto"/>
        </w:rPr>
      </w:pPr>
      <w:r>
        <w:rPr>
          <w:rFonts w:ascii="Arial" w:cs="Arial" w:eastAsia="Arial" w:hAnsi="Arial"/>
          <w:sz w:val="18"/>
          <w:szCs w:val="18"/>
          <w:color w:val="auto"/>
        </w:rPr>
        <w:t>Our financial instruments measured at fair value on a recurring basis at December 31, 2016, were as follows:</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1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Significant Other</w:t>
            </w:r>
          </w:p>
        </w:tc>
        <w:tc>
          <w:tcPr>
            <w:tcW w:w="180" w:type="dxa"/>
            <w:vAlign w:val="bottom"/>
          </w:tcPr>
          <w:p>
            <w:pPr>
              <w:spacing w:after="0"/>
              <w:rPr>
                <w:sz w:val="14"/>
                <w:szCs w:val="14"/>
                <w:color w:val="auto"/>
              </w:rPr>
            </w:pPr>
          </w:p>
        </w:tc>
        <w:tc>
          <w:tcPr>
            <w:tcW w:w="1300" w:type="dxa"/>
            <w:vAlign w:val="bottom"/>
          </w:tcPr>
          <w:p>
            <w:pPr>
              <w:jc w:val="center"/>
              <w:ind w:right="81"/>
              <w:spacing w:after="0"/>
              <w:rPr>
                <w:sz w:val="20"/>
                <w:szCs w:val="20"/>
                <w:color w:val="auto"/>
              </w:rPr>
            </w:pPr>
            <w:r>
              <w:rPr>
                <w:rFonts w:ascii="Arial" w:cs="Arial" w:eastAsia="Arial" w:hAnsi="Arial"/>
                <w:sz w:val="14"/>
                <w:szCs w:val="14"/>
                <w:b w:val="1"/>
                <w:bCs w:val="1"/>
                <w:color w:val="auto"/>
              </w:rPr>
              <w:t>Significant</w:t>
            </w:r>
          </w:p>
        </w:tc>
      </w:tr>
      <w:tr>
        <w:trPr>
          <w:trHeight w:val="162"/>
        </w:trPr>
        <w:tc>
          <w:tcPr>
            <w:tcW w:w="51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0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rPr>
              <w:t>Quoted Market Prices</w:t>
            </w:r>
          </w:p>
        </w:tc>
        <w:tc>
          <w:tcPr>
            <w:tcW w:w="158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rPr>
              <w:t>Observable Inputs</w:t>
            </w:r>
          </w:p>
        </w:tc>
        <w:tc>
          <w:tcPr>
            <w:tcW w:w="180" w:type="dxa"/>
            <w:vAlign w:val="bottom"/>
          </w:tcPr>
          <w:p>
            <w:pPr>
              <w:spacing w:after="0"/>
              <w:rPr>
                <w:sz w:val="14"/>
                <w:szCs w:val="14"/>
                <w:color w:val="auto"/>
              </w:rPr>
            </w:pPr>
          </w:p>
        </w:tc>
        <w:tc>
          <w:tcPr>
            <w:tcW w:w="1300" w:type="dxa"/>
            <w:vAlign w:val="bottom"/>
          </w:tcPr>
          <w:p>
            <w:pPr>
              <w:jc w:val="center"/>
              <w:ind w:right="101"/>
              <w:spacing w:after="0"/>
              <w:rPr>
                <w:sz w:val="20"/>
                <w:szCs w:val="20"/>
                <w:color w:val="auto"/>
              </w:rPr>
            </w:pPr>
            <w:r>
              <w:rPr>
                <w:rFonts w:ascii="Arial" w:cs="Arial" w:eastAsia="Arial" w:hAnsi="Arial"/>
                <w:sz w:val="14"/>
                <w:szCs w:val="14"/>
                <w:b w:val="1"/>
                <w:bCs w:val="1"/>
                <w:color w:val="auto"/>
              </w:rPr>
              <w:t>Unobservable</w:t>
            </w:r>
          </w:p>
        </w:tc>
      </w:tr>
      <w:tr>
        <w:trPr>
          <w:trHeight w:val="203"/>
        </w:trPr>
        <w:tc>
          <w:tcPr>
            <w:tcW w:w="5160" w:type="dxa"/>
            <w:vAlign w:val="bottom"/>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Total</w:t>
            </w:r>
          </w:p>
        </w:tc>
        <w:tc>
          <w:tcPr>
            <w:tcW w:w="5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gridSpan w:val="2"/>
          </w:tcPr>
          <w:p>
            <w:pPr>
              <w:jc w:val="center"/>
              <w:ind w:right="400"/>
              <w:spacing w:after="0"/>
              <w:rPr>
                <w:sz w:val="20"/>
                <w:szCs w:val="20"/>
                <w:color w:val="auto"/>
              </w:rPr>
            </w:pPr>
            <w:r>
              <w:rPr>
                <w:rFonts w:ascii="Arial" w:cs="Arial" w:eastAsia="Arial" w:hAnsi="Arial"/>
                <w:sz w:val="14"/>
                <w:szCs w:val="14"/>
                <w:b w:val="1"/>
                <w:bCs w:val="1"/>
                <w:color w:val="auto"/>
              </w:rPr>
              <w:t>(Level 1)</w:t>
            </w:r>
          </w:p>
        </w:tc>
        <w:tc>
          <w:tcPr>
            <w:tcW w:w="14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4"/>
                <w:szCs w:val="14"/>
                <w:b w:val="1"/>
                <w:bCs w:val="1"/>
                <w:color w:val="auto"/>
              </w:rPr>
              <w:t>(Level 2)</w:t>
            </w:r>
          </w:p>
        </w:tc>
        <w:tc>
          <w:tcPr>
            <w:tcW w:w="18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center"/>
              <w:ind w:right="81"/>
              <w:spacing w:after="0"/>
              <w:rPr>
                <w:sz w:val="20"/>
                <w:szCs w:val="20"/>
                <w:color w:val="auto"/>
              </w:rPr>
            </w:pPr>
            <w:r>
              <w:rPr>
                <w:rFonts w:ascii="Arial" w:cs="Arial" w:eastAsia="Arial" w:hAnsi="Arial"/>
                <w:sz w:val="14"/>
                <w:szCs w:val="14"/>
                <w:b w:val="1"/>
                <w:bCs w:val="1"/>
                <w:color w:val="auto"/>
              </w:rPr>
              <w:t>Inputs (Level 3)</w:t>
            </w:r>
          </w:p>
        </w:tc>
      </w:tr>
      <w:tr>
        <w:trPr>
          <w:trHeight w:val="210"/>
        </w:trPr>
        <w:tc>
          <w:tcPr>
            <w:tcW w:w="5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960" w:type="dxa"/>
            <w:vAlign w:val="bottom"/>
            <w:gridSpan w:val="5"/>
          </w:tcPr>
          <w:p>
            <w:pPr>
              <w:ind w:left="920"/>
              <w:spacing w:after="0"/>
              <w:rPr>
                <w:sz w:val="20"/>
                <w:szCs w:val="20"/>
                <w:color w:val="auto"/>
              </w:rPr>
            </w:pPr>
            <w:r>
              <w:rPr>
                <w:rFonts w:ascii="Arial" w:cs="Arial" w:eastAsia="Arial" w:hAnsi="Arial"/>
                <w:sz w:val="14"/>
                <w:szCs w:val="14"/>
                <w:b w:val="1"/>
                <w:bCs w:val="1"/>
                <w:color w:val="auto"/>
              </w:rPr>
              <w:t>(In millions)</w:t>
            </w:r>
          </w:p>
        </w:tc>
        <w:tc>
          <w:tcPr>
            <w:tcW w:w="18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271"/>
        </w:trPr>
        <w:tc>
          <w:tcPr>
            <w:tcW w:w="5160" w:type="dxa"/>
            <w:vAlign w:val="bottom"/>
            <w:shd w:val="clear" w:color="auto" w:fill="CCEEFF"/>
          </w:tcPr>
          <w:p>
            <w:pPr>
              <w:ind w:left="40"/>
              <w:spacing w:after="0"/>
              <w:rPr>
                <w:sz w:val="20"/>
                <w:szCs w:val="20"/>
                <w:color w:val="auto"/>
              </w:rPr>
            </w:pPr>
            <w:r>
              <w:rPr>
                <w:rFonts w:ascii="Arial" w:cs="Arial" w:eastAsia="Arial" w:hAnsi="Arial"/>
                <w:sz w:val="16"/>
                <w:szCs w:val="16"/>
                <w:color w:val="auto"/>
              </w:rPr>
              <w:t>Corporate debt securities</w:t>
            </w:r>
          </w:p>
        </w:tc>
        <w:tc>
          <w:tcPr>
            <w:tcW w:w="860" w:type="dxa"/>
            <w:vAlign w:val="bottom"/>
            <w:shd w:val="clear" w:color="auto" w:fill="CCEEFF"/>
          </w:tcPr>
          <w:p>
            <w:pPr>
              <w:jc w:val="right"/>
              <w:ind w:right="661"/>
              <w:spacing w:after="0"/>
              <w:rPr>
                <w:sz w:val="20"/>
                <w:szCs w:val="20"/>
                <w:color w:val="auto"/>
              </w:rPr>
            </w:pPr>
            <w:r>
              <w:rPr>
                <w:rFonts w:ascii="Arial" w:cs="Arial" w:eastAsia="Arial" w:hAnsi="Arial"/>
                <w:sz w:val="16"/>
                <w:szCs w:val="16"/>
                <w:color w:val="auto"/>
              </w:rPr>
              <w:t>$</w:t>
            </w:r>
          </w:p>
        </w:tc>
        <w:tc>
          <w:tcPr>
            <w:tcW w:w="5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99"/>
              </w:rPr>
              <w:t>1,179</w:t>
            </w: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jc w:val="right"/>
              <w:ind w:right="121"/>
              <w:spacing w:after="0"/>
              <w:rPr>
                <w:sz w:val="20"/>
                <w:szCs w:val="20"/>
                <w:color w:val="auto"/>
              </w:rPr>
            </w:pPr>
            <w:r>
              <w:rPr>
                <w:rFonts w:ascii="Arial" w:cs="Arial" w:eastAsia="Arial" w:hAnsi="Arial"/>
                <w:sz w:val="16"/>
                <w:szCs w:val="16"/>
                <w:color w:val="auto"/>
              </w:rPr>
              <w:t>$</w:t>
            </w:r>
          </w:p>
        </w:tc>
        <w:tc>
          <w:tcPr>
            <w:tcW w:w="138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4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1,179</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0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w:t>
            </w:r>
          </w:p>
        </w:tc>
      </w:tr>
      <w:tr>
        <w:trPr>
          <w:trHeight w:val="262"/>
        </w:trPr>
        <w:tc>
          <w:tcPr>
            <w:tcW w:w="5160" w:type="dxa"/>
            <w:vAlign w:val="bottom"/>
          </w:tcPr>
          <w:p>
            <w:pPr>
              <w:ind w:left="40"/>
              <w:spacing w:after="0"/>
              <w:rPr>
                <w:sz w:val="20"/>
                <w:szCs w:val="20"/>
                <w:color w:val="auto"/>
              </w:rPr>
            </w:pPr>
            <w:r>
              <w:rPr>
                <w:rFonts w:ascii="Arial" w:cs="Arial" w:eastAsia="Arial" w:hAnsi="Arial"/>
                <w:sz w:val="16"/>
                <w:szCs w:val="16"/>
                <w:color w:val="auto"/>
              </w:rPr>
              <w:t>GSEs</w:t>
            </w:r>
          </w:p>
        </w:tc>
        <w:tc>
          <w:tcPr>
            <w:tcW w:w="860" w:type="dxa"/>
            <w:vAlign w:val="bottom"/>
          </w:tcPr>
          <w:p>
            <w:pPr>
              <w:spacing w:after="0"/>
              <w:rPr>
                <w:sz w:val="22"/>
                <w:szCs w:val="22"/>
                <w:color w:val="auto"/>
              </w:rPr>
            </w:pPr>
          </w:p>
        </w:tc>
        <w:tc>
          <w:tcPr>
            <w:tcW w:w="540" w:type="dxa"/>
            <w:vAlign w:val="bottom"/>
          </w:tcPr>
          <w:p>
            <w:pPr>
              <w:jc w:val="right"/>
              <w:ind w:right="39"/>
              <w:spacing w:after="0"/>
              <w:rPr>
                <w:sz w:val="20"/>
                <w:szCs w:val="20"/>
                <w:color w:val="auto"/>
              </w:rPr>
            </w:pPr>
            <w:r>
              <w:rPr>
                <w:rFonts w:ascii="Arial" w:cs="Arial" w:eastAsia="Arial" w:hAnsi="Arial"/>
                <w:sz w:val="16"/>
                <w:szCs w:val="16"/>
                <w:color w:val="auto"/>
              </w:rPr>
              <w:t>231</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280" w:type="dxa"/>
            <w:vAlign w:val="bottom"/>
          </w:tcPr>
          <w:p>
            <w:pPr>
              <w:jc w:val="right"/>
              <w:ind w:right="20"/>
              <w:spacing w:after="0"/>
              <w:rPr>
                <w:sz w:val="20"/>
                <w:szCs w:val="20"/>
                <w:color w:val="auto"/>
              </w:rPr>
            </w:pPr>
            <w:r>
              <w:rPr>
                <w:rFonts w:ascii="Arial" w:cs="Arial" w:eastAsia="Arial" w:hAnsi="Arial"/>
                <w:sz w:val="16"/>
                <w:szCs w:val="16"/>
                <w:color w:val="auto"/>
              </w:rPr>
              <w:t>231</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4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2"/>
                <w:szCs w:val="22"/>
                <w:color w:val="auto"/>
              </w:rPr>
            </w:pPr>
          </w:p>
        </w:tc>
        <w:tc>
          <w:tcPr>
            <w:tcW w:w="1300" w:type="dxa"/>
            <w:vAlign w:val="bottom"/>
          </w:tcPr>
          <w:p>
            <w:pPr>
              <w:jc w:val="right"/>
              <w:ind w:right="21"/>
              <w:spacing w:after="0"/>
              <w:rPr>
                <w:sz w:val="20"/>
                <w:szCs w:val="20"/>
                <w:color w:val="auto"/>
              </w:rPr>
            </w:pPr>
            <w:r>
              <w:rPr>
                <w:rFonts w:ascii="Arial" w:cs="Arial" w:eastAsia="Arial" w:hAnsi="Arial"/>
                <w:sz w:val="16"/>
                <w:szCs w:val="16"/>
                <w:color w:val="auto"/>
              </w:rPr>
              <w:t>—</w:t>
            </w:r>
          </w:p>
        </w:tc>
      </w:tr>
      <w:tr>
        <w:trPr>
          <w:trHeight w:val="278"/>
        </w:trPr>
        <w:tc>
          <w:tcPr>
            <w:tcW w:w="5160" w:type="dxa"/>
            <w:vAlign w:val="bottom"/>
            <w:shd w:val="clear" w:color="auto" w:fill="CCEEFF"/>
          </w:tcPr>
          <w:p>
            <w:pPr>
              <w:ind w:left="40"/>
              <w:spacing w:after="0"/>
              <w:rPr>
                <w:sz w:val="20"/>
                <w:szCs w:val="20"/>
                <w:color w:val="auto"/>
              </w:rPr>
            </w:pPr>
            <w:r>
              <w:rPr>
                <w:rFonts w:ascii="Arial" w:cs="Arial" w:eastAsia="Arial" w:hAnsi="Arial"/>
                <w:sz w:val="16"/>
                <w:szCs w:val="16"/>
                <w:color w:val="auto"/>
              </w:rPr>
              <w:t>Municipal securities</w:t>
            </w:r>
          </w:p>
        </w:tc>
        <w:tc>
          <w:tcPr>
            <w:tcW w:w="860" w:type="dxa"/>
            <w:vAlign w:val="bottom"/>
            <w:shd w:val="clear" w:color="auto" w:fill="CCEEFF"/>
          </w:tcPr>
          <w:p>
            <w:pPr>
              <w:spacing w:after="0"/>
              <w:rPr>
                <w:sz w:val="24"/>
                <w:szCs w:val="24"/>
                <w:color w:val="auto"/>
              </w:rPr>
            </w:pPr>
          </w:p>
        </w:tc>
        <w:tc>
          <w:tcPr>
            <w:tcW w:w="5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142</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38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24"/>
                <w:szCs w:val="24"/>
                <w:color w:val="auto"/>
              </w:rPr>
            </w:pPr>
          </w:p>
        </w:tc>
        <w:tc>
          <w:tcPr>
            <w:tcW w:w="134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142</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30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w:t>
            </w:r>
          </w:p>
        </w:tc>
      </w:tr>
      <w:tr>
        <w:trPr>
          <w:trHeight w:val="262"/>
        </w:trPr>
        <w:tc>
          <w:tcPr>
            <w:tcW w:w="5160" w:type="dxa"/>
            <w:vAlign w:val="bottom"/>
          </w:tcPr>
          <w:p>
            <w:pPr>
              <w:ind w:left="40"/>
              <w:spacing w:after="0"/>
              <w:rPr>
                <w:sz w:val="20"/>
                <w:szCs w:val="20"/>
                <w:color w:val="auto"/>
              </w:rPr>
            </w:pPr>
            <w:r>
              <w:rPr>
                <w:rFonts w:ascii="Arial" w:cs="Arial" w:eastAsia="Arial" w:hAnsi="Arial"/>
                <w:sz w:val="16"/>
                <w:szCs w:val="16"/>
                <w:color w:val="auto"/>
              </w:rPr>
              <w:t>Asset-backed securities</w:t>
            </w:r>
          </w:p>
        </w:tc>
        <w:tc>
          <w:tcPr>
            <w:tcW w:w="860" w:type="dxa"/>
            <w:vAlign w:val="bottom"/>
          </w:tcPr>
          <w:p>
            <w:pPr>
              <w:spacing w:after="0"/>
              <w:rPr>
                <w:sz w:val="22"/>
                <w:szCs w:val="22"/>
                <w:color w:val="auto"/>
              </w:rPr>
            </w:pPr>
          </w:p>
        </w:tc>
        <w:tc>
          <w:tcPr>
            <w:tcW w:w="540" w:type="dxa"/>
            <w:vAlign w:val="bottom"/>
          </w:tcPr>
          <w:p>
            <w:pPr>
              <w:jc w:val="right"/>
              <w:ind w:right="39"/>
              <w:spacing w:after="0"/>
              <w:rPr>
                <w:sz w:val="20"/>
                <w:szCs w:val="20"/>
                <w:color w:val="auto"/>
              </w:rPr>
            </w:pPr>
            <w:r>
              <w:rPr>
                <w:rFonts w:ascii="Arial" w:cs="Arial" w:eastAsia="Arial" w:hAnsi="Arial"/>
                <w:sz w:val="16"/>
                <w:szCs w:val="16"/>
                <w:color w:val="auto"/>
              </w:rPr>
              <w:t>69</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3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2"/>
                <w:szCs w:val="22"/>
                <w:color w:val="auto"/>
              </w:rPr>
            </w:pPr>
          </w:p>
        </w:tc>
        <w:tc>
          <w:tcPr>
            <w:tcW w:w="1340" w:type="dxa"/>
            <w:vAlign w:val="bottom"/>
          </w:tcPr>
          <w:p>
            <w:pPr>
              <w:jc w:val="right"/>
              <w:ind w:right="20"/>
              <w:spacing w:after="0"/>
              <w:rPr>
                <w:sz w:val="20"/>
                <w:szCs w:val="20"/>
                <w:color w:val="auto"/>
              </w:rPr>
            </w:pPr>
            <w:r>
              <w:rPr>
                <w:rFonts w:ascii="Arial" w:cs="Arial" w:eastAsia="Arial" w:hAnsi="Arial"/>
                <w:sz w:val="16"/>
                <w:szCs w:val="16"/>
                <w:color w:val="auto"/>
              </w:rPr>
              <w:t>69</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00" w:type="dxa"/>
            <w:vAlign w:val="bottom"/>
          </w:tcPr>
          <w:p>
            <w:pPr>
              <w:jc w:val="right"/>
              <w:ind w:right="21"/>
              <w:spacing w:after="0"/>
              <w:rPr>
                <w:sz w:val="20"/>
                <w:szCs w:val="20"/>
                <w:color w:val="auto"/>
              </w:rPr>
            </w:pPr>
            <w:r>
              <w:rPr>
                <w:rFonts w:ascii="Arial" w:cs="Arial" w:eastAsia="Arial" w:hAnsi="Arial"/>
                <w:sz w:val="16"/>
                <w:szCs w:val="16"/>
                <w:color w:val="auto"/>
              </w:rPr>
              <w:t>—</w:t>
            </w:r>
          </w:p>
        </w:tc>
      </w:tr>
      <w:tr>
        <w:trPr>
          <w:trHeight w:val="278"/>
        </w:trPr>
        <w:tc>
          <w:tcPr>
            <w:tcW w:w="5160" w:type="dxa"/>
            <w:vAlign w:val="bottom"/>
            <w:shd w:val="clear" w:color="auto" w:fill="CCEEFF"/>
          </w:tcPr>
          <w:p>
            <w:pPr>
              <w:ind w:left="40"/>
              <w:spacing w:after="0"/>
              <w:rPr>
                <w:sz w:val="20"/>
                <w:szCs w:val="20"/>
                <w:color w:val="auto"/>
              </w:rPr>
            </w:pPr>
            <w:r>
              <w:rPr>
                <w:rFonts w:ascii="Arial" w:cs="Arial" w:eastAsia="Arial" w:hAnsi="Arial"/>
                <w:sz w:val="16"/>
                <w:szCs w:val="16"/>
                <w:color w:val="auto"/>
              </w:rPr>
              <w:t>U.S. treasury notes</w:t>
            </w:r>
          </w:p>
        </w:tc>
        <w:tc>
          <w:tcPr>
            <w:tcW w:w="860" w:type="dxa"/>
            <w:vAlign w:val="bottom"/>
            <w:shd w:val="clear" w:color="auto" w:fill="CCEEFF"/>
          </w:tcPr>
          <w:p>
            <w:pPr>
              <w:spacing w:after="0"/>
              <w:rPr>
                <w:sz w:val="24"/>
                <w:szCs w:val="24"/>
                <w:color w:val="auto"/>
              </w:rPr>
            </w:pPr>
          </w:p>
        </w:tc>
        <w:tc>
          <w:tcPr>
            <w:tcW w:w="5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84</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28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84</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44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24"/>
                <w:szCs w:val="24"/>
                <w:color w:val="auto"/>
              </w:rPr>
            </w:pPr>
          </w:p>
        </w:tc>
        <w:tc>
          <w:tcPr>
            <w:tcW w:w="130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w:t>
            </w:r>
          </w:p>
        </w:tc>
      </w:tr>
      <w:tr>
        <w:trPr>
          <w:trHeight w:val="264"/>
        </w:trPr>
        <w:tc>
          <w:tcPr>
            <w:tcW w:w="5160" w:type="dxa"/>
            <w:vAlign w:val="bottom"/>
          </w:tcPr>
          <w:p>
            <w:pPr>
              <w:ind w:left="40"/>
              <w:spacing w:after="0"/>
              <w:rPr>
                <w:sz w:val="20"/>
                <w:szCs w:val="20"/>
                <w:color w:val="auto"/>
              </w:rPr>
            </w:pPr>
            <w:r>
              <w:rPr>
                <w:rFonts w:ascii="Arial" w:cs="Arial" w:eastAsia="Arial" w:hAnsi="Arial"/>
                <w:sz w:val="16"/>
                <w:szCs w:val="16"/>
                <w:color w:val="auto"/>
              </w:rPr>
              <w:t>Certificates of deposit</w:t>
            </w:r>
          </w:p>
        </w:tc>
        <w:tc>
          <w:tcPr>
            <w:tcW w:w="860" w:type="dxa"/>
            <w:vAlign w:val="bottom"/>
          </w:tcPr>
          <w:p>
            <w:pPr>
              <w:spacing w:after="0"/>
              <w:rPr>
                <w:sz w:val="22"/>
                <w:szCs w:val="22"/>
                <w:color w:val="auto"/>
              </w:rPr>
            </w:pPr>
          </w:p>
        </w:tc>
        <w:tc>
          <w:tcPr>
            <w:tcW w:w="540" w:type="dxa"/>
            <w:vAlign w:val="bottom"/>
          </w:tcPr>
          <w:p>
            <w:pPr>
              <w:jc w:val="right"/>
              <w:ind w:right="39"/>
              <w:spacing w:after="0"/>
              <w:rPr>
                <w:sz w:val="20"/>
                <w:szCs w:val="20"/>
                <w:color w:val="auto"/>
              </w:rPr>
            </w:pPr>
            <w:r>
              <w:rPr>
                <w:rFonts w:ascii="Arial" w:cs="Arial" w:eastAsia="Arial" w:hAnsi="Arial"/>
                <w:sz w:val="16"/>
                <w:szCs w:val="16"/>
                <w:color w:val="auto"/>
              </w:rPr>
              <w:t>53</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3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2"/>
                <w:szCs w:val="22"/>
                <w:color w:val="auto"/>
              </w:rPr>
            </w:pPr>
          </w:p>
        </w:tc>
        <w:tc>
          <w:tcPr>
            <w:tcW w:w="1340" w:type="dxa"/>
            <w:vAlign w:val="bottom"/>
          </w:tcPr>
          <w:p>
            <w:pPr>
              <w:jc w:val="right"/>
              <w:ind w:right="20"/>
              <w:spacing w:after="0"/>
              <w:rPr>
                <w:sz w:val="20"/>
                <w:szCs w:val="20"/>
                <w:color w:val="auto"/>
              </w:rPr>
            </w:pPr>
            <w:r>
              <w:rPr>
                <w:rFonts w:ascii="Arial" w:cs="Arial" w:eastAsia="Arial" w:hAnsi="Arial"/>
                <w:sz w:val="16"/>
                <w:szCs w:val="16"/>
                <w:color w:val="auto"/>
              </w:rPr>
              <w:t>53</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00" w:type="dxa"/>
            <w:vAlign w:val="bottom"/>
          </w:tcPr>
          <w:p>
            <w:pPr>
              <w:jc w:val="right"/>
              <w:ind w:right="21"/>
              <w:spacing w:after="0"/>
              <w:rPr>
                <w:sz w:val="20"/>
                <w:szCs w:val="20"/>
                <w:color w:val="auto"/>
              </w:rPr>
            </w:pPr>
            <w:r>
              <w:rPr>
                <w:rFonts w:ascii="Arial" w:cs="Arial" w:eastAsia="Arial" w:hAnsi="Arial"/>
                <w:sz w:val="16"/>
                <w:szCs w:val="16"/>
                <w:color w:val="auto"/>
              </w:rPr>
              <w:t>—</w:t>
            </w:r>
          </w:p>
        </w:tc>
      </w:tr>
      <w:tr>
        <w:trPr>
          <w:trHeight w:val="257"/>
        </w:trPr>
        <w:tc>
          <w:tcPr>
            <w:tcW w:w="5160" w:type="dxa"/>
            <w:vAlign w:val="bottom"/>
            <w:tcBorders>
              <w:top w:val="single" w:sz="8" w:color="CCEEFF"/>
            </w:tcBorders>
            <w:shd w:val="clear" w:color="auto" w:fill="CCEEFF"/>
          </w:tcPr>
          <w:p>
            <w:pPr>
              <w:ind w:left="260"/>
              <w:spacing w:after="0"/>
              <w:rPr>
                <w:sz w:val="20"/>
                <w:szCs w:val="20"/>
                <w:color w:val="auto"/>
              </w:rPr>
            </w:pPr>
            <w:r>
              <w:rPr>
                <w:rFonts w:ascii="Arial" w:cs="Arial" w:eastAsia="Arial" w:hAnsi="Arial"/>
                <w:sz w:val="16"/>
                <w:szCs w:val="16"/>
                <w:color w:val="auto"/>
              </w:rPr>
              <w:t>Subtotal - current investments</w:t>
            </w:r>
          </w:p>
        </w:tc>
        <w:tc>
          <w:tcPr>
            <w:tcW w:w="860" w:type="dxa"/>
            <w:vAlign w:val="bottom"/>
            <w:tcBorders>
              <w:top w:val="single" w:sz="8" w:color="auto"/>
            </w:tcBorders>
            <w:shd w:val="clear" w:color="auto" w:fill="CCEEFF"/>
          </w:tcPr>
          <w:p>
            <w:pPr>
              <w:spacing w:after="0"/>
              <w:rPr>
                <w:sz w:val="22"/>
                <w:szCs w:val="22"/>
                <w:color w:val="auto"/>
              </w:rPr>
            </w:pPr>
          </w:p>
        </w:tc>
        <w:tc>
          <w:tcPr>
            <w:tcW w:w="540" w:type="dxa"/>
            <w:vAlign w:val="bottom"/>
            <w:tcBorders>
              <w:top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99"/>
              </w:rPr>
              <w:t>1,758</w:t>
            </w:r>
          </w:p>
        </w:tc>
        <w:tc>
          <w:tcPr>
            <w:tcW w:w="100" w:type="dxa"/>
            <w:vAlign w:val="bottom"/>
            <w:tcBorders>
              <w:top w:val="single" w:sz="8" w:color="CCEEFF"/>
            </w:tcBorders>
            <w:shd w:val="clear" w:color="auto" w:fill="CCEEFF"/>
          </w:tcPr>
          <w:p>
            <w:pPr>
              <w:spacing w:after="0"/>
              <w:rPr>
                <w:sz w:val="22"/>
                <w:szCs w:val="22"/>
                <w:color w:val="auto"/>
              </w:rPr>
            </w:pPr>
          </w:p>
        </w:tc>
        <w:tc>
          <w:tcPr>
            <w:tcW w:w="320" w:type="dxa"/>
            <w:vAlign w:val="bottom"/>
            <w:tcBorders>
              <w:top w:val="single" w:sz="8" w:color="auto"/>
            </w:tcBorders>
            <w:shd w:val="clear" w:color="auto" w:fill="CCEEFF"/>
          </w:tcPr>
          <w:p>
            <w:pPr>
              <w:spacing w:after="0"/>
              <w:rPr>
                <w:sz w:val="22"/>
                <w:szCs w:val="22"/>
                <w:color w:val="auto"/>
              </w:rPr>
            </w:pPr>
          </w:p>
        </w:tc>
        <w:tc>
          <w:tcPr>
            <w:tcW w:w="1280" w:type="dxa"/>
            <w:vAlign w:val="bottom"/>
            <w:tcBorders>
              <w:top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315</w:t>
            </w:r>
          </w:p>
        </w:tc>
        <w:tc>
          <w:tcPr>
            <w:tcW w:w="100" w:type="dxa"/>
            <w:vAlign w:val="bottom"/>
            <w:tcBorders>
              <w:top w:val="single" w:sz="8" w:color="CCEEFF"/>
            </w:tcBorders>
            <w:shd w:val="clear" w:color="auto" w:fill="CCEEFF"/>
          </w:tcPr>
          <w:p>
            <w:pPr>
              <w:spacing w:after="0"/>
              <w:rPr>
                <w:sz w:val="22"/>
                <w:szCs w:val="22"/>
                <w:color w:val="auto"/>
              </w:rPr>
            </w:pPr>
          </w:p>
        </w:tc>
        <w:tc>
          <w:tcPr>
            <w:tcW w:w="140" w:type="dxa"/>
            <w:vAlign w:val="bottom"/>
            <w:tcBorders>
              <w:top w:val="single" w:sz="8" w:color="auto"/>
            </w:tcBorders>
            <w:shd w:val="clear" w:color="auto" w:fill="CCEEFF"/>
          </w:tcPr>
          <w:p>
            <w:pPr>
              <w:spacing w:after="0"/>
              <w:rPr>
                <w:sz w:val="22"/>
                <w:szCs w:val="22"/>
                <w:color w:val="auto"/>
              </w:rPr>
            </w:pPr>
          </w:p>
        </w:tc>
        <w:tc>
          <w:tcPr>
            <w:tcW w:w="1340" w:type="dxa"/>
            <w:vAlign w:val="bottom"/>
            <w:tcBorders>
              <w:top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1,443</w:t>
            </w:r>
          </w:p>
        </w:tc>
        <w:tc>
          <w:tcPr>
            <w:tcW w:w="100" w:type="dxa"/>
            <w:vAlign w:val="bottom"/>
            <w:tcBorders>
              <w:top w:val="single" w:sz="8" w:color="CCEEFF"/>
            </w:tcBorders>
            <w:shd w:val="clear" w:color="auto" w:fill="CCEEFF"/>
          </w:tcPr>
          <w:p>
            <w:pPr>
              <w:spacing w:after="0"/>
              <w:rPr>
                <w:sz w:val="22"/>
                <w:szCs w:val="22"/>
                <w:color w:val="auto"/>
              </w:rPr>
            </w:pPr>
          </w:p>
        </w:tc>
        <w:tc>
          <w:tcPr>
            <w:tcW w:w="180" w:type="dxa"/>
            <w:vAlign w:val="bottom"/>
            <w:tcBorders>
              <w:top w:val="single" w:sz="8" w:color="auto"/>
            </w:tcBorders>
            <w:shd w:val="clear" w:color="auto" w:fill="CCEEFF"/>
          </w:tcPr>
          <w:p>
            <w:pPr>
              <w:spacing w:after="0"/>
              <w:rPr>
                <w:sz w:val="22"/>
                <w:szCs w:val="22"/>
                <w:color w:val="auto"/>
              </w:rPr>
            </w:pPr>
          </w:p>
        </w:tc>
        <w:tc>
          <w:tcPr>
            <w:tcW w:w="1300" w:type="dxa"/>
            <w:vAlign w:val="bottom"/>
            <w:tcBorders>
              <w:top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rPr>
              <w:t>—</w:t>
            </w:r>
          </w:p>
        </w:tc>
      </w:tr>
      <w:tr>
        <w:trPr>
          <w:trHeight w:val="264"/>
        </w:trPr>
        <w:tc>
          <w:tcPr>
            <w:tcW w:w="5160" w:type="dxa"/>
            <w:vAlign w:val="bottom"/>
          </w:tcPr>
          <w:p>
            <w:pPr>
              <w:ind w:left="40"/>
              <w:spacing w:after="0"/>
              <w:rPr>
                <w:sz w:val="20"/>
                <w:szCs w:val="20"/>
                <w:color w:val="auto"/>
              </w:rPr>
            </w:pPr>
            <w:r>
              <w:rPr>
                <w:rFonts w:ascii="Arial" w:cs="Arial" w:eastAsia="Arial" w:hAnsi="Arial"/>
                <w:sz w:val="16"/>
                <w:szCs w:val="16"/>
                <w:color w:val="auto"/>
              </w:rPr>
              <w:t>1.125% Call Option derivative asset</w:t>
            </w:r>
          </w:p>
        </w:tc>
        <w:tc>
          <w:tcPr>
            <w:tcW w:w="860" w:type="dxa"/>
            <w:vAlign w:val="bottom"/>
          </w:tcPr>
          <w:p>
            <w:pPr>
              <w:spacing w:after="0"/>
              <w:rPr>
                <w:sz w:val="22"/>
                <w:szCs w:val="22"/>
                <w:color w:val="auto"/>
              </w:rPr>
            </w:pPr>
          </w:p>
        </w:tc>
        <w:tc>
          <w:tcPr>
            <w:tcW w:w="540" w:type="dxa"/>
            <w:vAlign w:val="bottom"/>
          </w:tcPr>
          <w:p>
            <w:pPr>
              <w:jc w:val="right"/>
              <w:ind w:right="39"/>
              <w:spacing w:after="0"/>
              <w:rPr>
                <w:sz w:val="20"/>
                <w:szCs w:val="20"/>
                <w:color w:val="auto"/>
              </w:rPr>
            </w:pPr>
            <w:r>
              <w:rPr>
                <w:rFonts w:ascii="Arial" w:cs="Arial" w:eastAsia="Arial" w:hAnsi="Arial"/>
                <w:sz w:val="16"/>
                <w:szCs w:val="16"/>
                <w:color w:val="auto"/>
              </w:rPr>
              <w:t>267</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3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2"/>
                <w:szCs w:val="22"/>
                <w:color w:val="auto"/>
              </w:rPr>
            </w:pPr>
          </w:p>
        </w:tc>
        <w:tc>
          <w:tcPr>
            <w:tcW w:w="14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2"/>
                <w:szCs w:val="22"/>
                <w:color w:val="auto"/>
              </w:rPr>
            </w:pPr>
          </w:p>
        </w:tc>
        <w:tc>
          <w:tcPr>
            <w:tcW w:w="1300" w:type="dxa"/>
            <w:vAlign w:val="bottom"/>
          </w:tcPr>
          <w:p>
            <w:pPr>
              <w:jc w:val="right"/>
              <w:ind w:right="21"/>
              <w:spacing w:after="0"/>
              <w:rPr>
                <w:sz w:val="20"/>
                <w:szCs w:val="20"/>
                <w:color w:val="auto"/>
              </w:rPr>
            </w:pPr>
            <w:r>
              <w:rPr>
                <w:rFonts w:ascii="Arial" w:cs="Arial" w:eastAsia="Arial" w:hAnsi="Arial"/>
                <w:sz w:val="16"/>
                <w:szCs w:val="16"/>
                <w:color w:val="auto"/>
              </w:rPr>
              <w:t>267</w:t>
            </w:r>
          </w:p>
        </w:tc>
      </w:tr>
      <w:tr>
        <w:trPr>
          <w:trHeight w:val="237"/>
        </w:trPr>
        <w:tc>
          <w:tcPr>
            <w:tcW w:w="5160" w:type="dxa"/>
            <w:vAlign w:val="bottom"/>
            <w:tcBorders>
              <w:top w:val="single" w:sz="8" w:color="CCEEFF"/>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Total assets</w:t>
            </w:r>
          </w:p>
        </w:tc>
        <w:tc>
          <w:tcPr>
            <w:tcW w:w="860" w:type="dxa"/>
            <w:vAlign w:val="bottom"/>
            <w:tcBorders>
              <w:top w:val="single" w:sz="8" w:color="auto"/>
              <w:bottom w:val="single" w:sz="8" w:color="auto"/>
            </w:tcBorders>
            <w:shd w:val="clear" w:color="auto" w:fill="CCEEFF"/>
          </w:tcPr>
          <w:p>
            <w:pPr>
              <w:jc w:val="right"/>
              <w:ind w:right="661"/>
              <w:spacing w:after="0"/>
              <w:rPr>
                <w:sz w:val="20"/>
                <w:szCs w:val="20"/>
                <w:color w:val="auto"/>
              </w:rPr>
            </w:pPr>
            <w:r>
              <w:rPr>
                <w:rFonts w:ascii="Arial" w:cs="Arial" w:eastAsia="Arial" w:hAnsi="Arial"/>
                <w:sz w:val="16"/>
                <w:szCs w:val="16"/>
                <w:color w:val="auto"/>
              </w:rPr>
              <w:t>$</w:t>
            </w:r>
          </w:p>
        </w:tc>
        <w:tc>
          <w:tcPr>
            <w:tcW w:w="540" w:type="dxa"/>
            <w:vAlign w:val="bottom"/>
            <w:tcBorders>
              <w:top w:val="single" w:sz="8" w:color="auto"/>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99"/>
              </w:rPr>
              <w:t>2,025</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320" w:type="dxa"/>
            <w:vAlign w:val="bottom"/>
            <w:tcBorders>
              <w:top w:val="single" w:sz="8" w:color="auto"/>
              <w:bottom w:val="single" w:sz="8" w:color="auto"/>
            </w:tcBorders>
            <w:shd w:val="clear" w:color="auto" w:fill="CCEEFF"/>
          </w:tcPr>
          <w:p>
            <w:pPr>
              <w:jc w:val="right"/>
              <w:ind w:right="121"/>
              <w:spacing w:after="0"/>
              <w:rPr>
                <w:sz w:val="20"/>
                <w:szCs w:val="20"/>
                <w:color w:val="auto"/>
              </w:rPr>
            </w:pPr>
            <w:r>
              <w:rPr>
                <w:rFonts w:ascii="Arial" w:cs="Arial" w:eastAsia="Arial" w:hAnsi="Arial"/>
                <w:sz w:val="16"/>
                <w:szCs w:val="16"/>
                <w:color w:val="auto"/>
              </w:rPr>
              <w:t>$</w:t>
            </w:r>
          </w:p>
        </w:tc>
        <w:tc>
          <w:tcPr>
            <w:tcW w:w="1280" w:type="dxa"/>
            <w:vAlign w:val="bottom"/>
            <w:tcBorders>
              <w:top w:val="single" w:sz="8" w:color="auto"/>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315</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40" w:type="dxa"/>
            <w:vAlign w:val="bottom"/>
            <w:tcBorders>
              <w:top w:val="single" w:sz="8" w:color="auto"/>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1,443</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00" w:type="dxa"/>
            <w:vAlign w:val="bottom"/>
            <w:tcBorders>
              <w:top w:val="single" w:sz="8" w:color="auto"/>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rPr>
              <w:t>267</w:t>
            </w:r>
          </w:p>
        </w:tc>
      </w:tr>
      <w:tr>
        <w:trPr>
          <w:trHeight w:val="20"/>
        </w:trPr>
        <w:tc>
          <w:tcPr>
            <w:tcW w:w="516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r>
        <w:trPr>
          <w:trHeight w:val="284"/>
        </w:trPr>
        <w:tc>
          <w:tcPr>
            <w:tcW w:w="5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270"/>
        </w:trPr>
        <w:tc>
          <w:tcPr>
            <w:tcW w:w="5160" w:type="dxa"/>
            <w:vAlign w:val="bottom"/>
            <w:shd w:val="clear" w:color="auto" w:fill="CCEEFF"/>
          </w:tcPr>
          <w:p>
            <w:pPr>
              <w:ind w:left="40"/>
              <w:spacing w:after="0"/>
              <w:rPr>
                <w:sz w:val="20"/>
                <w:szCs w:val="20"/>
                <w:color w:val="auto"/>
              </w:rPr>
            </w:pPr>
            <w:r>
              <w:rPr>
                <w:rFonts w:ascii="Arial" w:cs="Arial" w:eastAsia="Arial" w:hAnsi="Arial"/>
                <w:sz w:val="16"/>
                <w:szCs w:val="16"/>
                <w:color w:val="auto"/>
              </w:rPr>
              <w:t>1.125% Conversion Option derivative liability</w:t>
            </w:r>
          </w:p>
        </w:tc>
        <w:tc>
          <w:tcPr>
            <w:tcW w:w="860" w:type="dxa"/>
            <w:vAlign w:val="bottom"/>
            <w:tcBorders>
              <w:bottom w:val="single" w:sz="8" w:color="auto"/>
            </w:tcBorders>
            <w:shd w:val="clear" w:color="auto" w:fill="CCEEFF"/>
          </w:tcPr>
          <w:p>
            <w:pPr>
              <w:jc w:val="right"/>
              <w:ind w:right="661"/>
              <w:spacing w:after="0"/>
              <w:rPr>
                <w:sz w:val="20"/>
                <w:szCs w:val="20"/>
                <w:color w:val="auto"/>
              </w:rPr>
            </w:pPr>
            <w:r>
              <w:rPr>
                <w:rFonts w:ascii="Arial" w:cs="Arial" w:eastAsia="Arial" w:hAnsi="Arial"/>
                <w:sz w:val="16"/>
                <w:szCs w:val="16"/>
                <w:color w:val="auto"/>
              </w:rPr>
              <w:t>$</w:t>
            </w:r>
          </w:p>
        </w:tc>
        <w:tc>
          <w:tcPr>
            <w:tcW w:w="5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267</w:t>
            </w:r>
          </w:p>
        </w:tc>
        <w:tc>
          <w:tcPr>
            <w:tcW w:w="100" w:type="dxa"/>
            <w:vAlign w:val="bottom"/>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jc w:val="right"/>
              <w:ind w:right="121"/>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4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rPr>
              <w:t>267</w:t>
            </w:r>
          </w:p>
        </w:tc>
      </w:tr>
      <w:tr>
        <w:trPr>
          <w:trHeight w:val="230"/>
        </w:trPr>
        <w:tc>
          <w:tcPr>
            <w:tcW w:w="5160" w:type="dxa"/>
            <w:vAlign w:val="bottom"/>
          </w:tcPr>
          <w:p>
            <w:pPr>
              <w:ind w:left="280"/>
              <w:spacing w:after="0"/>
              <w:rPr>
                <w:sz w:val="20"/>
                <w:szCs w:val="20"/>
                <w:color w:val="auto"/>
              </w:rPr>
            </w:pPr>
            <w:r>
              <w:rPr>
                <w:rFonts w:ascii="Arial" w:cs="Arial" w:eastAsia="Arial" w:hAnsi="Arial"/>
                <w:sz w:val="16"/>
                <w:szCs w:val="16"/>
                <w:color w:val="auto"/>
              </w:rPr>
              <w:t>Total liabilities</w:t>
            </w:r>
          </w:p>
        </w:tc>
        <w:tc>
          <w:tcPr>
            <w:tcW w:w="860" w:type="dxa"/>
            <w:vAlign w:val="bottom"/>
          </w:tcPr>
          <w:p>
            <w:pPr>
              <w:jc w:val="right"/>
              <w:ind w:right="661"/>
              <w:spacing w:after="0"/>
              <w:rPr>
                <w:sz w:val="20"/>
                <w:szCs w:val="20"/>
                <w:color w:val="auto"/>
              </w:rPr>
            </w:pPr>
            <w:r>
              <w:rPr>
                <w:rFonts w:ascii="Arial" w:cs="Arial" w:eastAsia="Arial" w:hAnsi="Arial"/>
                <w:sz w:val="16"/>
                <w:szCs w:val="16"/>
                <w:color w:val="auto"/>
              </w:rPr>
              <w:t>$</w:t>
            </w:r>
          </w:p>
        </w:tc>
        <w:tc>
          <w:tcPr>
            <w:tcW w:w="540" w:type="dxa"/>
            <w:vAlign w:val="bottom"/>
          </w:tcPr>
          <w:p>
            <w:pPr>
              <w:jc w:val="right"/>
              <w:ind w:right="39"/>
              <w:spacing w:after="0"/>
              <w:rPr>
                <w:sz w:val="20"/>
                <w:szCs w:val="20"/>
                <w:color w:val="auto"/>
              </w:rPr>
            </w:pPr>
            <w:r>
              <w:rPr>
                <w:rFonts w:ascii="Arial" w:cs="Arial" w:eastAsia="Arial" w:hAnsi="Arial"/>
                <w:sz w:val="16"/>
                <w:szCs w:val="16"/>
                <w:color w:val="auto"/>
              </w:rPr>
              <w:t>267</w:t>
            </w:r>
          </w:p>
        </w:tc>
        <w:tc>
          <w:tcPr>
            <w:tcW w:w="100" w:type="dxa"/>
            <w:vAlign w:val="bottom"/>
          </w:tcPr>
          <w:p>
            <w:pPr>
              <w:spacing w:after="0"/>
              <w:rPr>
                <w:sz w:val="20"/>
                <w:szCs w:val="20"/>
                <w:color w:val="auto"/>
              </w:rPr>
            </w:pPr>
          </w:p>
        </w:tc>
        <w:tc>
          <w:tcPr>
            <w:tcW w:w="320" w:type="dxa"/>
            <w:vAlign w:val="bottom"/>
          </w:tcPr>
          <w:p>
            <w:pPr>
              <w:jc w:val="right"/>
              <w:ind w:right="121"/>
              <w:spacing w:after="0"/>
              <w:rPr>
                <w:sz w:val="20"/>
                <w:szCs w:val="20"/>
                <w:color w:val="auto"/>
              </w:rPr>
            </w:pPr>
            <w:r>
              <w:rPr>
                <w:rFonts w:ascii="Arial" w:cs="Arial" w:eastAsia="Arial" w:hAnsi="Arial"/>
                <w:sz w:val="16"/>
                <w:szCs w:val="16"/>
                <w:color w:val="auto"/>
              </w:rPr>
              <w:t>$</w:t>
            </w:r>
          </w:p>
        </w:tc>
        <w:tc>
          <w:tcPr>
            <w:tcW w:w="13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14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300" w:type="dxa"/>
            <w:vAlign w:val="bottom"/>
          </w:tcPr>
          <w:p>
            <w:pPr>
              <w:jc w:val="right"/>
              <w:ind w:right="21"/>
              <w:spacing w:after="0"/>
              <w:rPr>
                <w:sz w:val="20"/>
                <w:szCs w:val="20"/>
                <w:color w:val="auto"/>
              </w:rPr>
            </w:pPr>
            <w:r>
              <w:rPr>
                <w:rFonts w:ascii="Arial" w:cs="Arial" w:eastAsia="Arial" w:hAnsi="Arial"/>
                <w:sz w:val="16"/>
                <w:szCs w:val="16"/>
                <w:color w:val="auto"/>
              </w:rPr>
              <w:t>267</w:t>
            </w:r>
          </w:p>
        </w:tc>
      </w:tr>
      <w:tr>
        <w:trPr>
          <w:trHeight w:val="20"/>
        </w:trPr>
        <w:tc>
          <w:tcPr>
            <w:tcW w:w="516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r>
    </w:tbl>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There were no current restricted investments as of December 31, 2016.</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Measurements – Disclosure Only</w:t>
      </w:r>
    </w:p>
    <w:p>
      <w:pPr>
        <w:spacing w:after="0" w:line="117" w:lineRule="exact"/>
        <w:rPr>
          <w:sz w:val="20"/>
          <w:szCs w:val="20"/>
          <w:color w:val="auto"/>
        </w:rPr>
      </w:pPr>
    </w:p>
    <w:p>
      <w:pPr>
        <w:ind w:right="20"/>
        <w:spacing w:after="0" w:line="258" w:lineRule="auto"/>
        <w:rPr>
          <w:sz w:val="20"/>
          <w:szCs w:val="20"/>
          <w:color w:val="auto"/>
        </w:rPr>
      </w:pPr>
      <w:r>
        <w:rPr>
          <w:rFonts w:ascii="Arial" w:cs="Arial" w:eastAsia="Arial" w:hAnsi="Arial"/>
          <w:sz w:val="18"/>
          <w:szCs w:val="18"/>
          <w:color w:val="auto"/>
        </w:rPr>
        <w:t>The carrying amounts and estimated fair values of our senior notes are classified as Level 2 financial instruments. Fair value for these securities is determined using a market approach based on quoted market prices for similar securities in active markets or quoted prices for identical securities in inactive markets. The carrying amount and estimated fair value of the amount due under our Credit Facility is classified as a Level 3 financial instrument, because certain inputs used to determine its fair value are not observable. As of September 30, 2017, the carrying value of the amount due under the Credit Facility approximates it fair value because of the recency of this borrowing during the third quarter of 2017.</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00" w:type="dxa"/>
            <w:vAlign w:val="bottom"/>
          </w:tcPr>
          <w:p>
            <w:pPr>
              <w:spacing w:after="0"/>
              <w:rPr>
                <w:sz w:val="17"/>
                <w:szCs w:val="17"/>
                <w:color w:val="auto"/>
              </w:rPr>
            </w:pPr>
          </w:p>
        </w:tc>
        <w:tc>
          <w:tcPr>
            <w:tcW w:w="45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920" w:type="dxa"/>
            <w:vAlign w:val="bottom"/>
            <w:gridSpan w:val="5"/>
          </w:tcPr>
          <w:p>
            <w:pPr>
              <w:ind w:left="600"/>
              <w:spacing w:after="0"/>
              <w:rPr>
                <w:sz w:val="20"/>
                <w:szCs w:val="20"/>
                <w:color w:val="auto"/>
              </w:rPr>
            </w:pPr>
            <w:r>
              <w:rPr>
                <w:rFonts w:ascii="Arial" w:cs="Arial" w:eastAsia="Arial" w:hAnsi="Arial"/>
                <w:sz w:val="14"/>
                <w:szCs w:val="14"/>
                <w:b w:val="1"/>
                <w:bCs w:val="1"/>
                <w:color w:val="auto"/>
              </w:rPr>
              <w:t>September 30, 2017</w:t>
            </w:r>
          </w:p>
        </w:tc>
        <w:tc>
          <w:tcPr>
            <w:tcW w:w="400" w:type="dxa"/>
            <w:vAlign w:val="bottom"/>
          </w:tcPr>
          <w:p>
            <w:pPr>
              <w:spacing w:after="0"/>
              <w:rPr>
                <w:sz w:val="17"/>
                <w:szCs w:val="17"/>
                <w:color w:val="auto"/>
              </w:rPr>
            </w:pPr>
          </w:p>
        </w:tc>
        <w:tc>
          <w:tcPr>
            <w:tcW w:w="2660" w:type="dxa"/>
            <w:vAlign w:val="bottom"/>
            <w:gridSpan w:val="4"/>
          </w:tcPr>
          <w:p>
            <w:pPr>
              <w:jc w:val="right"/>
              <w:ind w:right="780"/>
              <w:spacing w:after="0"/>
              <w:rPr>
                <w:sz w:val="20"/>
                <w:szCs w:val="20"/>
                <w:color w:val="auto"/>
              </w:rPr>
            </w:pPr>
            <w:r>
              <w:rPr>
                <w:rFonts w:ascii="Arial" w:cs="Arial" w:eastAsia="Arial" w:hAnsi="Arial"/>
                <w:sz w:val="14"/>
                <w:szCs w:val="14"/>
                <w:b w:val="1"/>
                <w:bCs w:val="1"/>
                <w:color w:val="auto"/>
              </w:rPr>
              <w:t>December 31, 2016</w:t>
            </w:r>
          </w:p>
        </w:tc>
      </w:tr>
      <w:tr>
        <w:trPr>
          <w:trHeight w:val="168"/>
        </w:trPr>
        <w:tc>
          <w:tcPr>
            <w:tcW w:w="600" w:type="dxa"/>
            <w:vAlign w:val="bottom"/>
          </w:tcPr>
          <w:p>
            <w:pPr>
              <w:spacing w:after="0"/>
              <w:rPr>
                <w:sz w:val="14"/>
                <w:szCs w:val="14"/>
                <w:color w:val="auto"/>
              </w:rPr>
            </w:pPr>
          </w:p>
        </w:tc>
        <w:tc>
          <w:tcPr>
            <w:tcW w:w="4560" w:type="dxa"/>
            <w:vAlign w:val="bottom"/>
          </w:tcPr>
          <w:p>
            <w:pPr>
              <w:spacing w:after="0"/>
              <w:rPr>
                <w:sz w:val="14"/>
                <w:szCs w:val="14"/>
                <w:color w:val="auto"/>
              </w:rPr>
            </w:pPr>
          </w:p>
        </w:tc>
        <w:tc>
          <w:tcPr>
            <w:tcW w:w="280" w:type="dxa"/>
            <w:vAlign w:val="bottom"/>
            <w:tcBorders>
              <w:top w:val="single" w:sz="8" w:color="auto"/>
            </w:tcBorders>
          </w:tcPr>
          <w:p>
            <w:pPr>
              <w:spacing w:after="0"/>
              <w:rPr>
                <w:sz w:val="14"/>
                <w:szCs w:val="14"/>
                <w:color w:val="auto"/>
              </w:rPr>
            </w:pPr>
          </w:p>
        </w:tc>
        <w:tc>
          <w:tcPr>
            <w:tcW w:w="1340" w:type="dxa"/>
            <w:vAlign w:val="bottom"/>
            <w:tcBorders>
              <w:top w:val="single" w:sz="8" w:color="auto"/>
            </w:tcBorders>
            <w:gridSpan w:val="2"/>
          </w:tcPr>
          <w:p>
            <w:pPr>
              <w:jc w:val="center"/>
              <w:ind w:right="400"/>
              <w:spacing w:after="0"/>
              <w:rPr>
                <w:sz w:val="20"/>
                <w:szCs w:val="20"/>
                <w:color w:val="auto"/>
              </w:rPr>
            </w:pPr>
            <w:r>
              <w:rPr>
                <w:rFonts w:ascii="Arial" w:cs="Arial" w:eastAsia="Arial" w:hAnsi="Arial"/>
                <w:sz w:val="14"/>
                <w:szCs w:val="14"/>
                <w:b w:val="1"/>
                <w:bCs w:val="1"/>
                <w:color w:val="auto"/>
              </w:rPr>
              <w:t>Carrying</w:t>
            </w:r>
          </w:p>
        </w:tc>
        <w:tc>
          <w:tcPr>
            <w:tcW w:w="260" w:type="dxa"/>
            <w:vAlign w:val="bottom"/>
            <w:tcBorders>
              <w:top w:val="single" w:sz="8" w:color="auto"/>
            </w:tcBorders>
          </w:tcPr>
          <w:p>
            <w:pPr>
              <w:spacing w:after="0"/>
              <w:rPr>
                <w:sz w:val="14"/>
                <w:szCs w:val="14"/>
                <w:color w:val="auto"/>
              </w:rPr>
            </w:pPr>
          </w:p>
        </w:tc>
        <w:tc>
          <w:tcPr>
            <w:tcW w:w="122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Borders>
              <w:top w:val="single" w:sz="8" w:color="auto"/>
            </w:tcBorders>
          </w:tcPr>
          <w:p>
            <w:pPr>
              <w:spacing w:after="0"/>
              <w:rPr>
                <w:sz w:val="14"/>
                <w:szCs w:val="14"/>
                <w:color w:val="auto"/>
              </w:rPr>
            </w:pPr>
          </w:p>
        </w:tc>
        <w:tc>
          <w:tcPr>
            <w:tcW w:w="1180" w:type="dxa"/>
            <w:vAlign w:val="bottom"/>
            <w:tcBorders>
              <w:top w:val="single" w:sz="8" w:color="auto"/>
            </w:tcBorders>
            <w:gridSpan w:val="2"/>
          </w:tcPr>
          <w:p>
            <w:pPr>
              <w:jc w:val="center"/>
              <w:ind w:right="500"/>
              <w:spacing w:after="0"/>
              <w:rPr>
                <w:sz w:val="20"/>
                <w:szCs w:val="20"/>
                <w:color w:val="auto"/>
              </w:rPr>
            </w:pPr>
            <w:r>
              <w:rPr>
                <w:rFonts w:ascii="Arial" w:cs="Arial" w:eastAsia="Arial" w:hAnsi="Arial"/>
                <w:sz w:val="14"/>
                <w:szCs w:val="14"/>
                <w:b w:val="1"/>
                <w:bCs w:val="1"/>
                <w:color w:val="auto"/>
              </w:rPr>
              <w:t>Carrying</w:t>
            </w:r>
          </w:p>
        </w:tc>
        <w:tc>
          <w:tcPr>
            <w:tcW w:w="260" w:type="dxa"/>
            <w:vAlign w:val="bottom"/>
            <w:tcBorders>
              <w:top w:val="single" w:sz="8" w:color="auto"/>
            </w:tcBorders>
          </w:tcPr>
          <w:p>
            <w:pPr>
              <w:spacing w:after="0"/>
              <w:rPr>
                <w:sz w:val="14"/>
                <w:szCs w:val="14"/>
                <w:color w:val="auto"/>
              </w:rPr>
            </w:pPr>
          </w:p>
        </w:tc>
        <w:tc>
          <w:tcPr>
            <w:tcW w:w="1220" w:type="dxa"/>
            <w:vAlign w:val="bottom"/>
            <w:tcBorders>
              <w:top w:val="single" w:sz="8" w:color="auto"/>
            </w:tcBorders>
          </w:tcPr>
          <w:p>
            <w:pPr>
              <w:spacing w:after="0"/>
              <w:rPr>
                <w:sz w:val="14"/>
                <w:szCs w:val="14"/>
                <w:color w:val="auto"/>
              </w:rPr>
            </w:pPr>
          </w:p>
        </w:tc>
      </w:tr>
      <w:tr>
        <w:trPr>
          <w:trHeight w:val="203"/>
        </w:trPr>
        <w:tc>
          <w:tcPr>
            <w:tcW w:w="600" w:type="dxa"/>
            <w:vAlign w:val="bottom"/>
          </w:tcPr>
          <w:p>
            <w:pPr>
              <w:spacing w:after="0"/>
              <w:rPr>
                <w:sz w:val="17"/>
                <w:szCs w:val="17"/>
                <w:color w:val="auto"/>
              </w:rPr>
            </w:pPr>
          </w:p>
        </w:tc>
        <w:tc>
          <w:tcPr>
            <w:tcW w:w="456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gridSpan w:val="2"/>
          </w:tcPr>
          <w:p>
            <w:pPr>
              <w:jc w:val="center"/>
              <w:ind w:right="400"/>
              <w:spacing w:after="0"/>
              <w:rPr>
                <w:sz w:val="20"/>
                <w:szCs w:val="20"/>
                <w:color w:val="auto"/>
              </w:rPr>
            </w:pPr>
            <w:r>
              <w:rPr>
                <w:rFonts w:ascii="Arial" w:cs="Arial" w:eastAsia="Arial" w:hAnsi="Arial"/>
                <w:sz w:val="14"/>
                <w:szCs w:val="14"/>
                <w:b w:val="1"/>
                <w:bCs w:val="1"/>
                <w:color w:val="auto"/>
              </w:rPr>
              <w:t>Value</w:t>
            </w:r>
          </w:p>
        </w:tc>
        <w:tc>
          <w:tcPr>
            <w:tcW w:w="26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gridSpan w:val="2"/>
          </w:tcPr>
          <w:p>
            <w:pPr>
              <w:ind w:left="140"/>
              <w:spacing w:after="0"/>
              <w:rPr>
                <w:sz w:val="20"/>
                <w:szCs w:val="20"/>
                <w:color w:val="auto"/>
              </w:rPr>
            </w:pPr>
            <w:r>
              <w:rPr>
                <w:rFonts w:ascii="Arial" w:cs="Arial" w:eastAsia="Arial" w:hAnsi="Arial"/>
                <w:sz w:val="14"/>
                <w:szCs w:val="14"/>
                <w:b w:val="1"/>
                <w:bCs w:val="1"/>
                <w:color w:val="auto"/>
              </w:rPr>
              <w:t>Fair Value</w:t>
            </w:r>
          </w:p>
        </w:tc>
        <w:tc>
          <w:tcPr>
            <w:tcW w:w="40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gridSpan w:val="2"/>
          </w:tcPr>
          <w:p>
            <w:pPr>
              <w:jc w:val="center"/>
              <w:ind w:right="480"/>
              <w:spacing w:after="0"/>
              <w:rPr>
                <w:sz w:val="20"/>
                <w:szCs w:val="20"/>
                <w:color w:val="auto"/>
              </w:rPr>
            </w:pPr>
            <w:r>
              <w:rPr>
                <w:rFonts w:ascii="Arial" w:cs="Arial" w:eastAsia="Arial" w:hAnsi="Arial"/>
                <w:sz w:val="14"/>
                <w:szCs w:val="14"/>
                <w:b w:val="1"/>
                <w:bCs w:val="1"/>
                <w:color w:val="auto"/>
              </w:rPr>
              <w:t>Value</w:t>
            </w:r>
          </w:p>
        </w:tc>
        <w:tc>
          <w:tcPr>
            <w:tcW w:w="26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320"/>
              <w:spacing w:after="0"/>
              <w:rPr>
                <w:sz w:val="20"/>
                <w:szCs w:val="20"/>
                <w:color w:val="auto"/>
              </w:rPr>
            </w:pPr>
            <w:r>
              <w:rPr>
                <w:rFonts w:ascii="Arial" w:cs="Arial" w:eastAsia="Arial" w:hAnsi="Arial"/>
                <w:sz w:val="14"/>
                <w:szCs w:val="14"/>
                <w:b w:val="1"/>
                <w:bCs w:val="1"/>
                <w:color w:val="auto"/>
              </w:rPr>
              <w:t>Fair Value</w:t>
            </w:r>
          </w:p>
        </w:tc>
      </w:tr>
      <w:tr>
        <w:trPr>
          <w:trHeight w:val="210"/>
        </w:trPr>
        <w:tc>
          <w:tcPr>
            <w:tcW w:w="600" w:type="dxa"/>
            <w:vAlign w:val="bottom"/>
          </w:tcPr>
          <w:p>
            <w:pPr>
              <w:spacing w:after="0"/>
              <w:rPr>
                <w:sz w:val="18"/>
                <w:szCs w:val="18"/>
                <w:color w:val="auto"/>
              </w:rPr>
            </w:pPr>
          </w:p>
        </w:tc>
        <w:tc>
          <w:tcPr>
            <w:tcW w:w="45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2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millions)</w:t>
            </w: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71"/>
        </w:trPr>
        <w:tc>
          <w:tcPr>
            <w:tcW w:w="600" w:type="dxa"/>
            <w:vAlign w:val="bottom"/>
            <w:shd w:val="clear" w:color="auto" w:fill="CCEEFF"/>
          </w:tcPr>
          <w:p>
            <w:pPr>
              <w:ind w:left="40"/>
              <w:spacing w:after="0"/>
              <w:rPr>
                <w:sz w:val="20"/>
                <w:szCs w:val="20"/>
                <w:color w:val="auto"/>
              </w:rPr>
            </w:pPr>
            <w:r>
              <w:rPr>
                <w:rFonts w:ascii="Arial" w:cs="Arial" w:eastAsia="Arial" w:hAnsi="Arial"/>
                <w:sz w:val="16"/>
                <w:szCs w:val="16"/>
                <w:color w:val="auto"/>
                <w:w w:val="99"/>
              </w:rPr>
              <w:t>5.375%</w:t>
            </w:r>
          </w:p>
        </w:tc>
        <w:tc>
          <w:tcPr>
            <w:tcW w:w="4560" w:type="dxa"/>
            <w:vAlign w:val="bottom"/>
            <w:shd w:val="clear" w:color="auto" w:fill="CCEEFF"/>
          </w:tcPr>
          <w:p>
            <w:pPr>
              <w:ind w:left="20"/>
              <w:spacing w:after="0"/>
              <w:rPr>
                <w:sz w:val="20"/>
                <w:szCs w:val="20"/>
                <w:color w:val="auto"/>
              </w:rPr>
            </w:pPr>
            <w:r>
              <w:rPr>
                <w:rFonts w:ascii="Arial" w:cs="Arial" w:eastAsia="Arial" w:hAnsi="Arial"/>
                <w:sz w:val="16"/>
                <w:szCs w:val="16"/>
                <w:color w:val="auto"/>
              </w:rPr>
              <w:t>Notes</w:t>
            </w:r>
          </w:p>
        </w:tc>
        <w:tc>
          <w:tcPr>
            <w:tcW w:w="2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22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692</w:t>
            </w:r>
          </w:p>
        </w:tc>
        <w:tc>
          <w:tcPr>
            <w:tcW w:w="120" w:type="dxa"/>
            <w:vAlign w:val="bottom"/>
            <w:shd w:val="clear" w:color="auto" w:fill="CCEEFF"/>
          </w:tcPr>
          <w:p>
            <w:pPr>
              <w:spacing w:after="0"/>
              <w:rPr>
                <w:sz w:val="23"/>
                <w:szCs w:val="23"/>
                <w:color w:val="auto"/>
              </w:rPr>
            </w:pPr>
          </w:p>
        </w:tc>
        <w:tc>
          <w:tcPr>
            <w:tcW w:w="2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22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726</w:t>
            </w:r>
          </w:p>
        </w:tc>
        <w:tc>
          <w:tcPr>
            <w:tcW w:w="100" w:type="dxa"/>
            <w:vAlign w:val="bottom"/>
            <w:shd w:val="clear" w:color="auto" w:fill="CCEEFF"/>
          </w:tcPr>
          <w:p>
            <w:pPr>
              <w:spacing w:after="0"/>
              <w:rPr>
                <w:sz w:val="23"/>
                <w:szCs w:val="23"/>
                <w:color w:val="auto"/>
              </w:rPr>
            </w:pPr>
          </w:p>
        </w:tc>
        <w:tc>
          <w:tcPr>
            <w:tcW w:w="40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108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691</w:t>
            </w: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22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714</w:t>
            </w:r>
          </w:p>
        </w:tc>
      </w:tr>
      <w:tr>
        <w:trPr>
          <w:trHeight w:val="262"/>
        </w:trPr>
        <w:tc>
          <w:tcPr>
            <w:tcW w:w="600" w:type="dxa"/>
            <w:vAlign w:val="bottom"/>
          </w:tcPr>
          <w:p>
            <w:pPr>
              <w:ind w:left="40"/>
              <w:spacing w:after="0"/>
              <w:rPr>
                <w:sz w:val="20"/>
                <w:szCs w:val="20"/>
                <w:color w:val="auto"/>
              </w:rPr>
            </w:pPr>
            <w:r>
              <w:rPr>
                <w:rFonts w:ascii="Arial" w:cs="Arial" w:eastAsia="Arial" w:hAnsi="Arial"/>
                <w:sz w:val="16"/>
                <w:szCs w:val="16"/>
                <w:color w:val="auto"/>
                <w:w w:val="99"/>
              </w:rPr>
              <w:t>1.125%</w:t>
            </w:r>
          </w:p>
        </w:tc>
        <w:tc>
          <w:tcPr>
            <w:tcW w:w="4560" w:type="dxa"/>
            <w:vAlign w:val="bottom"/>
          </w:tcPr>
          <w:p>
            <w:pPr>
              <w:ind w:left="20"/>
              <w:spacing w:after="0"/>
              <w:rPr>
                <w:sz w:val="20"/>
                <w:szCs w:val="20"/>
                <w:color w:val="auto"/>
              </w:rPr>
            </w:pPr>
            <w:r>
              <w:rPr>
                <w:rFonts w:ascii="Arial" w:cs="Arial" w:eastAsia="Arial" w:hAnsi="Arial"/>
                <w:sz w:val="16"/>
                <w:szCs w:val="16"/>
                <w:color w:val="auto"/>
              </w:rPr>
              <w:t>Convertible Notes</w:t>
            </w:r>
          </w:p>
        </w:tc>
        <w:tc>
          <w:tcPr>
            <w:tcW w:w="280" w:type="dxa"/>
            <w:vAlign w:val="bottom"/>
          </w:tcPr>
          <w:p>
            <w:pPr>
              <w:spacing w:after="0"/>
              <w:rPr>
                <w:sz w:val="22"/>
                <w:szCs w:val="22"/>
                <w:color w:val="auto"/>
              </w:rPr>
            </w:pPr>
          </w:p>
        </w:tc>
        <w:tc>
          <w:tcPr>
            <w:tcW w:w="1220" w:type="dxa"/>
            <w:vAlign w:val="bottom"/>
          </w:tcPr>
          <w:p>
            <w:pPr>
              <w:jc w:val="right"/>
              <w:ind w:right="42"/>
              <w:spacing w:after="0"/>
              <w:rPr>
                <w:sz w:val="20"/>
                <w:szCs w:val="20"/>
                <w:color w:val="auto"/>
              </w:rPr>
            </w:pPr>
            <w:r>
              <w:rPr>
                <w:rFonts w:ascii="Arial" w:cs="Arial" w:eastAsia="Arial" w:hAnsi="Arial"/>
                <w:sz w:val="16"/>
                <w:szCs w:val="16"/>
                <w:color w:val="auto"/>
              </w:rPr>
              <w:t>489</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220" w:type="dxa"/>
            <w:vAlign w:val="bottom"/>
          </w:tcPr>
          <w:p>
            <w:pPr>
              <w:jc w:val="right"/>
              <w:ind w:right="21"/>
              <w:spacing w:after="0"/>
              <w:rPr>
                <w:sz w:val="20"/>
                <w:szCs w:val="20"/>
                <w:color w:val="auto"/>
              </w:rPr>
            </w:pPr>
            <w:r>
              <w:rPr>
                <w:rFonts w:ascii="Arial" w:cs="Arial" w:eastAsia="Arial" w:hAnsi="Arial"/>
                <w:sz w:val="16"/>
                <w:szCs w:val="16"/>
                <w:color w:val="auto"/>
              </w:rPr>
              <w:t>927</w:t>
            </w: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080" w:type="dxa"/>
            <w:vAlign w:val="bottom"/>
          </w:tcPr>
          <w:p>
            <w:pPr>
              <w:jc w:val="right"/>
              <w:ind w:right="22"/>
              <w:spacing w:after="0"/>
              <w:rPr>
                <w:sz w:val="20"/>
                <w:szCs w:val="20"/>
                <w:color w:val="auto"/>
              </w:rPr>
            </w:pPr>
            <w:r>
              <w:rPr>
                <w:rFonts w:ascii="Arial" w:cs="Arial" w:eastAsia="Arial" w:hAnsi="Arial"/>
                <w:sz w:val="16"/>
                <w:szCs w:val="16"/>
                <w:color w:val="auto"/>
              </w:rPr>
              <w:t>471</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220" w:type="dxa"/>
            <w:vAlign w:val="bottom"/>
          </w:tcPr>
          <w:p>
            <w:pPr>
              <w:jc w:val="right"/>
              <w:ind w:right="20"/>
              <w:spacing w:after="0"/>
              <w:rPr>
                <w:sz w:val="20"/>
                <w:szCs w:val="20"/>
                <w:color w:val="auto"/>
              </w:rPr>
            </w:pPr>
            <w:r>
              <w:rPr>
                <w:rFonts w:ascii="Arial" w:cs="Arial" w:eastAsia="Arial" w:hAnsi="Arial"/>
                <w:sz w:val="16"/>
                <w:szCs w:val="16"/>
                <w:color w:val="auto"/>
              </w:rPr>
              <w:t>792</w:t>
            </w:r>
          </w:p>
        </w:tc>
      </w:tr>
      <w:tr>
        <w:trPr>
          <w:trHeight w:val="278"/>
        </w:trPr>
        <w:tc>
          <w:tcPr>
            <w:tcW w:w="516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4.875% Notes</w:t>
            </w:r>
          </w:p>
        </w:tc>
        <w:tc>
          <w:tcPr>
            <w:tcW w:w="28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325</w:t>
            </w: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324</w:t>
            </w:r>
          </w:p>
        </w:tc>
        <w:tc>
          <w:tcPr>
            <w:tcW w:w="10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w:t>
            </w:r>
          </w:p>
        </w:tc>
      </w:tr>
      <w:tr>
        <w:trPr>
          <w:trHeight w:val="262"/>
        </w:trPr>
        <w:tc>
          <w:tcPr>
            <w:tcW w:w="5160" w:type="dxa"/>
            <w:vAlign w:val="bottom"/>
            <w:gridSpan w:val="2"/>
          </w:tcPr>
          <w:p>
            <w:pPr>
              <w:ind w:left="40"/>
              <w:spacing w:after="0"/>
              <w:rPr>
                <w:sz w:val="20"/>
                <w:szCs w:val="20"/>
                <w:color w:val="auto"/>
              </w:rPr>
            </w:pPr>
            <w:r>
              <w:rPr>
                <w:rFonts w:ascii="Arial" w:cs="Arial" w:eastAsia="Arial" w:hAnsi="Arial"/>
                <w:sz w:val="16"/>
                <w:szCs w:val="16"/>
                <w:color w:val="auto"/>
              </w:rPr>
              <w:t>Credit Facility</w:t>
            </w:r>
          </w:p>
        </w:tc>
        <w:tc>
          <w:tcPr>
            <w:tcW w:w="280" w:type="dxa"/>
            <w:vAlign w:val="bottom"/>
          </w:tcPr>
          <w:p>
            <w:pPr>
              <w:spacing w:after="0"/>
              <w:rPr>
                <w:sz w:val="22"/>
                <w:szCs w:val="22"/>
                <w:color w:val="auto"/>
              </w:rPr>
            </w:pPr>
          </w:p>
        </w:tc>
        <w:tc>
          <w:tcPr>
            <w:tcW w:w="1220" w:type="dxa"/>
            <w:vAlign w:val="bottom"/>
          </w:tcPr>
          <w:p>
            <w:pPr>
              <w:jc w:val="right"/>
              <w:ind w:right="42"/>
              <w:spacing w:after="0"/>
              <w:rPr>
                <w:sz w:val="20"/>
                <w:szCs w:val="20"/>
                <w:color w:val="auto"/>
              </w:rPr>
            </w:pPr>
            <w:r>
              <w:rPr>
                <w:rFonts w:ascii="Arial" w:cs="Arial" w:eastAsia="Arial" w:hAnsi="Arial"/>
                <w:sz w:val="16"/>
                <w:szCs w:val="16"/>
                <w:color w:val="auto"/>
              </w:rPr>
              <w:t>300</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220" w:type="dxa"/>
            <w:vAlign w:val="bottom"/>
          </w:tcPr>
          <w:p>
            <w:pPr>
              <w:jc w:val="right"/>
              <w:ind w:right="21"/>
              <w:spacing w:after="0"/>
              <w:rPr>
                <w:sz w:val="20"/>
                <w:szCs w:val="20"/>
                <w:color w:val="auto"/>
              </w:rPr>
            </w:pPr>
            <w:r>
              <w:rPr>
                <w:rFonts w:ascii="Arial" w:cs="Arial" w:eastAsia="Arial" w:hAnsi="Arial"/>
                <w:sz w:val="16"/>
                <w:szCs w:val="16"/>
                <w:color w:val="auto"/>
              </w:rPr>
              <w:t>300</w:t>
            </w: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2"/>
                <w:szCs w:val="22"/>
                <w:color w:val="auto"/>
              </w:rPr>
            </w:pPr>
          </w:p>
        </w:tc>
        <w:tc>
          <w:tcPr>
            <w:tcW w:w="1220" w:type="dxa"/>
            <w:vAlign w:val="bottom"/>
          </w:tcPr>
          <w:p>
            <w:pPr>
              <w:jc w:val="right"/>
              <w:ind w:right="20"/>
              <w:spacing w:after="0"/>
              <w:rPr>
                <w:sz w:val="20"/>
                <w:szCs w:val="20"/>
                <w:color w:val="auto"/>
              </w:rPr>
            </w:pPr>
            <w:r>
              <w:rPr>
                <w:rFonts w:ascii="Arial" w:cs="Arial" w:eastAsia="Arial" w:hAnsi="Arial"/>
                <w:sz w:val="16"/>
                <w:szCs w:val="16"/>
                <w:color w:val="auto"/>
              </w:rPr>
              <w:t>—</w:t>
            </w:r>
          </w:p>
        </w:tc>
      </w:tr>
      <w:tr>
        <w:trPr>
          <w:trHeight w:val="271"/>
        </w:trPr>
        <w:tc>
          <w:tcPr>
            <w:tcW w:w="600" w:type="dxa"/>
            <w:vAlign w:val="bottom"/>
            <w:shd w:val="clear" w:color="auto" w:fill="CCEEFF"/>
          </w:tcPr>
          <w:p>
            <w:pPr>
              <w:ind w:left="40"/>
              <w:spacing w:after="0"/>
              <w:rPr>
                <w:sz w:val="20"/>
                <w:szCs w:val="20"/>
                <w:color w:val="auto"/>
              </w:rPr>
            </w:pPr>
            <w:r>
              <w:rPr>
                <w:rFonts w:ascii="Arial" w:cs="Arial" w:eastAsia="Arial" w:hAnsi="Arial"/>
                <w:sz w:val="16"/>
                <w:szCs w:val="16"/>
                <w:color w:val="auto"/>
                <w:w w:val="99"/>
              </w:rPr>
              <w:t>1.625%</w:t>
            </w:r>
          </w:p>
        </w:tc>
        <w:tc>
          <w:tcPr>
            <w:tcW w:w="456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Convertible Notes</w:t>
            </w:r>
          </w:p>
        </w:tc>
        <w:tc>
          <w:tcPr>
            <w:tcW w:w="280" w:type="dxa"/>
            <w:vAlign w:val="bottom"/>
            <w:tcBorders>
              <w:bottom w:val="single" w:sz="8" w:color="auto"/>
            </w:tcBorders>
            <w:shd w:val="clear" w:color="auto" w:fill="CCEEFF"/>
          </w:tcPr>
          <w:p>
            <w:pPr>
              <w:spacing w:after="0"/>
              <w:rPr>
                <w:sz w:val="23"/>
                <w:szCs w:val="23"/>
                <w:color w:val="auto"/>
              </w:rPr>
            </w:pPr>
          </w:p>
        </w:tc>
        <w:tc>
          <w:tcPr>
            <w:tcW w:w="1220" w:type="dxa"/>
            <w:vAlign w:val="bottom"/>
            <w:tcBorders>
              <w:bottom w:val="single" w:sz="8" w:color="auto"/>
            </w:tcBorders>
            <w:shd w:val="clear" w:color="auto" w:fill="CCEEFF"/>
          </w:tcPr>
          <w:p>
            <w:pPr>
              <w:jc w:val="right"/>
              <w:ind w:right="42"/>
              <w:spacing w:after="0"/>
              <w:rPr>
                <w:sz w:val="20"/>
                <w:szCs w:val="20"/>
                <w:color w:val="auto"/>
              </w:rPr>
            </w:pPr>
            <w:r>
              <w:rPr>
                <w:rFonts w:ascii="Arial" w:cs="Arial" w:eastAsia="Arial" w:hAnsi="Arial"/>
                <w:sz w:val="16"/>
                <w:szCs w:val="16"/>
                <w:color w:val="auto"/>
              </w:rPr>
              <w:t>292</w:t>
            </w:r>
          </w:p>
        </w:tc>
        <w:tc>
          <w:tcPr>
            <w:tcW w:w="12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122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rPr>
              <w:t>373</w:t>
            </w:r>
          </w:p>
        </w:tc>
        <w:tc>
          <w:tcPr>
            <w:tcW w:w="100" w:type="dxa"/>
            <w:vAlign w:val="bottom"/>
            <w:shd w:val="clear" w:color="auto" w:fill="CCEEFF"/>
          </w:tcPr>
          <w:p>
            <w:pPr>
              <w:spacing w:after="0"/>
              <w:rPr>
                <w:sz w:val="23"/>
                <w:szCs w:val="23"/>
                <w:color w:val="auto"/>
              </w:rPr>
            </w:pPr>
          </w:p>
        </w:tc>
        <w:tc>
          <w:tcPr>
            <w:tcW w:w="400" w:type="dxa"/>
            <w:vAlign w:val="bottom"/>
            <w:tcBorders>
              <w:bottom w:val="single" w:sz="8" w:color="auto"/>
            </w:tcBorders>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jc w:val="right"/>
              <w:ind w:right="22"/>
              <w:spacing w:after="0"/>
              <w:rPr>
                <w:sz w:val="20"/>
                <w:szCs w:val="20"/>
                <w:color w:val="auto"/>
              </w:rPr>
            </w:pPr>
            <w:r>
              <w:rPr>
                <w:rFonts w:ascii="Arial" w:cs="Arial" w:eastAsia="Arial" w:hAnsi="Arial"/>
                <w:sz w:val="16"/>
                <w:szCs w:val="16"/>
                <w:color w:val="auto"/>
              </w:rPr>
              <w:t>284</w:t>
            </w:r>
          </w:p>
        </w:tc>
        <w:tc>
          <w:tcPr>
            <w:tcW w:w="10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122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344</w:t>
            </w:r>
          </w:p>
        </w:tc>
      </w:tr>
      <w:tr>
        <w:trPr>
          <w:trHeight w:val="237"/>
        </w:trPr>
        <w:tc>
          <w:tcPr>
            <w:tcW w:w="600" w:type="dxa"/>
            <w:vAlign w:val="bottom"/>
          </w:tcPr>
          <w:p>
            <w:pPr>
              <w:spacing w:after="0"/>
              <w:rPr>
                <w:sz w:val="20"/>
                <w:szCs w:val="20"/>
                <w:color w:val="auto"/>
              </w:rPr>
            </w:pPr>
          </w:p>
        </w:tc>
        <w:tc>
          <w:tcPr>
            <w:tcW w:w="4560" w:type="dxa"/>
            <w:vAlign w:val="bottom"/>
          </w:tcPr>
          <w:p>
            <w:pPr>
              <w:spacing w:after="0"/>
              <w:rPr>
                <w:sz w:val="20"/>
                <w:szCs w:val="20"/>
                <w:color w:val="auto"/>
              </w:rPr>
            </w:pPr>
          </w:p>
        </w:tc>
        <w:tc>
          <w:tcPr>
            <w:tcW w:w="2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auto"/>
            </w:tcBorders>
          </w:tcPr>
          <w:p>
            <w:pPr>
              <w:jc w:val="right"/>
              <w:ind w:right="42"/>
              <w:spacing w:after="0"/>
              <w:rPr>
                <w:sz w:val="20"/>
                <w:szCs w:val="20"/>
                <w:color w:val="auto"/>
              </w:rPr>
            </w:pPr>
            <w:r>
              <w:rPr>
                <w:rFonts w:ascii="Arial" w:cs="Arial" w:eastAsia="Arial" w:hAnsi="Arial"/>
                <w:sz w:val="16"/>
                <w:szCs w:val="16"/>
                <w:color w:val="auto"/>
              </w:rPr>
              <w:t>2,098</w:t>
            </w:r>
          </w:p>
        </w:tc>
        <w:tc>
          <w:tcPr>
            <w:tcW w:w="120" w:type="dxa"/>
            <w:vAlign w:val="bottom"/>
          </w:tcPr>
          <w:p>
            <w:pPr>
              <w:spacing w:after="0"/>
              <w:rPr>
                <w:sz w:val="20"/>
                <w:szCs w:val="20"/>
                <w:color w:val="auto"/>
              </w:rPr>
            </w:pPr>
          </w:p>
        </w:tc>
        <w:tc>
          <w:tcPr>
            <w:tcW w:w="2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2,650</w:t>
            </w:r>
          </w:p>
        </w:tc>
        <w:tc>
          <w:tcPr>
            <w:tcW w:w="100" w:type="dxa"/>
            <w:vAlign w:val="bottom"/>
          </w:tcPr>
          <w:p>
            <w:pPr>
              <w:spacing w:after="0"/>
              <w:rPr>
                <w:sz w:val="20"/>
                <w:szCs w:val="20"/>
                <w:color w:val="auto"/>
              </w:rPr>
            </w:pPr>
          </w:p>
        </w:tc>
        <w:tc>
          <w:tcPr>
            <w:tcW w:w="40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auto"/>
            </w:tcBorders>
          </w:tcPr>
          <w:p>
            <w:pPr>
              <w:jc w:val="right"/>
              <w:ind w:right="22"/>
              <w:spacing w:after="0"/>
              <w:rPr>
                <w:sz w:val="20"/>
                <w:szCs w:val="20"/>
                <w:color w:val="auto"/>
              </w:rPr>
            </w:pPr>
            <w:r>
              <w:rPr>
                <w:rFonts w:ascii="Arial" w:cs="Arial" w:eastAsia="Arial" w:hAnsi="Arial"/>
                <w:sz w:val="16"/>
                <w:szCs w:val="16"/>
                <w:color w:val="auto"/>
              </w:rPr>
              <w:t>1,446</w:t>
            </w:r>
          </w:p>
        </w:tc>
        <w:tc>
          <w:tcPr>
            <w:tcW w:w="100" w:type="dxa"/>
            <w:vAlign w:val="bottom"/>
          </w:tcPr>
          <w:p>
            <w:pPr>
              <w:spacing w:after="0"/>
              <w:rPr>
                <w:sz w:val="20"/>
                <w:szCs w:val="20"/>
                <w:color w:val="auto"/>
              </w:rPr>
            </w:pPr>
          </w:p>
        </w:tc>
        <w:tc>
          <w:tcPr>
            <w:tcW w:w="2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1,850</w:t>
            </w:r>
          </w:p>
        </w:tc>
      </w:tr>
      <w:tr>
        <w:trPr>
          <w:trHeight w:val="20"/>
        </w:trPr>
        <w:tc>
          <w:tcPr>
            <w:tcW w:w="600" w:type="dxa"/>
            <w:vAlign w:val="bottom"/>
          </w:tcPr>
          <w:p>
            <w:pPr>
              <w:spacing w:after="0" w:line="20" w:lineRule="exact"/>
              <w:rPr>
                <w:sz w:val="1"/>
                <w:szCs w:val="1"/>
                <w:color w:val="auto"/>
              </w:rPr>
            </w:pPr>
          </w:p>
        </w:tc>
        <w:tc>
          <w:tcPr>
            <w:tcW w:w="45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174" w:lineRule="exact"/>
        <w:rPr>
          <w:sz w:val="20"/>
          <w:szCs w:val="20"/>
          <w:color w:val="auto"/>
        </w:rPr>
      </w:pPr>
    </w:p>
    <w:p>
      <w:pPr>
        <w:spacing w:after="0"/>
        <w:rPr>
          <w:sz w:val="20"/>
          <w:szCs w:val="20"/>
          <w:color w:val="auto"/>
        </w:rPr>
      </w:pPr>
      <w:r>
        <w:rPr>
          <w:rFonts w:ascii="Arial" w:cs="Arial" w:eastAsia="Arial" w:hAnsi="Arial"/>
          <w:sz w:val="32"/>
          <w:szCs w:val="32"/>
          <w:b w:val="1"/>
          <w:bCs w:val="1"/>
          <w:color w:val="ACACAC"/>
        </w:rPr>
        <w:t>5. Investments</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Available-for-Sale Investments</w:t>
      </w:r>
    </w:p>
    <w:p>
      <w:pPr>
        <w:spacing w:after="0" w:line="117" w:lineRule="exact"/>
        <w:rPr>
          <w:sz w:val="20"/>
          <w:szCs w:val="20"/>
          <w:color w:val="auto"/>
        </w:rPr>
      </w:pPr>
    </w:p>
    <w:p>
      <w:pPr>
        <w:ind w:right="180"/>
        <w:spacing w:after="0" w:line="260" w:lineRule="auto"/>
        <w:rPr>
          <w:sz w:val="20"/>
          <w:szCs w:val="20"/>
          <w:color w:val="auto"/>
        </w:rPr>
      </w:pPr>
      <w:r>
        <w:rPr>
          <w:rFonts w:ascii="Arial" w:cs="Arial" w:eastAsia="Arial" w:hAnsi="Arial"/>
          <w:sz w:val="18"/>
          <w:szCs w:val="18"/>
          <w:color w:val="auto"/>
        </w:rPr>
        <w:t>We consider all of our investments classified as current assets (including restricted investments) to be available-for-sale. Certain of our senior notes, as further discussed in Note 7, “Debt,” contain a limitation on the use of proceeds which required us to deposit the net proceeds from their issuance into a segregated deposit account, a current asset reported as “Restricted investments” in the accompanying consolidated balance sheets. Such proceeds, while restricted as to their use and held in a segregated deposit account, are available-for-sale based upon our contractual liquidity requirements.</w:t>
      </w:r>
    </w:p>
    <w:p>
      <w:pPr>
        <w:spacing w:after="0" w:line="20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Molina Healthcare, Inc. 2017 Form 10-Q | 14</w:t>
      </w:r>
    </w:p>
    <w:p>
      <w:pPr>
        <w:sectPr>
          <w:pgSz w:w="11900" w:h="16838" w:orient="portrait"/>
          <w:cols w:equalWidth="0" w:num="1">
            <w:col w:w="11420"/>
          </w:cols>
          <w:pgMar w:left="240" w:top="116" w:right="239" w:bottom="1440" w:gutter="0" w:footer="0" w:header="0"/>
        </w:sectPr>
      </w:pPr>
    </w:p>
    <w:bookmarkStart w:id="14" w:name="page15"/>
    <w:bookmarkEnd w:id="1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6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tables summarize our investments as of the dates indicated:</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16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234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rPr>
              <w:t>September 30, 2017</w:t>
            </w:r>
          </w:p>
        </w:tc>
        <w:tc>
          <w:tcPr>
            <w:tcW w:w="3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spacing w:after="0"/>
              <w:rPr>
                <w:sz w:val="17"/>
                <w:szCs w:val="17"/>
                <w:color w:val="auto"/>
              </w:rPr>
            </w:pPr>
          </w:p>
        </w:tc>
      </w:tr>
      <w:tr>
        <w:trPr>
          <w:trHeight w:val="168"/>
        </w:trPr>
        <w:tc>
          <w:tcPr>
            <w:tcW w:w="5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340" w:type="dxa"/>
            <w:vAlign w:val="bottom"/>
            <w:gridSpan w:val="3"/>
          </w:tcPr>
          <w:p>
            <w:pPr>
              <w:jc w:val="center"/>
              <w:ind w:left="2"/>
              <w:spacing w:after="0"/>
              <w:rPr>
                <w:sz w:val="20"/>
                <w:szCs w:val="20"/>
                <w:color w:val="auto"/>
              </w:rPr>
            </w:pPr>
            <w:r>
              <w:rPr>
                <w:rFonts w:ascii="Arial" w:cs="Arial" w:eastAsia="Arial" w:hAnsi="Arial"/>
                <w:sz w:val="14"/>
                <w:szCs w:val="14"/>
                <w:b w:val="1"/>
                <w:bCs w:val="1"/>
                <w:color w:val="auto"/>
              </w:rPr>
              <w:t>Gross</w:t>
            </w: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20" w:type="dxa"/>
            <w:vAlign w:val="bottom"/>
          </w:tcPr>
          <w:p>
            <w:pPr>
              <w:jc w:val="center"/>
              <w:ind w:right="181"/>
              <w:spacing w:after="0"/>
              <w:rPr>
                <w:sz w:val="20"/>
                <w:szCs w:val="20"/>
                <w:color w:val="auto"/>
              </w:rPr>
            </w:pPr>
            <w:r>
              <w:rPr>
                <w:rFonts w:ascii="Arial" w:cs="Arial" w:eastAsia="Arial" w:hAnsi="Arial"/>
                <w:sz w:val="14"/>
                <w:szCs w:val="14"/>
                <w:b w:val="1"/>
                <w:bCs w:val="1"/>
                <w:color w:val="auto"/>
              </w:rPr>
              <w:t>Estimated</w:t>
            </w:r>
          </w:p>
        </w:tc>
      </w:tr>
      <w:tr>
        <w:trPr>
          <w:trHeight w:val="203"/>
        </w:trPr>
        <w:tc>
          <w:tcPr>
            <w:tcW w:w="5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6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rPr>
              <w:t>Amortized</w:t>
            </w:r>
          </w:p>
        </w:tc>
        <w:tc>
          <w:tcPr>
            <w:tcW w:w="340" w:type="dxa"/>
            <w:vAlign w:val="bottom"/>
            <w:tcBorders>
              <w:bottom w:val="single" w:sz="8" w:color="auto"/>
            </w:tcBorders>
          </w:tcPr>
          <w:p>
            <w:pPr>
              <w:spacing w:after="0"/>
              <w:rPr>
                <w:sz w:val="17"/>
                <w:szCs w:val="17"/>
                <w:color w:val="auto"/>
              </w:rPr>
            </w:pPr>
          </w:p>
        </w:tc>
        <w:tc>
          <w:tcPr>
            <w:tcW w:w="2340" w:type="dxa"/>
            <w:vAlign w:val="bottom"/>
            <w:tcBorders>
              <w:bottom w:val="single" w:sz="8" w:color="auto"/>
            </w:tcBorders>
            <w:gridSpan w:val="3"/>
          </w:tcPr>
          <w:p>
            <w:pPr>
              <w:jc w:val="center"/>
              <w:ind w:left="2"/>
              <w:spacing w:after="0"/>
              <w:rPr>
                <w:sz w:val="20"/>
                <w:szCs w:val="20"/>
                <w:color w:val="auto"/>
              </w:rPr>
            </w:pPr>
            <w:r>
              <w:rPr>
                <w:rFonts w:ascii="Arial" w:cs="Arial" w:eastAsia="Arial" w:hAnsi="Arial"/>
                <w:sz w:val="14"/>
                <w:szCs w:val="14"/>
                <w:b w:val="1"/>
                <w:bCs w:val="1"/>
                <w:color w:val="auto"/>
              </w:rPr>
              <w:t>Unrealized</w:t>
            </w:r>
          </w:p>
        </w:tc>
        <w:tc>
          <w:tcPr>
            <w:tcW w:w="38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20" w:type="dxa"/>
            <w:vAlign w:val="bottom"/>
          </w:tcPr>
          <w:p>
            <w:pPr>
              <w:jc w:val="center"/>
              <w:ind w:right="161"/>
              <w:spacing w:after="0"/>
              <w:rPr>
                <w:sz w:val="20"/>
                <w:szCs w:val="20"/>
                <w:color w:val="auto"/>
              </w:rPr>
            </w:pPr>
            <w:r>
              <w:rPr>
                <w:rFonts w:ascii="Arial" w:cs="Arial" w:eastAsia="Arial" w:hAnsi="Arial"/>
                <w:sz w:val="14"/>
                <w:szCs w:val="14"/>
                <w:b w:val="1"/>
                <w:bCs w:val="1"/>
                <w:color w:val="auto"/>
              </w:rPr>
              <w:t>Fair</w:t>
            </w:r>
          </w:p>
        </w:tc>
      </w:tr>
      <w:tr>
        <w:trPr>
          <w:trHeight w:val="264"/>
        </w:trPr>
        <w:tc>
          <w:tcPr>
            <w:tcW w:w="516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gridSpan w:val="2"/>
          </w:tcPr>
          <w:p>
            <w:pPr>
              <w:jc w:val="center"/>
              <w:ind w:right="400"/>
              <w:spacing w:after="0"/>
              <w:rPr>
                <w:sz w:val="20"/>
                <w:szCs w:val="20"/>
                <w:color w:val="auto"/>
              </w:rPr>
            </w:pPr>
            <w:r>
              <w:rPr>
                <w:rFonts w:ascii="Arial" w:cs="Arial" w:eastAsia="Arial" w:hAnsi="Arial"/>
                <w:sz w:val="14"/>
                <w:szCs w:val="14"/>
                <w:b w:val="1"/>
                <w:bCs w:val="1"/>
                <w:color w:val="auto"/>
              </w:rPr>
              <w:t>Cost</w:t>
            </w:r>
          </w:p>
        </w:tc>
        <w:tc>
          <w:tcPr>
            <w:tcW w:w="34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gridSpan w:val="2"/>
          </w:tcPr>
          <w:p>
            <w:pPr>
              <w:ind w:left="200"/>
              <w:spacing w:after="0"/>
              <w:rPr>
                <w:sz w:val="20"/>
                <w:szCs w:val="20"/>
                <w:color w:val="auto"/>
              </w:rPr>
            </w:pPr>
            <w:r>
              <w:rPr>
                <w:rFonts w:ascii="Arial" w:cs="Arial" w:eastAsia="Arial" w:hAnsi="Arial"/>
                <w:sz w:val="14"/>
                <w:szCs w:val="14"/>
                <w:b w:val="1"/>
                <w:bCs w:val="1"/>
                <w:color w:val="auto"/>
              </w:rPr>
              <w:t>Gains</w:t>
            </w:r>
          </w:p>
        </w:tc>
        <w:tc>
          <w:tcPr>
            <w:tcW w:w="1100" w:type="dxa"/>
            <w:vAlign w:val="bottom"/>
            <w:tcBorders>
              <w:bottom w:val="single" w:sz="8" w:color="auto"/>
            </w:tcBorders>
          </w:tcPr>
          <w:p>
            <w:pPr>
              <w:jc w:val="right"/>
              <w:ind w:right="22"/>
              <w:spacing w:after="0"/>
              <w:rPr>
                <w:sz w:val="20"/>
                <w:szCs w:val="20"/>
                <w:color w:val="auto"/>
              </w:rPr>
            </w:pPr>
            <w:r>
              <w:rPr>
                <w:rFonts w:ascii="Arial" w:cs="Arial" w:eastAsia="Arial" w:hAnsi="Arial"/>
                <w:sz w:val="14"/>
                <w:szCs w:val="14"/>
                <w:b w:val="1"/>
                <w:bCs w:val="1"/>
                <w:color w:val="auto"/>
              </w:rPr>
              <w:t>Losses</w:t>
            </w:r>
          </w:p>
        </w:tc>
        <w:tc>
          <w:tcPr>
            <w:tcW w:w="38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center"/>
              <w:ind w:right="161"/>
              <w:spacing w:after="0"/>
              <w:rPr>
                <w:sz w:val="20"/>
                <w:szCs w:val="20"/>
                <w:color w:val="auto"/>
              </w:rPr>
            </w:pPr>
            <w:r>
              <w:rPr>
                <w:rFonts w:ascii="Arial" w:cs="Arial" w:eastAsia="Arial" w:hAnsi="Arial"/>
                <w:sz w:val="14"/>
                <w:szCs w:val="14"/>
                <w:b w:val="1"/>
                <w:bCs w:val="1"/>
                <w:color w:val="auto"/>
              </w:rPr>
              <w:t>Value</w:t>
            </w:r>
          </w:p>
        </w:tc>
      </w:tr>
      <w:tr>
        <w:trPr>
          <w:trHeight w:val="210"/>
        </w:trPr>
        <w:tc>
          <w:tcPr>
            <w:tcW w:w="5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340" w:type="dxa"/>
            <w:vAlign w:val="bottom"/>
            <w:gridSpan w:val="3"/>
          </w:tcPr>
          <w:p>
            <w:pPr>
              <w:jc w:val="center"/>
              <w:spacing w:after="0"/>
              <w:rPr>
                <w:sz w:val="20"/>
                <w:szCs w:val="20"/>
                <w:color w:val="auto"/>
              </w:rPr>
            </w:pPr>
            <w:r>
              <w:rPr>
                <w:rFonts w:ascii="Arial" w:cs="Arial" w:eastAsia="Arial" w:hAnsi="Arial"/>
                <w:sz w:val="14"/>
                <w:szCs w:val="14"/>
                <w:b w:val="1"/>
                <w:bCs w:val="1"/>
                <w:color w:val="auto"/>
              </w:rPr>
              <w:t>(In millions)</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71"/>
        </w:trPr>
        <w:tc>
          <w:tcPr>
            <w:tcW w:w="5160" w:type="dxa"/>
            <w:vAlign w:val="bottom"/>
            <w:shd w:val="clear" w:color="auto" w:fill="CCEEFF"/>
          </w:tcPr>
          <w:p>
            <w:pPr>
              <w:ind w:left="40"/>
              <w:spacing w:after="0"/>
              <w:rPr>
                <w:sz w:val="20"/>
                <w:szCs w:val="20"/>
                <w:color w:val="auto"/>
              </w:rPr>
            </w:pPr>
            <w:r>
              <w:rPr>
                <w:rFonts w:ascii="Arial" w:cs="Arial" w:eastAsia="Arial" w:hAnsi="Arial"/>
                <w:sz w:val="16"/>
                <w:szCs w:val="16"/>
                <w:color w:val="auto"/>
              </w:rPr>
              <w:t>Corporate debt securities</w:t>
            </w:r>
          </w:p>
        </w:tc>
        <w:tc>
          <w:tcPr>
            <w:tcW w:w="2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24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1,162</w:t>
            </w:r>
          </w:p>
        </w:tc>
        <w:tc>
          <w:tcPr>
            <w:tcW w:w="120" w:type="dxa"/>
            <w:vAlign w:val="bottom"/>
            <w:shd w:val="clear" w:color="auto" w:fill="CCEEFF"/>
          </w:tcPr>
          <w:p>
            <w:pPr>
              <w:spacing w:after="0"/>
              <w:rPr>
                <w:sz w:val="23"/>
                <w:szCs w:val="23"/>
                <w:color w:val="auto"/>
              </w:rPr>
            </w:pPr>
          </w:p>
        </w:tc>
        <w:tc>
          <w:tcPr>
            <w:tcW w:w="3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14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1</w:t>
            </w:r>
          </w:p>
        </w:tc>
        <w:tc>
          <w:tcPr>
            <w:tcW w:w="100" w:type="dxa"/>
            <w:vAlign w:val="bottom"/>
            <w:shd w:val="clear" w:color="auto" w:fill="CCEEFF"/>
          </w:tcPr>
          <w:p>
            <w:pPr>
              <w:spacing w:after="0"/>
              <w:rPr>
                <w:sz w:val="23"/>
                <w:szCs w:val="23"/>
                <w:color w:val="auto"/>
              </w:rPr>
            </w:pPr>
          </w:p>
        </w:tc>
        <w:tc>
          <w:tcPr>
            <w:tcW w:w="1100" w:type="dxa"/>
            <w:vAlign w:val="bottom"/>
            <w:shd w:val="clear" w:color="auto" w:fill="CCEEFF"/>
          </w:tcPr>
          <w:p>
            <w:pPr>
              <w:jc w:val="right"/>
              <w:ind w:right="902"/>
              <w:spacing w:after="0"/>
              <w:rPr>
                <w:sz w:val="20"/>
                <w:szCs w:val="20"/>
                <w:color w:val="auto"/>
              </w:rPr>
            </w:pPr>
            <w:r>
              <w:rPr>
                <w:rFonts w:ascii="Arial" w:cs="Arial" w:eastAsia="Arial" w:hAnsi="Arial"/>
                <w:sz w:val="16"/>
                <w:szCs w:val="16"/>
                <w:color w:val="auto"/>
              </w:rPr>
              <w:t>$</w:t>
            </w:r>
          </w:p>
        </w:tc>
        <w:tc>
          <w:tcPr>
            <w:tcW w:w="3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w:t>
            </w: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22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1,162</w:t>
            </w:r>
          </w:p>
        </w:tc>
      </w:tr>
      <w:tr>
        <w:trPr>
          <w:trHeight w:val="262"/>
        </w:trPr>
        <w:tc>
          <w:tcPr>
            <w:tcW w:w="5160" w:type="dxa"/>
            <w:vAlign w:val="bottom"/>
          </w:tcPr>
          <w:p>
            <w:pPr>
              <w:ind w:left="40"/>
              <w:spacing w:after="0"/>
              <w:rPr>
                <w:sz w:val="20"/>
                <w:szCs w:val="20"/>
                <w:color w:val="auto"/>
              </w:rPr>
            </w:pPr>
            <w:r>
              <w:rPr>
                <w:rFonts w:ascii="Arial" w:cs="Arial" w:eastAsia="Arial" w:hAnsi="Arial"/>
                <w:sz w:val="16"/>
                <w:szCs w:val="16"/>
                <w:color w:val="auto"/>
              </w:rPr>
              <w:t>GSEs</w:t>
            </w:r>
          </w:p>
        </w:tc>
        <w:tc>
          <w:tcPr>
            <w:tcW w:w="260" w:type="dxa"/>
            <w:vAlign w:val="bottom"/>
          </w:tcPr>
          <w:p>
            <w:pPr>
              <w:spacing w:after="0"/>
              <w:rPr>
                <w:sz w:val="22"/>
                <w:szCs w:val="22"/>
                <w:color w:val="auto"/>
              </w:rPr>
            </w:pPr>
          </w:p>
        </w:tc>
        <w:tc>
          <w:tcPr>
            <w:tcW w:w="1240" w:type="dxa"/>
            <w:vAlign w:val="bottom"/>
          </w:tcPr>
          <w:p>
            <w:pPr>
              <w:jc w:val="right"/>
              <w:ind w:right="41"/>
              <w:spacing w:after="0"/>
              <w:rPr>
                <w:sz w:val="20"/>
                <w:szCs w:val="20"/>
                <w:color w:val="auto"/>
              </w:rPr>
            </w:pPr>
            <w:r>
              <w:rPr>
                <w:rFonts w:ascii="Arial" w:cs="Arial" w:eastAsia="Arial" w:hAnsi="Arial"/>
                <w:sz w:val="16"/>
                <w:szCs w:val="16"/>
                <w:color w:val="auto"/>
              </w:rPr>
              <w:t>221</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100" w:type="dxa"/>
            <w:vAlign w:val="bottom"/>
          </w:tcPr>
          <w:p>
            <w:pPr>
              <w:spacing w:after="0"/>
              <w:rPr>
                <w:sz w:val="22"/>
                <w:szCs w:val="22"/>
                <w:color w:val="auto"/>
              </w:rPr>
            </w:pPr>
          </w:p>
        </w:tc>
        <w:tc>
          <w:tcPr>
            <w:tcW w:w="380" w:type="dxa"/>
            <w:vAlign w:val="bottom"/>
          </w:tcPr>
          <w:p>
            <w:pPr>
              <w:jc w:val="right"/>
              <w:ind w:right="19"/>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220" w:type="dxa"/>
            <w:vAlign w:val="bottom"/>
          </w:tcPr>
          <w:p>
            <w:pPr>
              <w:jc w:val="right"/>
              <w:ind w:right="21"/>
              <w:spacing w:after="0"/>
              <w:rPr>
                <w:sz w:val="20"/>
                <w:szCs w:val="20"/>
                <w:color w:val="auto"/>
              </w:rPr>
            </w:pPr>
            <w:r>
              <w:rPr>
                <w:rFonts w:ascii="Arial" w:cs="Arial" w:eastAsia="Arial" w:hAnsi="Arial"/>
                <w:sz w:val="16"/>
                <w:szCs w:val="16"/>
                <w:color w:val="auto"/>
              </w:rPr>
              <w:t>220</w:t>
            </w:r>
          </w:p>
        </w:tc>
      </w:tr>
      <w:tr>
        <w:trPr>
          <w:trHeight w:val="278"/>
        </w:trPr>
        <w:tc>
          <w:tcPr>
            <w:tcW w:w="5160" w:type="dxa"/>
            <w:vAlign w:val="bottom"/>
            <w:shd w:val="clear" w:color="auto" w:fill="CCEEFF"/>
          </w:tcPr>
          <w:p>
            <w:pPr>
              <w:ind w:left="40"/>
              <w:spacing w:after="0"/>
              <w:rPr>
                <w:sz w:val="20"/>
                <w:szCs w:val="20"/>
                <w:color w:val="auto"/>
              </w:rPr>
            </w:pPr>
            <w:r>
              <w:rPr>
                <w:rFonts w:ascii="Arial" w:cs="Arial" w:eastAsia="Arial" w:hAnsi="Arial"/>
                <w:sz w:val="16"/>
                <w:szCs w:val="16"/>
                <w:color w:val="auto"/>
              </w:rPr>
              <w:t>Municipal securities</w:t>
            </w:r>
          </w:p>
        </w:tc>
        <w:tc>
          <w:tcPr>
            <w:tcW w:w="26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132</w:t>
            </w: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spacing w:after="0"/>
              <w:rPr>
                <w:sz w:val="24"/>
                <w:szCs w:val="24"/>
                <w:color w:val="auto"/>
              </w:rPr>
            </w:pPr>
          </w:p>
        </w:tc>
        <w:tc>
          <w:tcPr>
            <w:tcW w:w="3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131</w:t>
            </w:r>
          </w:p>
        </w:tc>
      </w:tr>
      <w:tr>
        <w:trPr>
          <w:trHeight w:val="262"/>
        </w:trPr>
        <w:tc>
          <w:tcPr>
            <w:tcW w:w="5160" w:type="dxa"/>
            <w:vAlign w:val="bottom"/>
          </w:tcPr>
          <w:p>
            <w:pPr>
              <w:ind w:left="40"/>
              <w:spacing w:after="0"/>
              <w:rPr>
                <w:sz w:val="20"/>
                <w:szCs w:val="20"/>
                <w:color w:val="auto"/>
              </w:rPr>
            </w:pPr>
            <w:r>
              <w:rPr>
                <w:rFonts w:ascii="Arial" w:cs="Arial" w:eastAsia="Arial" w:hAnsi="Arial"/>
                <w:sz w:val="16"/>
                <w:szCs w:val="16"/>
                <w:color w:val="auto"/>
              </w:rPr>
              <w:t>Asset-backed securities</w:t>
            </w:r>
          </w:p>
        </w:tc>
        <w:tc>
          <w:tcPr>
            <w:tcW w:w="260" w:type="dxa"/>
            <w:vAlign w:val="bottom"/>
          </w:tcPr>
          <w:p>
            <w:pPr>
              <w:spacing w:after="0"/>
              <w:rPr>
                <w:sz w:val="22"/>
                <w:szCs w:val="22"/>
                <w:color w:val="auto"/>
              </w:rPr>
            </w:pPr>
          </w:p>
        </w:tc>
        <w:tc>
          <w:tcPr>
            <w:tcW w:w="1240" w:type="dxa"/>
            <w:vAlign w:val="bottom"/>
          </w:tcPr>
          <w:p>
            <w:pPr>
              <w:jc w:val="right"/>
              <w:ind w:right="41"/>
              <w:spacing w:after="0"/>
              <w:rPr>
                <w:sz w:val="20"/>
                <w:szCs w:val="20"/>
                <w:color w:val="auto"/>
              </w:rPr>
            </w:pPr>
            <w:r>
              <w:rPr>
                <w:rFonts w:ascii="Arial" w:cs="Arial" w:eastAsia="Arial" w:hAnsi="Arial"/>
                <w:sz w:val="16"/>
                <w:szCs w:val="16"/>
                <w:color w:val="auto"/>
              </w:rPr>
              <w:t>125</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100" w:type="dxa"/>
            <w:vAlign w:val="bottom"/>
          </w:tcPr>
          <w:p>
            <w:pPr>
              <w:spacing w:after="0"/>
              <w:rPr>
                <w:sz w:val="22"/>
                <w:szCs w:val="22"/>
                <w:color w:val="auto"/>
              </w:rPr>
            </w:pPr>
          </w:p>
        </w:tc>
        <w:tc>
          <w:tcPr>
            <w:tcW w:w="4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2"/>
                <w:szCs w:val="22"/>
                <w:color w:val="auto"/>
              </w:rPr>
            </w:pPr>
          </w:p>
        </w:tc>
        <w:tc>
          <w:tcPr>
            <w:tcW w:w="1220" w:type="dxa"/>
            <w:vAlign w:val="bottom"/>
          </w:tcPr>
          <w:p>
            <w:pPr>
              <w:jc w:val="right"/>
              <w:ind w:right="21"/>
              <w:spacing w:after="0"/>
              <w:rPr>
                <w:sz w:val="20"/>
                <w:szCs w:val="20"/>
                <w:color w:val="auto"/>
              </w:rPr>
            </w:pPr>
            <w:r>
              <w:rPr>
                <w:rFonts w:ascii="Arial" w:cs="Arial" w:eastAsia="Arial" w:hAnsi="Arial"/>
                <w:sz w:val="16"/>
                <w:szCs w:val="16"/>
                <w:color w:val="auto"/>
              </w:rPr>
              <w:t>125</w:t>
            </w:r>
          </w:p>
        </w:tc>
      </w:tr>
      <w:tr>
        <w:trPr>
          <w:trHeight w:val="278"/>
        </w:trPr>
        <w:tc>
          <w:tcPr>
            <w:tcW w:w="5160" w:type="dxa"/>
            <w:vAlign w:val="bottom"/>
            <w:shd w:val="clear" w:color="auto" w:fill="CCEEFF"/>
          </w:tcPr>
          <w:p>
            <w:pPr>
              <w:ind w:left="40"/>
              <w:spacing w:after="0"/>
              <w:rPr>
                <w:sz w:val="20"/>
                <w:szCs w:val="20"/>
                <w:color w:val="auto"/>
              </w:rPr>
            </w:pPr>
            <w:r>
              <w:rPr>
                <w:rFonts w:ascii="Arial" w:cs="Arial" w:eastAsia="Arial" w:hAnsi="Arial"/>
                <w:sz w:val="16"/>
                <w:szCs w:val="16"/>
                <w:color w:val="auto"/>
              </w:rPr>
              <w:t>U.S. treasury notes</w:t>
            </w:r>
          </w:p>
        </w:tc>
        <w:tc>
          <w:tcPr>
            <w:tcW w:w="26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121</w:t>
            </w: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spacing w:after="0"/>
              <w:rPr>
                <w:sz w:val="24"/>
                <w:szCs w:val="24"/>
                <w:color w:val="auto"/>
              </w:rPr>
            </w:pPr>
          </w:p>
        </w:tc>
        <w:tc>
          <w:tcPr>
            <w:tcW w:w="48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121</w:t>
            </w:r>
          </w:p>
        </w:tc>
      </w:tr>
      <w:tr>
        <w:trPr>
          <w:trHeight w:val="264"/>
        </w:trPr>
        <w:tc>
          <w:tcPr>
            <w:tcW w:w="5160" w:type="dxa"/>
            <w:vAlign w:val="bottom"/>
          </w:tcPr>
          <w:p>
            <w:pPr>
              <w:ind w:left="40"/>
              <w:spacing w:after="0"/>
              <w:rPr>
                <w:sz w:val="20"/>
                <w:szCs w:val="20"/>
                <w:color w:val="auto"/>
              </w:rPr>
            </w:pPr>
            <w:r>
              <w:rPr>
                <w:rFonts w:ascii="Arial" w:cs="Arial" w:eastAsia="Arial" w:hAnsi="Arial"/>
                <w:sz w:val="16"/>
                <w:szCs w:val="16"/>
                <w:color w:val="auto"/>
              </w:rPr>
              <w:t>Certificates of deposit</w:t>
            </w:r>
          </w:p>
        </w:tc>
        <w:tc>
          <w:tcPr>
            <w:tcW w:w="260" w:type="dxa"/>
            <w:vAlign w:val="bottom"/>
          </w:tcPr>
          <w:p>
            <w:pPr>
              <w:spacing w:after="0"/>
              <w:rPr>
                <w:sz w:val="22"/>
                <w:szCs w:val="22"/>
                <w:color w:val="auto"/>
              </w:rPr>
            </w:pPr>
          </w:p>
        </w:tc>
        <w:tc>
          <w:tcPr>
            <w:tcW w:w="1240" w:type="dxa"/>
            <w:vAlign w:val="bottom"/>
          </w:tcPr>
          <w:p>
            <w:pPr>
              <w:jc w:val="right"/>
              <w:ind w:right="41"/>
              <w:spacing w:after="0"/>
              <w:rPr>
                <w:sz w:val="20"/>
                <w:szCs w:val="20"/>
                <w:color w:val="auto"/>
              </w:rPr>
            </w:pPr>
            <w:r>
              <w:rPr>
                <w:rFonts w:ascii="Arial" w:cs="Arial" w:eastAsia="Arial" w:hAnsi="Arial"/>
                <w:sz w:val="16"/>
                <w:szCs w:val="16"/>
                <w:color w:val="auto"/>
              </w:rPr>
              <w:t>28</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100" w:type="dxa"/>
            <w:vAlign w:val="bottom"/>
          </w:tcPr>
          <w:p>
            <w:pPr>
              <w:spacing w:after="0"/>
              <w:rPr>
                <w:sz w:val="22"/>
                <w:szCs w:val="22"/>
                <w:color w:val="auto"/>
              </w:rPr>
            </w:pPr>
          </w:p>
        </w:tc>
        <w:tc>
          <w:tcPr>
            <w:tcW w:w="4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2"/>
                <w:szCs w:val="22"/>
                <w:color w:val="auto"/>
              </w:rPr>
            </w:pPr>
          </w:p>
        </w:tc>
        <w:tc>
          <w:tcPr>
            <w:tcW w:w="1220" w:type="dxa"/>
            <w:vAlign w:val="bottom"/>
          </w:tcPr>
          <w:p>
            <w:pPr>
              <w:jc w:val="right"/>
              <w:ind w:right="21"/>
              <w:spacing w:after="0"/>
              <w:rPr>
                <w:sz w:val="20"/>
                <w:szCs w:val="20"/>
                <w:color w:val="auto"/>
              </w:rPr>
            </w:pPr>
            <w:r>
              <w:rPr>
                <w:rFonts w:ascii="Arial" w:cs="Arial" w:eastAsia="Arial" w:hAnsi="Arial"/>
                <w:sz w:val="16"/>
                <w:szCs w:val="16"/>
                <w:color w:val="auto"/>
              </w:rPr>
              <w:t>28</w:t>
            </w:r>
          </w:p>
        </w:tc>
      </w:tr>
      <w:tr>
        <w:trPr>
          <w:trHeight w:val="257"/>
        </w:trPr>
        <w:tc>
          <w:tcPr>
            <w:tcW w:w="5160" w:type="dxa"/>
            <w:vAlign w:val="bottom"/>
            <w:tcBorders>
              <w:top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Subtotal - current investments</w:t>
            </w:r>
          </w:p>
        </w:tc>
        <w:tc>
          <w:tcPr>
            <w:tcW w:w="260" w:type="dxa"/>
            <w:vAlign w:val="bottom"/>
            <w:tcBorders>
              <w:top w:val="single" w:sz="8" w:color="auto"/>
            </w:tcBorders>
            <w:shd w:val="clear" w:color="auto" w:fill="CCEEFF"/>
          </w:tcPr>
          <w:p>
            <w:pPr>
              <w:spacing w:after="0"/>
              <w:rPr>
                <w:sz w:val="22"/>
                <w:szCs w:val="22"/>
                <w:color w:val="auto"/>
              </w:rPr>
            </w:pPr>
          </w:p>
        </w:tc>
        <w:tc>
          <w:tcPr>
            <w:tcW w:w="1240" w:type="dxa"/>
            <w:vAlign w:val="bottom"/>
            <w:tcBorders>
              <w:top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color w:val="auto"/>
              </w:rPr>
              <w:t>1,789</w:t>
            </w:r>
          </w:p>
        </w:tc>
        <w:tc>
          <w:tcPr>
            <w:tcW w:w="120" w:type="dxa"/>
            <w:vAlign w:val="bottom"/>
            <w:tcBorders>
              <w:top w:val="single" w:sz="8" w:color="CCEEFF"/>
            </w:tcBorders>
            <w:shd w:val="clear" w:color="auto" w:fill="CCEEFF"/>
          </w:tcPr>
          <w:p>
            <w:pPr>
              <w:spacing w:after="0"/>
              <w:rPr>
                <w:sz w:val="22"/>
                <w:szCs w:val="22"/>
                <w:color w:val="auto"/>
              </w:rPr>
            </w:pPr>
          </w:p>
        </w:tc>
        <w:tc>
          <w:tcPr>
            <w:tcW w:w="340" w:type="dxa"/>
            <w:vAlign w:val="bottom"/>
            <w:tcBorders>
              <w:top w:val="single" w:sz="8" w:color="auto"/>
            </w:tcBorders>
            <w:shd w:val="clear" w:color="auto" w:fill="CCEEFF"/>
          </w:tcPr>
          <w:p>
            <w:pPr>
              <w:spacing w:after="0"/>
              <w:rPr>
                <w:sz w:val="22"/>
                <w:szCs w:val="22"/>
                <w:color w:val="auto"/>
              </w:rPr>
            </w:pPr>
          </w:p>
        </w:tc>
        <w:tc>
          <w:tcPr>
            <w:tcW w:w="1140" w:type="dxa"/>
            <w:vAlign w:val="bottom"/>
            <w:tcBorders>
              <w:top w:val="single" w:sz="8" w:color="auto"/>
            </w:tcBorders>
            <w:shd w:val="clear" w:color="auto" w:fill="CCEEFF"/>
          </w:tcPr>
          <w:p>
            <w:pPr>
              <w:jc w:val="right"/>
              <w:ind w:right="22"/>
              <w:spacing w:after="0"/>
              <w:rPr>
                <w:sz w:val="20"/>
                <w:szCs w:val="20"/>
                <w:color w:val="auto"/>
              </w:rPr>
            </w:pPr>
            <w:r>
              <w:rPr>
                <w:rFonts w:ascii="Arial" w:cs="Arial" w:eastAsia="Arial" w:hAnsi="Arial"/>
                <w:sz w:val="16"/>
                <w:szCs w:val="16"/>
                <w:color w:val="auto"/>
              </w:rPr>
              <w:t>1</w:t>
            </w:r>
          </w:p>
        </w:tc>
        <w:tc>
          <w:tcPr>
            <w:tcW w:w="100" w:type="dxa"/>
            <w:vAlign w:val="bottom"/>
            <w:tcBorders>
              <w:top w:val="single" w:sz="8" w:color="CCEEFF"/>
            </w:tcBorders>
            <w:shd w:val="clear" w:color="auto" w:fill="CCEEFF"/>
          </w:tcPr>
          <w:p>
            <w:pPr>
              <w:spacing w:after="0"/>
              <w:rPr>
                <w:sz w:val="22"/>
                <w:szCs w:val="22"/>
                <w:color w:val="auto"/>
              </w:rPr>
            </w:pPr>
          </w:p>
        </w:tc>
        <w:tc>
          <w:tcPr>
            <w:tcW w:w="1100" w:type="dxa"/>
            <w:vAlign w:val="bottom"/>
            <w:tcBorders>
              <w:top w:val="single" w:sz="8" w:color="auto"/>
            </w:tcBorders>
            <w:shd w:val="clear" w:color="auto" w:fill="CCEEFF"/>
          </w:tcPr>
          <w:p>
            <w:pPr>
              <w:spacing w:after="0"/>
              <w:rPr>
                <w:sz w:val="22"/>
                <w:szCs w:val="22"/>
                <w:color w:val="auto"/>
              </w:rPr>
            </w:pPr>
          </w:p>
        </w:tc>
        <w:tc>
          <w:tcPr>
            <w:tcW w:w="38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3</w:t>
            </w:r>
          </w:p>
        </w:tc>
        <w:tc>
          <w:tcPr>
            <w:tcW w:w="100" w:type="dxa"/>
            <w:vAlign w:val="bottom"/>
            <w:tcBorders>
              <w:top w:val="single" w:sz="8" w:color="CCEEFF"/>
            </w:tcBorders>
            <w:shd w:val="clear" w:color="auto" w:fill="CCEEFF"/>
          </w:tcPr>
          <w:p>
            <w:pPr>
              <w:spacing w:after="0"/>
              <w:rPr>
                <w:sz w:val="22"/>
                <w:szCs w:val="22"/>
                <w:color w:val="auto"/>
              </w:rPr>
            </w:pPr>
          </w:p>
        </w:tc>
        <w:tc>
          <w:tcPr>
            <w:tcW w:w="260" w:type="dxa"/>
            <w:vAlign w:val="bottom"/>
            <w:tcBorders>
              <w:top w:val="single" w:sz="8" w:color="auto"/>
            </w:tcBorders>
            <w:shd w:val="clear" w:color="auto" w:fill="CCEEFF"/>
          </w:tcPr>
          <w:p>
            <w:pPr>
              <w:spacing w:after="0"/>
              <w:rPr>
                <w:sz w:val="22"/>
                <w:szCs w:val="22"/>
                <w:color w:val="auto"/>
              </w:rPr>
            </w:pPr>
          </w:p>
        </w:tc>
        <w:tc>
          <w:tcPr>
            <w:tcW w:w="1220" w:type="dxa"/>
            <w:vAlign w:val="bottom"/>
            <w:tcBorders>
              <w:top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rPr>
              <w:t>1,787</w:t>
            </w:r>
          </w:p>
        </w:tc>
      </w:tr>
      <w:tr>
        <w:trPr>
          <w:trHeight w:val="262"/>
        </w:trPr>
        <w:tc>
          <w:tcPr>
            <w:tcW w:w="5160" w:type="dxa"/>
            <w:vAlign w:val="bottom"/>
          </w:tcPr>
          <w:p>
            <w:pPr>
              <w:ind w:left="40"/>
              <w:spacing w:after="0"/>
              <w:rPr>
                <w:sz w:val="20"/>
                <w:szCs w:val="20"/>
                <w:color w:val="auto"/>
              </w:rPr>
            </w:pPr>
            <w:r>
              <w:rPr>
                <w:rFonts w:ascii="Arial" w:cs="Arial" w:eastAsia="Arial" w:hAnsi="Arial"/>
                <w:sz w:val="16"/>
                <w:szCs w:val="16"/>
                <w:color w:val="auto"/>
              </w:rPr>
              <w:t>Corporate debt securities</w:t>
            </w:r>
          </w:p>
        </w:tc>
        <w:tc>
          <w:tcPr>
            <w:tcW w:w="260" w:type="dxa"/>
            <w:vAlign w:val="bottom"/>
          </w:tcPr>
          <w:p>
            <w:pPr>
              <w:spacing w:after="0"/>
              <w:rPr>
                <w:sz w:val="22"/>
                <w:szCs w:val="22"/>
                <w:color w:val="auto"/>
              </w:rPr>
            </w:pPr>
          </w:p>
        </w:tc>
        <w:tc>
          <w:tcPr>
            <w:tcW w:w="1240" w:type="dxa"/>
            <w:vAlign w:val="bottom"/>
          </w:tcPr>
          <w:p>
            <w:pPr>
              <w:jc w:val="right"/>
              <w:ind w:right="41"/>
              <w:spacing w:after="0"/>
              <w:rPr>
                <w:sz w:val="20"/>
                <w:szCs w:val="20"/>
                <w:color w:val="auto"/>
              </w:rPr>
            </w:pPr>
            <w:r>
              <w:rPr>
                <w:rFonts w:ascii="Arial" w:cs="Arial" w:eastAsia="Arial" w:hAnsi="Arial"/>
                <w:sz w:val="16"/>
                <w:szCs w:val="16"/>
                <w:color w:val="auto"/>
              </w:rPr>
              <w:t>229</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100" w:type="dxa"/>
            <w:vAlign w:val="bottom"/>
          </w:tcPr>
          <w:p>
            <w:pPr>
              <w:spacing w:after="0"/>
              <w:rPr>
                <w:sz w:val="22"/>
                <w:szCs w:val="22"/>
                <w:color w:val="auto"/>
              </w:rPr>
            </w:pPr>
          </w:p>
        </w:tc>
        <w:tc>
          <w:tcPr>
            <w:tcW w:w="4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2"/>
                <w:szCs w:val="22"/>
                <w:color w:val="auto"/>
              </w:rPr>
            </w:pPr>
          </w:p>
        </w:tc>
        <w:tc>
          <w:tcPr>
            <w:tcW w:w="1220" w:type="dxa"/>
            <w:vAlign w:val="bottom"/>
          </w:tcPr>
          <w:p>
            <w:pPr>
              <w:jc w:val="right"/>
              <w:ind w:right="21"/>
              <w:spacing w:after="0"/>
              <w:rPr>
                <w:sz w:val="20"/>
                <w:szCs w:val="20"/>
                <w:color w:val="auto"/>
              </w:rPr>
            </w:pPr>
            <w:r>
              <w:rPr>
                <w:rFonts w:ascii="Arial" w:cs="Arial" w:eastAsia="Arial" w:hAnsi="Arial"/>
                <w:sz w:val="16"/>
                <w:szCs w:val="16"/>
                <w:color w:val="auto"/>
              </w:rPr>
              <w:t>229</w:t>
            </w:r>
          </w:p>
        </w:tc>
      </w:tr>
      <w:tr>
        <w:trPr>
          <w:trHeight w:val="271"/>
        </w:trPr>
        <w:tc>
          <w:tcPr>
            <w:tcW w:w="5160" w:type="dxa"/>
            <w:vAlign w:val="bottom"/>
            <w:shd w:val="clear" w:color="auto" w:fill="CCEEFF"/>
          </w:tcPr>
          <w:p>
            <w:pPr>
              <w:ind w:left="40"/>
              <w:spacing w:after="0"/>
              <w:rPr>
                <w:sz w:val="20"/>
                <w:szCs w:val="20"/>
                <w:color w:val="auto"/>
              </w:rPr>
            </w:pPr>
            <w:r>
              <w:rPr>
                <w:rFonts w:ascii="Arial" w:cs="Arial" w:eastAsia="Arial" w:hAnsi="Arial"/>
                <w:sz w:val="16"/>
                <w:szCs w:val="16"/>
                <w:color w:val="auto"/>
              </w:rPr>
              <w:t>U.S. treasury notes</w:t>
            </w:r>
          </w:p>
        </w:tc>
        <w:tc>
          <w:tcPr>
            <w:tcW w:w="260" w:type="dxa"/>
            <w:vAlign w:val="bottom"/>
            <w:tcBorders>
              <w:bottom w:val="single" w:sz="8" w:color="auto"/>
            </w:tcBorders>
            <w:shd w:val="clear" w:color="auto" w:fill="CCEEFF"/>
          </w:tcPr>
          <w:p>
            <w:pPr>
              <w:spacing w:after="0"/>
              <w:rPr>
                <w:sz w:val="23"/>
                <w:szCs w:val="23"/>
                <w:color w:val="auto"/>
              </w:rPr>
            </w:pPr>
          </w:p>
        </w:tc>
        <w:tc>
          <w:tcPr>
            <w:tcW w:w="124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color w:val="auto"/>
              </w:rPr>
              <w:t>97</w:t>
            </w:r>
          </w:p>
        </w:tc>
        <w:tc>
          <w:tcPr>
            <w:tcW w:w="120" w:type="dxa"/>
            <w:vAlign w:val="bottom"/>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ind w:right="22"/>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23"/>
                <w:szCs w:val="23"/>
                <w:color w:val="auto"/>
              </w:rPr>
            </w:pPr>
          </w:p>
        </w:tc>
        <w:tc>
          <w:tcPr>
            <w:tcW w:w="1100" w:type="dxa"/>
            <w:vAlign w:val="bottom"/>
            <w:tcBorders>
              <w:bottom w:val="single" w:sz="8" w:color="auto"/>
            </w:tcBorders>
            <w:shd w:val="clear" w:color="auto" w:fill="CCEEFF"/>
          </w:tcPr>
          <w:p>
            <w:pPr>
              <w:spacing w:after="0"/>
              <w:rPr>
                <w:sz w:val="23"/>
                <w:szCs w:val="23"/>
                <w:color w:val="auto"/>
              </w:rPr>
            </w:pPr>
          </w:p>
        </w:tc>
        <w:tc>
          <w:tcPr>
            <w:tcW w:w="3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122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rPr>
              <w:t>97</w:t>
            </w:r>
          </w:p>
        </w:tc>
      </w:tr>
      <w:tr>
        <w:trPr>
          <w:trHeight w:val="250"/>
        </w:trPr>
        <w:tc>
          <w:tcPr>
            <w:tcW w:w="5160" w:type="dxa"/>
            <w:vAlign w:val="bottom"/>
          </w:tcPr>
          <w:p>
            <w:pPr>
              <w:ind w:left="280"/>
              <w:spacing w:after="0"/>
              <w:rPr>
                <w:sz w:val="20"/>
                <w:szCs w:val="20"/>
                <w:color w:val="auto"/>
              </w:rPr>
            </w:pPr>
            <w:r>
              <w:rPr>
                <w:rFonts w:ascii="Arial" w:cs="Arial" w:eastAsia="Arial" w:hAnsi="Arial"/>
                <w:sz w:val="16"/>
                <w:szCs w:val="16"/>
                <w:color w:val="auto"/>
              </w:rPr>
              <w:t>Subtotal - current restricted investments</w:t>
            </w:r>
          </w:p>
        </w:tc>
        <w:tc>
          <w:tcPr>
            <w:tcW w:w="260" w:type="dxa"/>
            <w:vAlign w:val="bottom"/>
          </w:tcPr>
          <w:p>
            <w:pPr>
              <w:spacing w:after="0"/>
              <w:rPr>
                <w:sz w:val="21"/>
                <w:szCs w:val="21"/>
                <w:color w:val="auto"/>
              </w:rPr>
            </w:pPr>
          </w:p>
        </w:tc>
        <w:tc>
          <w:tcPr>
            <w:tcW w:w="1240" w:type="dxa"/>
            <w:vAlign w:val="bottom"/>
          </w:tcPr>
          <w:p>
            <w:pPr>
              <w:jc w:val="right"/>
              <w:ind w:right="41"/>
              <w:spacing w:after="0"/>
              <w:rPr>
                <w:sz w:val="20"/>
                <w:szCs w:val="20"/>
                <w:color w:val="auto"/>
              </w:rPr>
            </w:pPr>
            <w:r>
              <w:rPr>
                <w:rFonts w:ascii="Arial" w:cs="Arial" w:eastAsia="Arial" w:hAnsi="Arial"/>
                <w:sz w:val="16"/>
                <w:szCs w:val="16"/>
                <w:color w:val="auto"/>
              </w:rPr>
              <w:t>326</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100" w:type="dxa"/>
            <w:vAlign w:val="bottom"/>
          </w:tcPr>
          <w:p>
            <w:pPr>
              <w:spacing w:after="0"/>
              <w:rPr>
                <w:sz w:val="21"/>
                <w:szCs w:val="21"/>
                <w:color w:val="auto"/>
              </w:rPr>
            </w:pPr>
          </w:p>
        </w:tc>
        <w:tc>
          <w:tcPr>
            <w:tcW w:w="4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1"/>
                <w:szCs w:val="21"/>
                <w:color w:val="auto"/>
              </w:rPr>
            </w:pPr>
          </w:p>
        </w:tc>
        <w:tc>
          <w:tcPr>
            <w:tcW w:w="1220" w:type="dxa"/>
            <w:vAlign w:val="bottom"/>
          </w:tcPr>
          <w:p>
            <w:pPr>
              <w:jc w:val="right"/>
              <w:ind w:right="21"/>
              <w:spacing w:after="0"/>
              <w:rPr>
                <w:sz w:val="20"/>
                <w:szCs w:val="20"/>
                <w:color w:val="auto"/>
              </w:rPr>
            </w:pPr>
            <w:r>
              <w:rPr>
                <w:rFonts w:ascii="Arial" w:cs="Arial" w:eastAsia="Arial" w:hAnsi="Arial"/>
                <w:sz w:val="16"/>
                <w:szCs w:val="16"/>
                <w:color w:val="auto"/>
              </w:rPr>
              <w:t>326</w:t>
            </w:r>
          </w:p>
        </w:tc>
      </w:tr>
      <w:tr>
        <w:trPr>
          <w:trHeight w:val="237"/>
        </w:trPr>
        <w:tc>
          <w:tcPr>
            <w:tcW w:w="5160" w:type="dxa"/>
            <w:vAlign w:val="bottom"/>
            <w:tcBorders>
              <w:top w:val="single" w:sz="8" w:color="CCEEFF"/>
              <w:bottom w:val="single" w:sz="8" w:color="CCEEFF"/>
            </w:tcBorders>
            <w:shd w:val="clear" w:color="auto" w:fill="CCEEFF"/>
          </w:tcPr>
          <w:p>
            <w:pPr>
              <w:spacing w:after="0"/>
              <w:rPr>
                <w:sz w:val="20"/>
                <w:szCs w:val="20"/>
                <w:color w:val="auto"/>
              </w:rPr>
            </w:pPr>
          </w:p>
        </w:tc>
        <w:tc>
          <w:tcPr>
            <w:tcW w:w="260" w:type="dxa"/>
            <w:vAlign w:val="bottom"/>
            <w:tcBorders>
              <w:top w:val="single" w:sz="8" w:color="auto"/>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240" w:type="dxa"/>
            <w:vAlign w:val="bottom"/>
            <w:tcBorders>
              <w:top w:val="single" w:sz="8" w:color="auto"/>
              <w:bottom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color w:val="auto"/>
              </w:rPr>
              <w:t>2,115</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340" w:type="dxa"/>
            <w:vAlign w:val="bottom"/>
            <w:tcBorders>
              <w:top w:val="single" w:sz="8" w:color="auto"/>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140" w:type="dxa"/>
            <w:vAlign w:val="bottom"/>
            <w:tcBorders>
              <w:top w:val="single" w:sz="8" w:color="auto"/>
              <w:bottom w:val="single" w:sz="8" w:color="auto"/>
            </w:tcBorders>
            <w:shd w:val="clear" w:color="auto" w:fill="CCEEFF"/>
          </w:tcPr>
          <w:p>
            <w:pPr>
              <w:jc w:val="right"/>
              <w:ind w:right="22"/>
              <w:spacing w:after="0"/>
              <w:rPr>
                <w:sz w:val="20"/>
                <w:szCs w:val="20"/>
                <w:color w:val="auto"/>
              </w:rPr>
            </w:pPr>
            <w:r>
              <w:rPr>
                <w:rFonts w:ascii="Arial" w:cs="Arial" w:eastAsia="Arial" w:hAnsi="Arial"/>
                <w:sz w:val="16"/>
                <w:szCs w:val="16"/>
                <w:color w:val="auto"/>
              </w:rPr>
              <w:t>1</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100" w:type="dxa"/>
            <w:vAlign w:val="bottom"/>
            <w:tcBorders>
              <w:top w:val="single" w:sz="8" w:color="auto"/>
              <w:bottom w:val="single" w:sz="8" w:color="auto"/>
            </w:tcBorders>
            <w:shd w:val="clear" w:color="auto" w:fill="CCEEFF"/>
          </w:tcPr>
          <w:p>
            <w:pPr>
              <w:jc w:val="right"/>
              <w:ind w:right="902"/>
              <w:spacing w:after="0"/>
              <w:rPr>
                <w:sz w:val="20"/>
                <w:szCs w:val="20"/>
                <w:color w:val="auto"/>
              </w:rPr>
            </w:pPr>
            <w:r>
              <w:rPr>
                <w:rFonts w:ascii="Arial" w:cs="Arial" w:eastAsia="Arial" w:hAnsi="Arial"/>
                <w:sz w:val="16"/>
                <w:szCs w:val="16"/>
                <w:color w:val="auto"/>
              </w:rPr>
              <w:t>$</w:t>
            </w:r>
          </w:p>
        </w:tc>
        <w:tc>
          <w:tcPr>
            <w:tcW w:w="38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3</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60" w:type="dxa"/>
            <w:vAlign w:val="bottom"/>
            <w:tcBorders>
              <w:top w:val="single" w:sz="8" w:color="auto"/>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220" w:type="dxa"/>
            <w:vAlign w:val="bottom"/>
            <w:tcBorders>
              <w:top w:val="single" w:sz="8" w:color="auto"/>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rPr>
              <w:t>2,113</w:t>
            </w:r>
          </w:p>
        </w:tc>
      </w:tr>
      <w:tr>
        <w:trPr>
          <w:trHeight w:val="20"/>
        </w:trPr>
        <w:tc>
          <w:tcPr>
            <w:tcW w:w="51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r>
        <w:trPr>
          <w:trHeight w:val="445"/>
        </w:trPr>
        <w:tc>
          <w:tcPr>
            <w:tcW w:w="516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234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rPr>
              <w:t>December 31, 2016</w:t>
            </w:r>
          </w:p>
        </w:tc>
        <w:tc>
          <w:tcPr>
            <w:tcW w:w="3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r>
      <w:tr>
        <w:trPr>
          <w:trHeight w:val="168"/>
        </w:trPr>
        <w:tc>
          <w:tcPr>
            <w:tcW w:w="5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340" w:type="dxa"/>
            <w:vAlign w:val="bottom"/>
            <w:gridSpan w:val="3"/>
          </w:tcPr>
          <w:p>
            <w:pPr>
              <w:jc w:val="center"/>
              <w:ind w:left="2"/>
              <w:spacing w:after="0"/>
              <w:rPr>
                <w:sz w:val="20"/>
                <w:szCs w:val="20"/>
                <w:color w:val="auto"/>
              </w:rPr>
            </w:pPr>
            <w:r>
              <w:rPr>
                <w:rFonts w:ascii="Arial" w:cs="Arial" w:eastAsia="Arial" w:hAnsi="Arial"/>
                <w:sz w:val="14"/>
                <w:szCs w:val="14"/>
                <w:b w:val="1"/>
                <w:bCs w:val="1"/>
                <w:color w:val="auto"/>
              </w:rPr>
              <w:t>Gross</w:t>
            </w: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20" w:type="dxa"/>
            <w:vAlign w:val="bottom"/>
          </w:tcPr>
          <w:p>
            <w:pPr>
              <w:jc w:val="center"/>
              <w:ind w:right="181"/>
              <w:spacing w:after="0"/>
              <w:rPr>
                <w:sz w:val="20"/>
                <w:szCs w:val="20"/>
                <w:color w:val="auto"/>
              </w:rPr>
            </w:pPr>
            <w:r>
              <w:rPr>
                <w:rFonts w:ascii="Arial" w:cs="Arial" w:eastAsia="Arial" w:hAnsi="Arial"/>
                <w:sz w:val="14"/>
                <w:szCs w:val="14"/>
                <w:b w:val="1"/>
                <w:bCs w:val="1"/>
                <w:color w:val="auto"/>
              </w:rPr>
              <w:t>Estimated</w:t>
            </w:r>
          </w:p>
        </w:tc>
      </w:tr>
      <w:tr>
        <w:trPr>
          <w:trHeight w:val="203"/>
        </w:trPr>
        <w:tc>
          <w:tcPr>
            <w:tcW w:w="5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6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rPr>
              <w:t>Amortized</w:t>
            </w:r>
          </w:p>
        </w:tc>
        <w:tc>
          <w:tcPr>
            <w:tcW w:w="340" w:type="dxa"/>
            <w:vAlign w:val="bottom"/>
            <w:tcBorders>
              <w:bottom w:val="single" w:sz="8" w:color="auto"/>
            </w:tcBorders>
          </w:tcPr>
          <w:p>
            <w:pPr>
              <w:spacing w:after="0"/>
              <w:rPr>
                <w:sz w:val="17"/>
                <w:szCs w:val="17"/>
                <w:color w:val="auto"/>
              </w:rPr>
            </w:pPr>
          </w:p>
        </w:tc>
        <w:tc>
          <w:tcPr>
            <w:tcW w:w="2340" w:type="dxa"/>
            <w:vAlign w:val="bottom"/>
            <w:tcBorders>
              <w:bottom w:val="single" w:sz="8" w:color="auto"/>
            </w:tcBorders>
            <w:gridSpan w:val="3"/>
          </w:tcPr>
          <w:p>
            <w:pPr>
              <w:jc w:val="center"/>
              <w:ind w:left="2"/>
              <w:spacing w:after="0"/>
              <w:rPr>
                <w:sz w:val="20"/>
                <w:szCs w:val="20"/>
                <w:color w:val="auto"/>
              </w:rPr>
            </w:pPr>
            <w:r>
              <w:rPr>
                <w:rFonts w:ascii="Arial" w:cs="Arial" w:eastAsia="Arial" w:hAnsi="Arial"/>
                <w:sz w:val="14"/>
                <w:szCs w:val="14"/>
                <w:b w:val="1"/>
                <w:bCs w:val="1"/>
                <w:color w:val="auto"/>
              </w:rPr>
              <w:t>Unrealized</w:t>
            </w:r>
          </w:p>
        </w:tc>
        <w:tc>
          <w:tcPr>
            <w:tcW w:w="38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20" w:type="dxa"/>
            <w:vAlign w:val="bottom"/>
          </w:tcPr>
          <w:p>
            <w:pPr>
              <w:jc w:val="center"/>
              <w:ind w:right="161"/>
              <w:spacing w:after="0"/>
              <w:rPr>
                <w:sz w:val="20"/>
                <w:szCs w:val="20"/>
                <w:color w:val="auto"/>
              </w:rPr>
            </w:pPr>
            <w:r>
              <w:rPr>
                <w:rFonts w:ascii="Arial" w:cs="Arial" w:eastAsia="Arial" w:hAnsi="Arial"/>
                <w:sz w:val="14"/>
                <w:szCs w:val="14"/>
                <w:b w:val="1"/>
                <w:bCs w:val="1"/>
                <w:color w:val="auto"/>
              </w:rPr>
              <w:t>Fair</w:t>
            </w:r>
          </w:p>
        </w:tc>
      </w:tr>
      <w:tr>
        <w:trPr>
          <w:trHeight w:val="264"/>
        </w:trPr>
        <w:tc>
          <w:tcPr>
            <w:tcW w:w="516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gridSpan w:val="2"/>
          </w:tcPr>
          <w:p>
            <w:pPr>
              <w:jc w:val="center"/>
              <w:ind w:right="400"/>
              <w:spacing w:after="0"/>
              <w:rPr>
                <w:sz w:val="20"/>
                <w:szCs w:val="20"/>
                <w:color w:val="auto"/>
              </w:rPr>
            </w:pPr>
            <w:r>
              <w:rPr>
                <w:rFonts w:ascii="Arial" w:cs="Arial" w:eastAsia="Arial" w:hAnsi="Arial"/>
                <w:sz w:val="14"/>
                <w:szCs w:val="14"/>
                <w:b w:val="1"/>
                <w:bCs w:val="1"/>
                <w:color w:val="auto"/>
              </w:rPr>
              <w:t>Cost</w:t>
            </w:r>
          </w:p>
        </w:tc>
        <w:tc>
          <w:tcPr>
            <w:tcW w:w="34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gridSpan w:val="2"/>
          </w:tcPr>
          <w:p>
            <w:pPr>
              <w:ind w:left="200"/>
              <w:spacing w:after="0"/>
              <w:rPr>
                <w:sz w:val="20"/>
                <w:szCs w:val="20"/>
                <w:color w:val="auto"/>
              </w:rPr>
            </w:pPr>
            <w:r>
              <w:rPr>
                <w:rFonts w:ascii="Arial" w:cs="Arial" w:eastAsia="Arial" w:hAnsi="Arial"/>
                <w:sz w:val="14"/>
                <w:szCs w:val="14"/>
                <w:b w:val="1"/>
                <w:bCs w:val="1"/>
                <w:color w:val="auto"/>
              </w:rPr>
              <w:t>Gains</w:t>
            </w:r>
          </w:p>
        </w:tc>
        <w:tc>
          <w:tcPr>
            <w:tcW w:w="1100" w:type="dxa"/>
            <w:vAlign w:val="bottom"/>
            <w:tcBorders>
              <w:bottom w:val="single" w:sz="8" w:color="auto"/>
            </w:tcBorders>
          </w:tcPr>
          <w:p>
            <w:pPr>
              <w:jc w:val="right"/>
              <w:ind w:right="22"/>
              <w:spacing w:after="0"/>
              <w:rPr>
                <w:sz w:val="20"/>
                <w:szCs w:val="20"/>
                <w:color w:val="auto"/>
              </w:rPr>
            </w:pPr>
            <w:r>
              <w:rPr>
                <w:rFonts w:ascii="Arial" w:cs="Arial" w:eastAsia="Arial" w:hAnsi="Arial"/>
                <w:sz w:val="14"/>
                <w:szCs w:val="14"/>
                <w:b w:val="1"/>
                <w:bCs w:val="1"/>
                <w:color w:val="auto"/>
              </w:rPr>
              <w:t>Losses</w:t>
            </w:r>
          </w:p>
        </w:tc>
        <w:tc>
          <w:tcPr>
            <w:tcW w:w="38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center"/>
              <w:ind w:right="161"/>
              <w:spacing w:after="0"/>
              <w:rPr>
                <w:sz w:val="20"/>
                <w:szCs w:val="20"/>
                <w:color w:val="auto"/>
              </w:rPr>
            </w:pPr>
            <w:r>
              <w:rPr>
                <w:rFonts w:ascii="Arial" w:cs="Arial" w:eastAsia="Arial" w:hAnsi="Arial"/>
                <w:sz w:val="14"/>
                <w:szCs w:val="14"/>
                <w:b w:val="1"/>
                <w:bCs w:val="1"/>
                <w:color w:val="auto"/>
              </w:rPr>
              <w:t>Value</w:t>
            </w:r>
          </w:p>
        </w:tc>
      </w:tr>
      <w:tr>
        <w:trPr>
          <w:trHeight w:val="210"/>
        </w:trPr>
        <w:tc>
          <w:tcPr>
            <w:tcW w:w="5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340" w:type="dxa"/>
            <w:vAlign w:val="bottom"/>
            <w:gridSpan w:val="3"/>
          </w:tcPr>
          <w:p>
            <w:pPr>
              <w:jc w:val="center"/>
              <w:spacing w:after="0"/>
              <w:rPr>
                <w:sz w:val="20"/>
                <w:szCs w:val="20"/>
                <w:color w:val="auto"/>
              </w:rPr>
            </w:pPr>
            <w:r>
              <w:rPr>
                <w:rFonts w:ascii="Arial" w:cs="Arial" w:eastAsia="Arial" w:hAnsi="Arial"/>
                <w:sz w:val="14"/>
                <w:szCs w:val="14"/>
                <w:b w:val="1"/>
                <w:bCs w:val="1"/>
                <w:color w:val="auto"/>
              </w:rPr>
              <w:t>(In millions)</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71"/>
        </w:trPr>
        <w:tc>
          <w:tcPr>
            <w:tcW w:w="5160" w:type="dxa"/>
            <w:vAlign w:val="bottom"/>
            <w:shd w:val="clear" w:color="auto" w:fill="CCEEFF"/>
          </w:tcPr>
          <w:p>
            <w:pPr>
              <w:ind w:left="40"/>
              <w:spacing w:after="0"/>
              <w:rPr>
                <w:sz w:val="20"/>
                <w:szCs w:val="20"/>
                <w:color w:val="auto"/>
              </w:rPr>
            </w:pPr>
            <w:r>
              <w:rPr>
                <w:rFonts w:ascii="Arial" w:cs="Arial" w:eastAsia="Arial" w:hAnsi="Arial"/>
                <w:sz w:val="16"/>
                <w:szCs w:val="16"/>
                <w:color w:val="auto"/>
              </w:rPr>
              <w:t>Corporate debt securities</w:t>
            </w:r>
          </w:p>
        </w:tc>
        <w:tc>
          <w:tcPr>
            <w:tcW w:w="2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24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1,180</w:t>
            </w:r>
          </w:p>
        </w:tc>
        <w:tc>
          <w:tcPr>
            <w:tcW w:w="120" w:type="dxa"/>
            <w:vAlign w:val="bottom"/>
            <w:shd w:val="clear" w:color="auto" w:fill="CCEEFF"/>
          </w:tcPr>
          <w:p>
            <w:pPr>
              <w:spacing w:after="0"/>
              <w:rPr>
                <w:sz w:val="23"/>
                <w:szCs w:val="23"/>
                <w:color w:val="auto"/>
              </w:rPr>
            </w:pPr>
          </w:p>
        </w:tc>
        <w:tc>
          <w:tcPr>
            <w:tcW w:w="3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14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1</w:t>
            </w:r>
          </w:p>
        </w:tc>
        <w:tc>
          <w:tcPr>
            <w:tcW w:w="100" w:type="dxa"/>
            <w:vAlign w:val="bottom"/>
            <w:shd w:val="clear" w:color="auto" w:fill="CCEEFF"/>
          </w:tcPr>
          <w:p>
            <w:pPr>
              <w:spacing w:after="0"/>
              <w:rPr>
                <w:sz w:val="23"/>
                <w:szCs w:val="23"/>
                <w:color w:val="auto"/>
              </w:rPr>
            </w:pPr>
          </w:p>
        </w:tc>
        <w:tc>
          <w:tcPr>
            <w:tcW w:w="1100" w:type="dxa"/>
            <w:vAlign w:val="bottom"/>
            <w:shd w:val="clear" w:color="auto" w:fill="CCEEFF"/>
          </w:tcPr>
          <w:p>
            <w:pPr>
              <w:jc w:val="right"/>
              <w:ind w:right="902"/>
              <w:spacing w:after="0"/>
              <w:rPr>
                <w:sz w:val="20"/>
                <w:szCs w:val="20"/>
                <w:color w:val="auto"/>
              </w:rPr>
            </w:pPr>
            <w:r>
              <w:rPr>
                <w:rFonts w:ascii="Arial" w:cs="Arial" w:eastAsia="Arial" w:hAnsi="Arial"/>
                <w:sz w:val="16"/>
                <w:szCs w:val="16"/>
                <w:color w:val="auto"/>
              </w:rPr>
              <w:t>$</w:t>
            </w:r>
          </w:p>
        </w:tc>
        <w:tc>
          <w:tcPr>
            <w:tcW w:w="3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w:t>
            </w: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22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1,179</w:t>
            </w:r>
          </w:p>
        </w:tc>
      </w:tr>
      <w:tr>
        <w:trPr>
          <w:trHeight w:val="262"/>
        </w:trPr>
        <w:tc>
          <w:tcPr>
            <w:tcW w:w="5160" w:type="dxa"/>
            <w:vAlign w:val="bottom"/>
          </w:tcPr>
          <w:p>
            <w:pPr>
              <w:ind w:left="40"/>
              <w:spacing w:after="0"/>
              <w:rPr>
                <w:sz w:val="20"/>
                <w:szCs w:val="20"/>
                <w:color w:val="auto"/>
              </w:rPr>
            </w:pPr>
            <w:r>
              <w:rPr>
                <w:rFonts w:ascii="Arial" w:cs="Arial" w:eastAsia="Arial" w:hAnsi="Arial"/>
                <w:sz w:val="16"/>
                <w:szCs w:val="16"/>
                <w:color w:val="auto"/>
              </w:rPr>
              <w:t>GSEs</w:t>
            </w:r>
          </w:p>
        </w:tc>
        <w:tc>
          <w:tcPr>
            <w:tcW w:w="260" w:type="dxa"/>
            <w:vAlign w:val="bottom"/>
          </w:tcPr>
          <w:p>
            <w:pPr>
              <w:spacing w:after="0"/>
              <w:rPr>
                <w:sz w:val="22"/>
                <w:szCs w:val="22"/>
                <w:color w:val="auto"/>
              </w:rPr>
            </w:pPr>
          </w:p>
        </w:tc>
        <w:tc>
          <w:tcPr>
            <w:tcW w:w="1240" w:type="dxa"/>
            <w:vAlign w:val="bottom"/>
          </w:tcPr>
          <w:p>
            <w:pPr>
              <w:jc w:val="right"/>
              <w:ind w:right="41"/>
              <w:spacing w:after="0"/>
              <w:rPr>
                <w:sz w:val="20"/>
                <w:szCs w:val="20"/>
                <w:color w:val="auto"/>
              </w:rPr>
            </w:pPr>
            <w:r>
              <w:rPr>
                <w:rFonts w:ascii="Arial" w:cs="Arial" w:eastAsia="Arial" w:hAnsi="Arial"/>
                <w:sz w:val="16"/>
                <w:szCs w:val="16"/>
                <w:color w:val="auto"/>
              </w:rPr>
              <w:t>232</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100" w:type="dxa"/>
            <w:vAlign w:val="bottom"/>
          </w:tcPr>
          <w:p>
            <w:pPr>
              <w:spacing w:after="0"/>
              <w:rPr>
                <w:sz w:val="22"/>
                <w:szCs w:val="22"/>
                <w:color w:val="auto"/>
              </w:rPr>
            </w:pPr>
          </w:p>
        </w:tc>
        <w:tc>
          <w:tcPr>
            <w:tcW w:w="380" w:type="dxa"/>
            <w:vAlign w:val="bottom"/>
          </w:tcPr>
          <w:p>
            <w:pPr>
              <w:jc w:val="right"/>
              <w:ind w:right="19"/>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220" w:type="dxa"/>
            <w:vAlign w:val="bottom"/>
          </w:tcPr>
          <w:p>
            <w:pPr>
              <w:jc w:val="right"/>
              <w:ind w:right="21"/>
              <w:spacing w:after="0"/>
              <w:rPr>
                <w:sz w:val="20"/>
                <w:szCs w:val="20"/>
                <w:color w:val="auto"/>
              </w:rPr>
            </w:pPr>
            <w:r>
              <w:rPr>
                <w:rFonts w:ascii="Arial" w:cs="Arial" w:eastAsia="Arial" w:hAnsi="Arial"/>
                <w:sz w:val="16"/>
                <w:szCs w:val="16"/>
                <w:color w:val="auto"/>
              </w:rPr>
              <w:t>231</w:t>
            </w:r>
          </w:p>
        </w:tc>
      </w:tr>
      <w:tr>
        <w:trPr>
          <w:trHeight w:val="278"/>
        </w:trPr>
        <w:tc>
          <w:tcPr>
            <w:tcW w:w="5160" w:type="dxa"/>
            <w:vAlign w:val="bottom"/>
            <w:shd w:val="clear" w:color="auto" w:fill="CCEEFF"/>
          </w:tcPr>
          <w:p>
            <w:pPr>
              <w:ind w:left="40"/>
              <w:spacing w:after="0"/>
              <w:rPr>
                <w:sz w:val="20"/>
                <w:szCs w:val="20"/>
                <w:color w:val="auto"/>
              </w:rPr>
            </w:pPr>
            <w:r>
              <w:rPr>
                <w:rFonts w:ascii="Arial" w:cs="Arial" w:eastAsia="Arial" w:hAnsi="Arial"/>
                <w:sz w:val="16"/>
                <w:szCs w:val="16"/>
                <w:color w:val="auto"/>
              </w:rPr>
              <w:t>Municipal securities</w:t>
            </w:r>
          </w:p>
        </w:tc>
        <w:tc>
          <w:tcPr>
            <w:tcW w:w="26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143</w:t>
            </w: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spacing w:after="0"/>
              <w:rPr>
                <w:sz w:val="24"/>
                <w:szCs w:val="24"/>
                <w:color w:val="auto"/>
              </w:rPr>
            </w:pPr>
          </w:p>
        </w:tc>
        <w:tc>
          <w:tcPr>
            <w:tcW w:w="3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142</w:t>
            </w:r>
          </w:p>
        </w:tc>
      </w:tr>
      <w:tr>
        <w:trPr>
          <w:trHeight w:val="262"/>
        </w:trPr>
        <w:tc>
          <w:tcPr>
            <w:tcW w:w="5160" w:type="dxa"/>
            <w:vAlign w:val="bottom"/>
          </w:tcPr>
          <w:p>
            <w:pPr>
              <w:ind w:left="40"/>
              <w:spacing w:after="0"/>
              <w:rPr>
                <w:sz w:val="20"/>
                <w:szCs w:val="20"/>
                <w:color w:val="auto"/>
              </w:rPr>
            </w:pPr>
            <w:r>
              <w:rPr>
                <w:rFonts w:ascii="Arial" w:cs="Arial" w:eastAsia="Arial" w:hAnsi="Arial"/>
                <w:sz w:val="16"/>
                <w:szCs w:val="16"/>
                <w:color w:val="auto"/>
              </w:rPr>
              <w:t>Asset-backed securities</w:t>
            </w:r>
          </w:p>
        </w:tc>
        <w:tc>
          <w:tcPr>
            <w:tcW w:w="260" w:type="dxa"/>
            <w:vAlign w:val="bottom"/>
          </w:tcPr>
          <w:p>
            <w:pPr>
              <w:spacing w:after="0"/>
              <w:rPr>
                <w:sz w:val="22"/>
                <w:szCs w:val="22"/>
                <w:color w:val="auto"/>
              </w:rPr>
            </w:pPr>
          </w:p>
        </w:tc>
        <w:tc>
          <w:tcPr>
            <w:tcW w:w="1240" w:type="dxa"/>
            <w:vAlign w:val="bottom"/>
          </w:tcPr>
          <w:p>
            <w:pPr>
              <w:jc w:val="right"/>
              <w:ind w:right="41"/>
              <w:spacing w:after="0"/>
              <w:rPr>
                <w:sz w:val="20"/>
                <w:szCs w:val="20"/>
                <w:color w:val="auto"/>
              </w:rPr>
            </w:pPr>
            <w:r>
              <w:rPr>
                <w:rFonts w:ascii="Arial" w:cs="Arial" w:eastAsia="Arial" w:hAnsi="Arial"/>
                <w:sz w:val="16"/>
                <w:szCs w:val="16"/>
                <w:color w:val="auto"/>
              </w:rPr>
              <w:t>69</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100" w:type="dxa"/>
            <w:vAlign w:val="bottom"/>
          </w:tcPr>
          <w:p>
            <w:pPr>
              <w:spacing w:after="0"/>
              <w:rPr>
                <w:sz w:val="22"/>
                <w:szCs w:val="22"/>
                <w:color w:val="auto"/>
              </w:rPr>
            </w:pPr>
          </w:p>
        </w:tc>
        <w:tc>
          <w:tcPr>
            <w:tcW w:w="4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2"/>
                <w:szCs w:val="22"/>
                <w:color w:val="auto"/>
              </w:rPr>
            </w:pPr>
          </w:p>
        </w:tc>
        <w:tc>
          <w:tcPr>
            <w:tcW w:w="1220" w:type="dxa"/>
            <w:vAlign w:val="bottom"/>
          </w:tcPr>
          <w:p>
            <w:pPr>
              <w:jc w:val="right"/>
              <w:ind w:right="21"/>
              <w:spacing w:after="0"/>
              <w:rPr>
                <w:sz w:val="20"/>
                <w:szCs w:val="20"/>
                <w:color w:val="auto"/>
              </w:rPr>
            </w:pPr>
            <w:r>
              <w:rPr>
                <w:rFonts w:ascii="Arial" w:cs="Arial" w:eastAsia="Arial" w:hAnsi="Arial"/>
                <w:sz w:val="16"/>
                <w:szCs w:val="16"/>
                <w:color w:val="auto"/>
              </w:rPr>
              <w:t>69</w:t>
            </w:r>
          </w:p>
        </w:tc>
      </w:tr>
      <w:tr>
        <w:trPr>
          <w:trHeight w:val="278"/>
        </w:trPr>
        <w:tc>
          <w:tcPr>
            <w:tcW w:w="5160" w:type="dxa"/>
            <w:vAlign w:val="bottom"/>
            <w:shd w:val="clear" w:color="auto" w:fill="CCEEFF"/>
          </w:tcPr>
          <w:p>
            <w:pPr>
              <w:ind w:left="40"/>
              <w:spacing w:after="0"/>
              <w:rPr>
                <w:sz w:val="20"/>
                <w:szCs w:val="20"/>
                <w:color w:val="auto"/>
              </w:rPr>
            </w:pPr>
            <w:r>
              <w:rPr>
                <w:rFonts w:ascii="Arial" w:cs="Arial" w:eastAsia="Arial" w:hAnsi="Arial"/>
                <w:sz w:val="16"/>
                <w:szCs w:val="16"/>
                <w:color w:val="auto"/>
              </w:rPr>
              <w:t>U.S. treasury notes</w:t>
            </w:r>
          </w:p>
        </w:tc>
        <w:tc>
          <w:tcPr>
            <w:tcW w:w="26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84</w:t>
            </w: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spacing w:after="0"/>
              <w:rPr>
                <w:sz w:val="24"/>
                <w:szCs w:val="24"/>
                <w:color w:val="auto"/>
              </w:rPr>
            </w:pPr>
          </w:p>
        </w:tc>
        <w:tc>
          <w:tcPr>
            <w:tcW w:w="48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84</w:t>
            </w:r>
          </w:p>
        </w:tc>
      </w:tr>
      <w:tr>
        <w:trPr>
          <w:trHeight w:val="264"/>
        </w:trPr>
        <w:tc>
          <w:tcPr>
            <w:tcW w:w="5160" w:type="dxa"/>
            <w:vAlign w:val="bottom"/>
          </w:tcPr>
          <w:p>
            <w:pPr>
              <w:ind w:left="40"/>
              <w:spacing w:after="0"/>
              <w:rPr>
                <w:sz w:val="20"/>
                <w:szCs w:val="20"/>
                <w:color w:val="auto"/>
              </w:rPr>
            </w:pPr>
            <w:r>
              <w:rPr>
                <w:rFonts w:ascii="Arial" w:cs="Arial" w:eastAsia="Arial" w:hAnsi="Arial"/>
                <w:sz w:val="16"/>
                <w:szCs w:val="16"/>
                <w:color w:val="auto"/>
              </w:rPr>
              <w:t>Certificates of deposit</w:t>
            </w:r>
          </w:p>
        </w:tc>
        <w:tc>
          <w:tcPr>
            <w:tcW w:w="260" w:type="dxa"/>
            <w:vAlign w:val="bottom"/>
          </w:tcPr>
          <w:p>
            <w:pPr>
              <w:spacing w:after="0"/>
              <w:rPr>
                <w:sz w:val="22"/>
                <w:szCs w:val="22"/>
                <w:color w:val="auto"/>
              </w:rPr>
            </w:pPr>
          </w:p>
        </w:tc>
        <w:tc>
          <w:tcPr>
            <w:tcW w:w="1240" w:type="dxa"/>
            <w:vAlign w:val="bottom"/>
          </w:tcPr>
          <w:p>
            <w:pPr>
              <w:jc w:val="right"/>
              <w:ind w:right="41"/>
              <w:spacing w:after="0"/>
              <w:rPr>
                <w:sz w:val="20"/>
                <w:szCs w:val="20"/>
                <w:color w:val="auto"/>
              </w:rPr>
            </w:pPr>
            <w:r>
              <w:rPr>
                <w:rFonts w:ascii="Arial" w:cs="Arial" w:eastAsia="Arial" w:hAnsi="Arial"/>
                <w:sz w:val="16"/>
                <w:szCs w:val="16"/>
                <w:color w:val="auto"/>
              </w:rPr>
              <w:t>53</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100" w:type="dxa"/>
            <w:vAlign w:val="bottom"/>
          </w:tcPr>
          <w:p>
            <w:pPr>
              <w:spacing w:after="0"/>
              <w:rPr>
                <w:sz w:val="22"/>
                <w:szCs w:val="22"/>
                <w:color w:val="auto"/>
              </w:rPr>
            </w:pPr>
          </w:p>
        </w:tc>
        <w:tc>
          <w:tcPr>
            <w:tcW w:w="4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2"/>
                <w:szCs w:val="22"/>
                <w:color w:val="auto"/>
              </w:rPr>
            </w:pPr>
          </w:p>
        </w:tc>
        <w:tc>
          <w:tcPr>
            <w:tcW w:w="1220" w:type="dxa"/>
            <w:vAlign w:val="bottom"/>
          </w:tcPr>
          <w:p>
            <w:pPr>
              <w:jc w:val="right"/>
              <w:ind w:right="21"/>
              <w:spacing w:after="0"/>
              <w:rPr>
                <w:sz w:val="20"/>
                <w:szCs w:val="20"/>
                <w:color w:val="auto"/>
              </w:rPr>
            </w:pPr>
            <w:r>
              <w:rPr>
                <w:rFonts w:ascii="Arial" w:cs="Arial" w:eastAsia="Arial" w:hAnsi="Arial"/>
                <w:sz w:val="16"/>
                <w:szCs w:val="16"/>
                <w:color w:val="auto"/>
              </w:rPr>
              <w:t>53</w:t>
            </w:r>
          </w:p>
        </w:tc>
      </w:tr>
      <w:tr>
        <w:trPr>
          <w:trHeight w:val="237"/>
        </w:trPr>
        <w:tc>
          <w:tcPr>
            <w:tcW w:w="5160" w:type="dxa"/>
            <w:vAlign w:val="bottom"/>
            <w:tcBorders>
              <w:top w:val="single" w:sz="8" w:color="CCEEFF"/>
              <w:bottom w:val="single" w:sz="8" w:color="CCEEFF"/>
            </w:tcBorders>
            <w:shd w:val="clear" w:color="auto" w:fill="CCEEFF"/>
          </w:tcPr>
          <w:p>
            <w:pPr>
              <w:spacing w:after="0"/>
              <w:rPr>
                <w:sz w:val="20"/>
                <w:szCs w:val="20"/>
                <w:color w:val="auto"/>
              </w:rPr>
            </w:pPr>
          </w:p>
        </w:tc>
        <w:tc>
          <w:tcPr>
            <w:tcW w:w="260" w:type="dxa"/>
            <w:vAlign w:val="bottom"/>
            <w:tcBorders>
              <w:top w:val="single" w:sz="8" w:color="auto"/>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240" w:type="dxa"/>
            <w:vAlign w:val="bottom"/>
            <w:tcBorders>
              <w:top w:val="single" w:sz="8" w:color="auto"/>
              <w:bottom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color w:val="auto"/>
              </w:rPr>
              <w:t>1,761</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340" w:type="dxa"/>
            <w:vAlign w:val="bottom"/>
            <w:tcBorders>
              <w:top w:val="single" w:sz="8" w:color="auto"/>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140" w:type="dxa"/>
            <w:vAlign w:val="bottom"/>
            <w:tcBorders>
              <w:top w:val="single" w:sz="8" w:color="auto"/>
              <w:bottom w:val="single" w:sz="8" w:color="auto"/>
            </w:tcBorders>
            <w:shd w:val="clear" w:color="auto" w:fill="CCEEFF"/>
          </w:tcPr>
          <w:p>
            <w:pPr>
              <w:jc w:val="right"/>
              <w:ind w:right="22"/>
              <w:spacing w:after="0"/>
              <w:rPr>
                <w:sz w:val="20"/>
                <w:szCs w:val="20"/>
                <w:color w:val="auto"/>
              </w:rPr>
            </w:pPr>
            <w:r>
              <w:rPr>
                <w:rFonts w:ascii="Arial" w:cs="Arial" w:eastAsia="Arial" w:hAnsi="Arial"/>
                <w:sz w:val="16"/>
                <w:szCs w:val="16"/>
                <w:color w:val="auto"/>
              </w:rPr>
              <w:t>1</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100" w:type="dxa"/>
            <w:vAlign w:val="bottom"/>
            <w:tcBorders>
              <w:top w:val="single" w:sz="8" w:color="auto"/>
              <w:bottom w:val="single" w:sz="8" w:color="auto"/>
            </w:tcBorders>
            <w:shd w:val="clear" w:color="auto" w:fill="CCEEFF"/>
          </w:tcPr>
          <w:p>
            <w:pPr>
              <w:jc w:val="right"/>
              <w:ind w:right="902"/>
              <w:spacing w:after="0"/>
              <w:rPr>
                <w:sz w:val="20"/>
                <w:szCs w:val="20"/>
                <w:color w:val="auto"/>
              </w:rPr>
            </w:pPr>
            <w:r>
              <w:rPr>
                <w:rFonts w:ascii="Arial" w:cs="Arial" w:eastAsia="Arial" w:hAnsi="Arial"/>
                <w:sz w:val="16"/>
                <w:szCs w:val="16"/>
                <w:color w:val="auto"/>
              </w:rPr>
              <w:t>$</w:t>
            </w:r>
          </w:p>
        </w:tc>
        <w:tc>
          <w:tcPr>
            <w:tcW w:w="38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4</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60" w:type="dxa"/>
            <w:vAlign w:val="bottom"/>
            <w:tcBorders>
              <w:top w:val="single" w:sz="8" w:color="auto"/>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220" w:type="dxa"/>
            <w:vAlign w:val="bottom"/>
            <w:tcBorders>
              <w:top w:val="single" w:sz="8" w:color="auto"/>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rPr>
              <w:t>1,758</w:t>
            </w:r>
          </w:p>
        </w:tc>
      </w:tr>
      <w:tr>
        <w:trPr>
          <w:trHeight w:val="20"/>
        </w:trPr>
        <w:tc>
          <w:tcPr>
            <w:tcW w:w="51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85" w:lineRule="exact"/>
        <w:rPr>
          <w:sz w:val="20"/>
          <w:szCs w:val="20"/>
          <w:color w:val="auto"/>
        </w:rPr>
      </w:pPr>
    </w:p>
    <w:p>
      <w:pPr>
        <w:spacing w:after="0"/>
        <w:rPr>
          <w:sz w:val="20"/>
          <w:szCs w:val="20"/>
          <w:color w:val="auto"/>
        </w:rPr>
      </w:pPr>
      <w:r>
        <w:rPr>
          <w:rFonts w:ascii="Arial" w:cs="Arial" w:eastAsia="Arial" w:hAnsi="Arial"/>
          <w:sz w:val="18"/>
          <w:szCs w:val="18"/>
          <w:color w:val="auto"/>
        </w:rPr>
        <w:t>There were no current restricted investments as of December 31, 2016.</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contractual maturities of our available-for-sale investments as of September 30, 2017 are summarized below:</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83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100" w:type="dxa"/>
            <w:vAlign w:val="bottom"/>
          </w:tcPr>
          <w:p>
            <w:pPr>
              <w:jc w:val="right"/>
              <w:ind w:right="322"/>
              <w:spacing w:after="0"/>
              <w:rPr>
                <w:sz w:val="20"/>
                <w:szCs w:val="20"/>
                <w:color w:val="auto"/>
              </w:rPr>
            </w:pPr>
            <w:r>
              <w:rPr>
                <w:rFonts w:ascii="Arial" w:cs="Arial" w:eastAsia="Arial" w:hAnsi="Arial"/>
                <w:sz w:val="14"/>
                <w:szCs w:val="14"/>
                <w:b w:val="1"/>
                <w:bCs w:val="1"/>
                <w:color w:val="auto"/>
              </w:rPr>
              <w:t>Estimated</w:t>
            </w:r>
          </w:p>
        </w:tc>
      </w:tr>
      <w:tr>
        <w:trPr>
          <w:trHeight w:val="203"/>
        </w:trPr>
        <w:tc>
          <w:tcPr>
            <w:tcW w:w="834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gridSpan w:val="2"/>
          </w:tcPr>
          <w:p>
            <w:pPr>
              <w:ind w:left="60"/>
              <w:spacing w:after="0"/>
              <w:rPr>
                <w:sz w:val="20"/>
                <w:szCs w:val="20"/>
                <w:color w:val="auto"/>
              </w:rPr>
            </w:pPr>
            <w:r>
              <w:rPr>
                <w:rFonts w:ascii="Arial" w:cs="Arial" w:eastAsia="Arial" w:hAnsi="Arial"/>
                <w:sz w:val="14"/>
                <w:szCs w:val="14"/>
                <w:b w:val="1"/>
                <w:bCs w:val="1"/>
                <w:color w:val="auto"/>
              </w:rPr>
              <w:t>Amortized Cost</w:t>
            </w:r>
          </w:p>
        </w:tc>
        <w:tc>
          <w:tcPr>
            <w:tcW w:w="38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322"/>
              <w:spacing w:after="0"/>
              <w:rPr>
                <w:sz w:val="20"/>
                <w:szCs w:val="20"/>
                <w:color w:val="auto"/>
              </w:rPr>
            </w:pPr>
            <w:r>
              <w:rPr>
                <w:rFonts w:ascii="Arial" w:cs="Arial" w:eastAsia="Arial" w:hAnsi="Arial"/>
                <w:sz w:val="14"/>
                <w:szCs w:val="14"/>
                <w:b w:val="1"/>
                <w:bCs w:val="1"/>
                <w:color w:val="auto"/>
              </w:rPr>
              <w:t>Fair Value</w:t>
            </w:r>
          </w:p>
        </w:tc>
      </w:tr>
      <w:tr>
        <w:trPr>
          <w:trHeight w:val="210"/>
        </w:trPr>
        <w:tc>
          <w:tcPr>
            <w:tcW w:w="8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2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millions)</w:t>
            </w:r>
          </w:p>
        </w:tc>
        <w:tc>
          <w:tcPr>
            <w:tcW w:w="1100" w:type="dxa"/>
            <w:vAlign w:val="bottom"/>
          </w:tcPr>
          <w:p>
            <w:pPr>
              <w:spacing w:after="0"/>
              <w:rPr>
                <w:sz w:val="18"/>
                <w:szCs w:val="18"/>
                <w:color w:val="auto"/>
              </w:rPr>
            </w:pPr>
          </w:p>
        </w:tc>
      </w:tr>
      <w:tr>
        <w:trPr>
          <w:trHeight w:val="271"/>
        </w:trPr>
        <w:tc>
          <w:tcPr>
            <w:tcW w:w="8340" w:type="dxa"/>
            <w:vAlign w:val="bottom"/>
            <w:shd w:val="clear" w:color="auto" w:fill="CCEEFF"/>
          </w:tcPr>
          <w:p>
            <w:pPr>
              <w:ind w:left="40"/>
              <w:spacing w:after="0"/>
              <w:rPr>
                <w:sz w:val="20"/>
                <w:szCs w:val="20"/>
                <w:color w:val="auto"/>
              </w:rPr>
            </w:pPr>
            <w:r>
              <w:rPr>
                <w:rFonts w:ascii="Arial" w:cs="Arial" w:eastAsia="Arial" w:hAnsi="Arial"/>
                <w:sz w:val="16"/>
                <w:szCs w:val="16"/>
                <w:color w:val="auto"/>
              </w:rPr>
              <w:t>Due in one year or less</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4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1,154</w:t>
            </w:r>
          </w:p>
        </w:tc>
        <w:tc>
          <w:tcPr>
            <w:tcW w:w="100" w:type="dxa"/>
            <w:vAlign w:val="bottom"/>
            <w:shd w:val="clear" w:color="auto" w:fill="CCEEFF"/>
          </w:tcPr>
          <w:p>
            <w:pPr>
              <w:spacing w:after="0"/>
              <w:rPr>
                <w:sz w:val="23"/>
                <w:szCs w:val="23"/>
                <w:color w:val="auto"/>
              </w:rPr>
            </w:pPr>
          </w:p>
        </w:tc>
        <w:tc>
          <w:tcPr>
            <w:tcW w:w="38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1,153</w:t>
            </w:r>
          </w:p>
        </w:tc>
      </w:tr>
      <w:tr>
        <w:trPr>
          <w:trHeight w:val="262"/>
        </w:trPr>
        <w:tc>
          <w:tcPr>
            <w:tcW w:w="8340" w:type="dxa"/>
            <w:vAlign w:val="bottom"/>
          </w:tcPr>
          <w:p>
            <w:pPr>
              <w:ind w:left="40"/>
              <w:spacing w:after="0"/>
              <w:rPr>
                <w:sz w:val="20"/>
                <w:szCs w:val="20"/>
                <w:color w:val="auto"/>
              </w:rPr>
            </w:pPr>
            <w:r>
              <w:rPr>
                <w:rFonts w:ascii="Arial" w:cs="Arial" w:eastAsia="Arial" w:hAnsi="Arial"/>
                <w:sz w:val="16"/>
                <w:szCs w:val="16"/>
                <w:color w:val="auto"/>
              </w:rPr>
              <w:t>Due after one year through five years</w:t>
            </w:r>
          </w:p>
        </w:tc>
        <w:tc>
          <w:tcPr>
            <w:tcW w:w="160" w:type="dxa"/>
            <w:vAlign w:val="bottom"/>
          </w:tcPr>
          <w:p>
            <w:pPr>
              <w:spacing w:after="0"/>
              <w:rPr>
                <w:sz w:val="22"/>
                <w:szCs w:val="22"/>
                <w:color w:val="auto"/>
              </w:rPr>
            </w:pPr>
          </w:p>
        </w:tc>
        <w:tc>
          <w:tcPr>
            <w:tcW w:w="1340" w:type="dxa"/>
            <w:vAlign w:val="bottom"/>
          </w:tcPr>
          <w:p>
            <w:pPr>
              <w:jc w:val="right"/>
              <w:ind w:right="22"/>
              <w:spacing w:after="0"/>
              <w:rPr>
                <w:sz w:val="20"/>
                <w:szCs w:val="20"/>
                <w:color w:val="auto"/>
              </w:rPr>
            </w:pPr>
            <w:r>
              <w:rPr>
                <w:rFonts w:ascii="Arial" w:cs="Arial" w:eastAsia="Arial" w:hAnsi="Arial"/>
                <w:sz w:val="16"/>
                <w:szCs w:val="16"/>
                <w:color w:val="auto"/>
              </w:rPr>
              <w:t>944</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100" w:type="dxa"/>
            <w:vAlign w:val="bottom"/>
          </w:tcPr>
          <w:p>
            <w:pPr>
              <w:jc w:val="right"/>
              <w:ind w:right="22"/>
              <w:spacing w:after="0"/>
              <w:rPr>
                <w:sz w:val="20"/>
                <w:szCs w:val="20"/>
                <w:color w:val="auto"/>
              </w:rPr>
            </w:pPr>
            <w:r>
              <w:rPr>
                <w:rFonts w:ascii="Arial" w:cs="Arial" w:eastAsia="Arial" w:hAnsi="Arial"/>
                <w:sz w:val="16"/>
                <w:szCs w:val="16"/>
                <w:color w:val="auto"/>
              </w:rPr>
              <w:t>943</w:t>
            </w:r>
          </w:p>
        </w:tc>
      </w:tr>
      <w:tr>
        <w:trPr>
          <w:trHeight w:val="271"/>
        </w:trPr>
        <w:tc>
          <w:tcPr>
            <w:tcW w:w="8340" w:type="dxa"/>
            <w:vAlign w:val="bottom"/>
            <w:shd w:val="clear" w:color="auto" w:fill="CCEEFF"/>
          </w:tcPr>
          <w:p>
            <w:pPr>
              <w:ind w:left="40"/>
              <w:spacing w:after="0"/>
              <w:rPr>
                <w:sz w:val="20"/>
                <w:szCs w:val="20"/>
                <w:color w:val="auto"/>
              </w:rPr>
            </w:pPr>
            <w:r>
              <w:rPr>
                <w:rFonts w:ascii="Arial" w:cs="Arial" w:eastAsia="Arial" w:hAnsi="Arial"/>
                <w:sz w:val="16"/>
                <w:szCs w:val="16"/>
                <w:color w:val="auto"/>
              </w:rPr>
              <w:t>Due after five years through ten years</w:t>
            </w:r>
          </w:p>
        </w:tc>
        <w:tc>
          <w:tcPr>
            <w:tcW w:w="160" w:type="dxa"/>
            <w:vAlign w:val="bottom"/>
            <w:tcBorders>
              <w:bottom w:val="single" w:sz="8" w:color="auto"/>
            </w:tcBorders>
            <w:shd w:val="clear" w:color="auto" w:fill="CCEEFF"/>
          </w:tcPr>
          <w:p>
            <w:pPr>
              <w:spacing w:after="0"/>
              <w:rPr>
                <w:sz w:val="23"/>
                <w:szCs w:val="23"/>
                <w:color w:val="auto"/>
              </w:rPr>
            </w:pPr>
          </w:p>
        </w:tc>
        <w:tc>
          <w:tcPr>
            <w:tcW w:w="1340" w:type="dxa"/>
            <w:vAlign w:val="bottom"/>
            <w:tcBorders>
              <w:bottom w:val="single" w:sz="8" w:color="auto"/>
            </w:tcBorders>
            <w:shd w:val="clear" w:color="auto" w:fill="CCEEFF"/>
          </w:tcPr>
          <w:p>
            <w:pPr>
              <w:jc w:val="right"/>
              <w:ind w:right="22"/>
              <w:spacing w:after="0"/>
              <w:rPr>
                <w:sz w:val="20"/>
                <w:szCs w:val="20"/>
                <w:color w:val="auto"/>
              </w:rPr>
            </w:pPr>
            <w:r>
              <w:rPr>
                <w:rFonts w:ascii="Arial" w:cs="Arial" w:eastAsia="Arial" w:hAnsi="Arial"/>
                <w:sz w:val="16"/>
                <w:szCs w:val="16"/>
                <w:color w:val="auto"/>
              </w:rPr>
              <w:t>17</w:t>
            </w:r>
          </w:p>
        </w:tc>
        <w:tc>
          <w:tcPr>
            <w:tcW w:w="100" w:type="dxa"/>
            <w:vAlign w:val="bottom"/>
            <w:shd w:val="clear" w:color="auto" w:fill="CCEEFF"/>
          </w:tcPr>
          <w:p>
            <w:pPr>
              <w:spacing w:after="0"/>
              <w:rPr>
                <w:sz w:val="23"/>
                <w:szCs w:val="23"/>
                <w:color w:val="auto"/>
              </w:rPr>
            </w:pPr>
          </w:p>
        </w:tc>
        <w:tc>
          <w:tcPr>
            <w:tcW w:w="380" w:type="dxa"/>
            <w:vAlign w:val="bottom"/>
            <w:tcBorders>
              <w:bottom w:val="single" w:sz="8" w:color="auto"/>
            </w:tcBorders>
            <w:shd w:val="clear" w:color="auto" w:fill="CCEEFF"/>
          </w:tcPr>
          <w:p>
            <w:pPr>
              <w:spacing w:after="0"/>
              <w:rPr>
                <w:sz w:val="23"/>
                <w:szCs w:val="23"/>
                <w:color w:val="auto"/>
              </w:rPr>
            </w:pPr>
          </w:p>
        </w:tc>
        <w:tc>
          <w:tcPr>
            <w:tcW w:w="1100" w:type="dxa"/>
            <w:vAlign w:val="bottom"/>
            <w:tcBorders>
              <w:bottom w:val="single" w:sz="8" w:color="auto"/>
            </w:tcBorders>
            <w:shd w:val="clear" w:color="auto" w:fill="CCEEFF"/>
          </w:tcPr>
          <w:p>
            <w:pPr>
              <w:jc w:val="right"/>
              <w:ind w:right="22"/>
              <w:spacing w:after="0"/>
              <w:rPr>
                <w:sz w:val="20"/>
                <w:szCs w:val="20"/>
                <w:color w:val="auto"/>
              </w:rPr>
            </w:pPr>
            <w:r>
              <w:rPr>
                <w:rFonts w:ascii="Arial" w:cs="Arial" w:eastAsia="Arial" w:hAnsi="Arial"/>
                <w:sz w:val="16"/>
                <w:szCs w:val="16"/>
                <w:color w:val="auto"/>
              </w:rPr>
              <w:t>17</w:t>
            </w:r>
          </w:p>
        </w:tc>
      </w:tr>
      <w:tr>
        <w:trPr>
          <w:trHeight w:val="237"/>
        </w:trPr>
        <w:tc>
          <w:tcPr>
            <w:tcW w:w="8340" w:type="dxa"/>
            <w:vAlign w:val="bottom"/>
          </w:tcPr>
          <w:p>
            <w:pPr>
              <w:spacing w:after="0"/>
              <w:rPr>
                <w:sz w:val="20"/>
                <w:szCs w:val="20"/>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340" w:type="dxa"/>
            <w:vAlign w:val="bottom"/>
            <w:tcBorders>
              <w:bottom w:val="single" w:sz="8" w:color="auto"/>
            </w:tcBorders>
          </w:tcPr>
          <w:p>
            <w:pPr>
              <w:jc w:val="right"/>
              <w:ind w:right="22"/>
              <w:spacing w:after="0"/>
              <w:rPr>
                <w:sz w:val="20"/>
                <w:szCs w:val="20"/>
                <w:color w:val="auto"/>
              </w:rPr>
            </w:pPr>
            <w:r>
              <w:rPr>
                <w:rFonts w:ascii="Arial" w:cs="Arial" w:eastAsia="Arial" w:hAnsi="Arial"/>
                <w:sz w:val="16"/>
                <w:szCs w:val="16"/>
                <w:color w:val="auto"/>
              </w:rPr>
              <w:t>2,115</w:t>
            </w:r>
          </w:p>
        </w:tc>
        <w:tc>
          <w:tcPr>
            <w:tcW w:w="100" w:type="dxa"/>
            <w:vAlign w:val="bottom"/>
          </w:tcPr>
          <w:p>
            <w:pPr>
              <w:spacing w:after="0"/>
              <w:rPr>
                <w:sz w:val="20"/>
                <w:szCs w:val="20"/>
                <w:color w:val="auto"/>
              </w:rPr>
            </w:pPr>
          </w:p>
        </w:tc>
        <w:tc>
          <w:tcPr>
            <w:tcW w:w="38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tcPr>
          <w:p>
            <w:pPr>
              <w:jc w:val="right"/>
              <w:ind w:right="22"/>
              <w:spacing w:after="0"/>
              <w:rPr>
                <w:sz w:val="20"/>
                <w:szCs w:val="20"/>
                <w:color w:val="auto"/>
              </w:rPr>
            </w:pPr>
            <w:r>
              <w:rPr>
                <w:rFonts w:ascii="Arial" w:cs="Arial" w:eastAsia="Arial" w:hAnsi="Arial"/>
                <w:sz w:val="16"/>
                <w:szCs w:val="16"/>
                <w:color w:val="auto"/>
              </w:rPr>
              <w:t>2,113</w:t>
            </w:r>
          </w:p>
        </w:tc>
      </w:tr>
      <w:tr>
        <w:trPr>
          <w:trHeight w:val="20"/>
        </w:trPr>
        <w:tc>
          <w:tcPr>
            <w:tcW w:w="83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85" w:lineRule="exact"/>
        <w:rPr>
          <w:sz w:val="20"/>
          <w:szCs w:val="20"/>
          <w:color w:val="auto"/>
        </w:rPr>
      </w:pPr>
    </w:p>
    <w:p>
      <w:pPr>
        <w:ind w:right="440"/>
        <w:spacing w:after="0" w:line="271" w:lineRule="auto"/>
        <w:rPr>
          <w:sz w:val="20"/>
          <w:szCs w:val="20"/>
          <w:color w:val="auto"/>
        </w:rPr>
      </w:pPr>
      <w:r>
        <w:rPr>
          <w:rFonts w:ascii="Arial" w:cs="Arial" w:eastAsia="Arial" w:hAnsi="Arial"/>
          <w:sz w:val="18"/>
          <w:szCs w:val="18"/>
          <w:color w:val="auto"/>
        </w:rPr>
        <w:t>Gross realized gains and losses from sales of available-for-sale securities are calculated under the specific identification method and are included in investment income. Gross realized investment gains and losses for the three and nine months ended September 30, 2017 and 2016 were insignificant.</w:t>
      </w:r>
    </w:p>
    <w:p>
      <w:pPr>
        <w:spacing w:after="0" w:line="55" w:lineRule="exact"/>
        <w:rPr>
          <w:sz w:val="20"/>
          <w:szCs w:val="20"/>
          <w:color w:val="auto"/>
        </w:rPr>
      </w:pPr>
    </w:p>
    <w:p>
      <w:pPr>
        <w:ind w:right="220"/>
        <w:spacing w:after="0" w:line="264" w:lineRule="auto"/>
        <w:rPr>
          <w:sz w:val="20"/>
          <w:szCs w:val="20"/>
          <w:color w:val="auto"/>
        </w:rPr>
      </w:pPr>
      <w:r>
        <w:rPr>
          <w:rFonts w:ascii="Arial" w:cs="Arial" w:eastAsia="Arial" w:hAnsi="Arial"/>
          <w:sz w:val="18"/>
          <w:szCs w:val="18"/>
          <w:color w:val="auto"/>
        </w:rPr>
        <w:t>We have determined that unrealized losses at September 30, 2017 and December 31, 2016, are temporary in nature, because the change in market value for these securities has resulted from fluctuating interest rates, rather than a deterioration of the creditworthiness of the issuers. So long as we maintain the intent and ability to hold these securities to maturity, we are unlikely to experience losses. In the event that we dispose of these securities before maturity, we expect that realized losses, if any, will be insignificant.</w:t>
      </w:r>
    </w:p>
    <w:p>
      <w:pPr>
        <w:spacing w:after="0" w:line="19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Molina Healthcare, Inc. 2017 Form 10-Q | 15</w:t>
      </w:r>
    </w:p>
    <w:p>
      <w:pPr>
        <w:sectPr>
          <w:pgSz w:w="11900" w:h="16838" w:orient="portrait"/>
          <w:cols w:equalWidth="0" w:num="1">
            <w:col w:w="11420"/>
          </w:cols>
          <w:pgMar w:left="240" w:top="116" w:right="239" w:bottom="1440" w:gutter="0" w:footer="0" w:header="0"/>
        </w:sectPr>
      </w:pPr>
    </w:p>
    <w:bookmarkStart w:id="15" w:name="page16"/>
    <w:bookmarkEnd w:id="1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61" w:lineRule="exact"/>
        <w:rPr>
          <w:sz w:val="20"/>
          <w:szCs w:val="20"/>
          <w:color w:val="auto"/>
        </w:rPr>
      </w:pPr>
    </w:p>
    <w:p>
      <w:pPr>
        <w:ind w:right="180"/>
        <w:spacing w:after="0" w:line="292" w:lineRule="auto"/>
        <w:rPr>
          <w:sz w:val="20"/>
          <w:szCs w:val="20"/>
          <w:color w:val="auto"/>
        </w:rPr>
      </w:pPr>
      <w:r>
        <w:rPr>
          <w:rFonts w:ascii="Arial" w:cs="Arial" w:eastAsia="Arial" w:hAnsi="Arial"/>
          <w:sz w:val="18"/>
          <w:szCs w:val="18"/>
          <w:color w:val="auto"/>
        </w:rPr>
        <w:t>The following table segregates those available-for-sale investments that have been in a continuous loss position for less than 12 months, and those that have been in a continuous loss position for 12 months or more as of September 30, 2017:</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5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160" w:type="dxa"/>
            <w:vAlign w:val="bottom"/>
            <w:gridSpan w:val="8"/>
          </w:tcPr>
          <w:p>
            <w:pPr>
              <w:jc w:val="center"/>
              <w:ind w:right="960"/>
              <w:spacing w:after="0"/>
              <w:rPr>
                <w:sz w:val="20"/>
                <w:szCs w:val="20"/>
                <w:color w:val="auto"/>
              </w:rPr>
            </w:pPr>
            <w:r>
              <w:rPr>
                <w:rFonts w:ascii="Arial" w:cs="Arial" w:eastAsia="Arial" w:hAnsi="Arial"/>
                <w:sz w:val="14"/>
                <w:szCs w:val="14"/>
                <w:b w:val="1"/>
                <w:bCs w:val="1"/>
                <w:color w:val="auto"/>
              </w:rPr>
              <w:t>In a Continuous Loss Position</w:t>
            </w:r>
          </w:p>
        </w:tc>
        <w:tc>
          <w:tcPr>
            <w:tcW w:w="200" w:type="dxa"/>
            <w:vAlign w:val="bottom"/>
          </w:tcPr>
          <w:p>
            <w:pPr>
              <w:spacing w:after="0"/>
              <w:rPr>
                <w:sz w:val="14"/>
                <w:szCs w:val="14"/>
                <w:color w:val="auto"/>
              </w:rPr>
            </w:pPr>
          </w:p>
        </w:tc>
        <w:tc>
          <w:tcPr>
            <w:tcW w:w="3640" w:type="dxa"/>
            <w:vAlign w:val="bottom"/>
            <w:gridSpan w:val="8"/>
          </w:tcPr>
          <w:p>
            <w:pPr>
              <w:jc w:val="center"/>
              <w:ind w:right="103"/>
              <w:spacing w:after="0"/>
              <w:rPr>
                <w:sz w:val="20"/>
                <w:szCs w:val="20"/>
                <w:color w:val="auto"/>
              </w:rPr>
            </w:pPr>
            <w:r>
              <w:rPr>
                <w:rFonts w:ascii="Arial" w:cs="Arial" w:eastAsia="Arial" w:hAnsi="Arial"/>
                <w:sz w:val="14"/>
                <w:szCs w:val="14"/>
                <w:b w:val="1"/>
                <w:bCs w:val="1"/>
                <w:color w:val="auto"/>
              </w:rPr>
              <w:t>In a Continuous Loss Position</w:t>
            </w:r>
          </w:p>
        </w:tc>
      </w:tr>
      <w:tr>
        <w:trPr>
          <w:trHeight w:val="203"/>
        </w:trPr>
        <w:tc>
          <w:tcPr>
            <w:tcW w:w="3540" w:type="dxa"/>
            <w:vAlign w:val="bottom"/>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c>
          <w:tcPr>
            <w:tcW w:w="2000" w:type="dxa"/>
            <w:vAlign w:val="bottom"/>
            <w:tcBorders>
              <w:bottom w:val="single" w:sz="8" w:color="auto"/>
            </w:tcBorders>
            <w:gridSpan w:val="6"/>
          </w:tcPr>
          <w:p>
            <w:pPr>
              <w:jc w:val="center"/>
              <w:ind w:left="122"/>
              <w:spacing w:after="0"/>
              <w:rPr>
                <w:sz w:val="20"/>
                <w:szCs w:val="20"/>
                <w:color w:val="auto"/>
              </w:rPr>
            </w:pPr>
            <w:r>
              <w:rPr>
                <w:rFonts w:ascii="Arial" w:cs="Arial" w:eastAsia="Arial" w:hAnsi="Arial"/>
                <w:sz w:val="14"/>
                <w:szCs w:val="14"/>
                <w:b w:val="1"/>
                <w:bCs w:val="1"/>
                <w:color w:val="auto"/>
              </w:rPr>
              <w:t>for Less than 12 Months</w:t>
            </w:r>
          </w:p>
        </w:tc>
        <w:tc>
          <w:tcPr>
            <w:tcW w:w="104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spacing w:after="0"/>
              <w:rPr>
                <w:sz w:val="17"/>
                <w:szCs w:val="17"/>
                <w:color w:val="auto"/>
              </w:rPr>
            </w:pPr>
          </w:p>
        </w:tc>
        <w:tc>
          <w:tcPr>
            <w:tcW w:w="1620" w:type="dxa"/>
            <w:vAlign w:val="bottom"/>
            <w:tcBorders>
              <w:bottom w:val="single" w:sz="8" w:color="auto"/>
            </w:tcBorders>
            <w:gridSpan w:val="6"/>
          </w:tcPr>
          <w:p>
            <w:pPr>
              <w:jc w:val="center"/>
              <w:ind w:right="80"/>
              <w:spacing w:after="0"/>
              <w:rPr>
                <w:sz w:val="20"/>
                <w:szCs w:val="20"/>
                <w:color w:val="auto"/>
              </w:rPr>
            </w:pPr>
            <w:r>
              <w:rPr>
                <w:rFonts w:ascii="Arial" w:cs="Arial" w:eastAsia="Arial" w:hAnsi="Arial"/>
                <w:sz w:val="14"/>
                <w:szCs w:val="14"/>
                <w:b w:val="1"/>
                <w:bCs w:val="1"/>
                <w:color w:val="auto"/>
              </w:rPr>
              <w:t>for 12 Months or More</w:t>
            </w:r>
          </w:p>
        </w:tc>
        <w:tc>
          <w:tcPr>
            <w:tcW w:w="1060" w:type="dxa"/>
            <w:vAlign w:val="bottom"/>
            <w:tcBorders>
              <w:bottom w:val="single" w:sz="8" w:color="auto"/>
            </w:tcBorders>
          </w:tcPr>
          <w:p>
            <w:pPr>
              <w:spacing w:after="0"/>
              <w:rPr>
                <w:sz w:val="17"/>
                <w:szCs w:val="17"/>
                <w:color w:val="auto"/>
              </w:rPr>
            </w:pPr>
          </w:p>
        </w:tc>
      </w:tr>
      <w:tr>
        <w:trPr>
          <w:trHeight w:val="168"/>
        </w:trPr>
        <w:tc>
          <w:tcPr>
            <w:tcW w:w="3540" w:type="dxa"/>
            <w:vAlign w:val="bottom"/>
          </w:tcPr>
          <w:p>
            <w:pPr>
              <w:spacing w:after="0"/>
              <w:rPr>
                <w:sz w:val="14"/>
                <w:szCs w:val="14"/>
                <w:color w:val="auto"/>
              </w:rPr>
            </w:pPr>
          </w:p>
        </w:tc>
        <w:tc>
          <w:tcPr>
            <w:tcW w:w="142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rPr>
              <w:t>Estimated</w:t>
            </w:r>
          </w:p>
        </w:tc>
        <w:tc>
          <w:tcPr>
            <w:tcW w:w="1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5"/>
              </w:rPr>
              <w:t>Total</w:t>
            </w:r>
          </w:p>
        </w:tc>
        <w:tc>
          <w:tcPr>
            <w:tcW w:w="200" w:type="dxa"/>
            <w:vAlign w:val="bottom"/>
          </w:tcPr>
          <w:p>
            <w:pPr>
              <w:spacing w:after="0"/>
              <w:rPr>
                <w:sz w:val="14"/>
                <w:szCs w:val="14"/>
                <w:color w:val="auto"/>
              </w:rPr>
            </w:pPr>
          </w:p>
        </w:tc>
        <w:tc>
          <w:tcPr>
            <w:tcW w:w="960" w:type="dxa"/>
            <w:vAlign w:val="bottom"/>
          </w:tcPr>
          <w:p>
            <w:pPr>
              <w:jc w:val="center"/>
              <w:ind w:right="43"/>
              <w:spacing w:after="0"/>
              <w:rPr>
                <w:sz w:val="20"/>
                <w:szCs w:val="20"/>
                <w:color w:val="auto"/>
              </w:rPr>
            </w:pPr>
            <w:r>
              <w:rPr>
                <w:rFonts w:ascii="Arial" w:cs="Arial" w:eastAsia="Arial" w:hAnsi="Arial"/>
                <w:sz w:val="14"/>
                <w:szCs w:val="14"/>
                <w:b w:val="1"/>
                <w:bCs w:val="1"/>
                <w:color w:val="auto"/>
              </w:rPr>
              <w:t>Estimated</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tcPr>
          <w:p>
            <w:pPr>
              <w:jc w:val="center"/>
              <w:ind w:right="103"/>
              <w:spacing w:after="0"/>
              <w:rPr>
                <w:sz w:val="20"/>
                <w:szCs w:val="20"/>
                <w:color w:val="auto"/>
              </w:rPr>
            </w:pPr>
            <w:r>
              <w:rPr>
                <w:rFonts w:ascii="Arial" w:cs="Arial" w:eastAsia="Arial" w:hAnsi="Arial"/>
                <w:sz w:val="14"/>
                <w:szCs w:val="14"/>
                <w:b w:val="1"/>
                <w:bCs w:val="1"/>
                <w:color w:val="auto"/>
                <w:w w:val="95"/>
              </w:rPr>
              <w:t>Total</w:t>
            </w:r>
          </w:p>
        </w:tc>
      </w:tr>
      <w:tr>
        <w:trPr>
          <w:trHeight w:val="162"/>
        </w:trPr>
        <w:tc>
          <w:tcPr>
            <w:tcW w:w="3540" w:type="dxa"/>
            <w:vAlign w:val="bottom"/>
          </w:tcPr>
          <w:p>
            <w:pPr>
              <w:spacing w:after="0"/>
              <w:rPr>
                <w:sz w:val="14"/>
                <w:szCs w:val="14"/>
                <w:color w:val="auto"/>
              </w:rPr>
            </w:pPr>
          </w:p>
        </w:tc>
        <w:tc>
          <w:tcPr>
            <w:tcW w:w="880" w:type="dxa"/>
            <w:vAlign w:val="bottom"/>
          </w:tcPr>
          <w:p>
            <w:pPr>
              <w:jc w:val="center"/>
              <w:ind w:left="344"/>
              <w:spacing w:after="0"/>
              <w:rPr>
                <w:sz w:val="20"/>
                <w:szCs w:val="20"/>
                <w:color w:val="auto"/>
              </w:rPr>
            </w:pPr>
            <w:r>
              <w:rPr>
                <w:rFonts w:ascii="Arial" w:cs="Arial" w:eastAsia="Arial" w:hAnsi="Arial"/>
                <w:sz w:val="14"/>
                <w:szCs w:val="14"/>
                <w:b w:val="1"/>
                <w:bCs w:val="1"/>
                <w:color w:val="auto"/>
              </w:rPr>
              <w:t>Fair</w:t>
            </w:r>
          </w:p>
        </w:tc>
        <w:tc>
          <w:tcPr>
            <w:tcW w:w="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00" w:type="dxa"/>
            <w:vAlign w:val="bottom"/>
            <w:gridSpan w:val="3"/>
          </w:tcPr>
          <w:p>
            <w:pPr>
              <w:jc w:val="center"/>
              <w:ind w:right="460"/>
              <w:spacing w:after="0"/>
              <w:rPr>
                <w:sz w:val="20"/>
                <w:szCs w:val="20"/>
                <w:color w:val="auto"/>
              </w:rPr>
            </w:pPr>
            <w:r>
              <w:rPr>
                <w:rFonts w:ascii="Arial" w:cs="Arial" w:eastAsia="Arial" w:hAnsi="Arial"/>
                <w:sz w:val="14"/>
                <w:szCs w:val="14"/>
                <w:b w:val="1"/>
                <w:bCs w:val="1"/>
                <w:color w:val="auto"/>
              </w:rPr>
              <w:t>Unrealized</w:t>
            </w:r>
          </w:p>
        </w:tc>
        <w:tc>
          <w:tcPr>
            <w:tcW w:w="11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Number of</w:t>
            </w:r>
          </w:p>
        </w:tc>
        <w:tc>
          <w:tcPr>
            <w:tcW w:w="200" w:type="dxa"/>
            <w:vAlign w:val="bottom"/>
          </w:tcPr>
          <w:p>
            <w:pPr>
              <w:spacing w:after="0"/>
              <w:rPr>
                <w:sz w:val="14"/>
                <w:szCs w:val="14"/>
                <w:color w:val="auto"/>
              </w:rPr>
            </w:pPr>
          </w:p>
        </w:tc>
        <w:tc>
          <w:tcPr>
            <w:tcW w:w="960" w:type="dxa"/>
            <w:vAlign w:val="bottom"/>
          </w:tcPr>
          <w:p>
            <w:pPr>
              <w:jc w:val="center"/>
              <w:ind w:right="43"/>
              <w:spacing w:after="0"/>
              <w:rPr>
                <w:sz w:val="20"/>
                <w:szCs w:val="20"/>
                <w:color w:val="auto"/>
              </w:rPr>
            </w:pPr>
            <w:r>
              <w:rPr>
                <w:rFonts w:ascii="Arial" w:cs="Arial" w:eastAsia="Arial" w:hAnsi="Arial"/>
                <w:sz w:val="14"/>
                <w:szCs w:val="14"/>
                <w:b w:val="1"/>
                <w:bCs w:val="1"/>
                <w:color w:val="auto"/>
              </w:rPr>
              <w:t>Fair</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60" w:type="dxa"/>
            <w:vAlign w:val="bottom"/>
            <w:gridSpan w:val="3"/>
          </w:tcPr>
          <w:p>
            <w:pPr>
              <w:jc w:val="center"/>
              <w:ind w:right="460"/>
              <w:spacing w:after="0"/>
              <w:rPr>
                <w:sz w:val="20"/>
                <w:szCs w:val="20"/>
                <w:color w:val="auto"/>
              </w:rPr>
            </w:pPr>
            <w:r>
              <w:rPr>
                <w:rFonts w:ascii="Arial" w:cs="Arial" w:eastAsia="Arial" w:hAnsi="Arial"/>
                <w:sz w:val="14"/>
                <w:szCs w:val="14"/>
                <w:b w:val="1"/>
                <w:bCs w:val="1"/>
                <w:color w:val="auto"/>
              </w:rPr>
              <w:t>Unrealized</w:t>
            </w:r>
          </w:p>
        </w:tc>
        <w:tc>
          <w:tcPr>
            <w:tcW w:w="1060" w:type="dxa"/>
            <w:vAlign w:val="bottom"/>
          </w:tcPr>
          <w:p>
            <w:pPr>
              <w:jc w:val="center"/>
              <w:ind w:right="103"/>
              <w:spacing w:after="0"/>
              <w:rPr>
                <w:sz w:val="20"/>
                <w:szCs w:val="20"/>
                <w:color w:val="auto"/>
              </w:rPr>
            </w:pPr>
            <w:r>
              <w:rPr>
                <w:rFonts w:ascii="Arial" w:cs="Arial" w:eastAsia="Arial" w:hAnsi="Arial"/>
                <w:sz w:val="14"/>
                <w:szCs w:val="14"/>
                <w:b w:val="1"/>
                <w:bCs w:val="1"/>
                <w:color w:val="auto"/>
              </w:rPr>
              <w:t>Number of</w:t>
            </w:r>
          </w:p>
        </w:tc>
      </w:tr>
      <w:tr>
        <w:trPr>
          <w:trHeight w:val="203"/>
        </w:trPr>
        <w:tc>
          <w:tcPr>
            <w:tcW w:w="3540" w:type="dxa"/>
            <w:vAlign w:val="bottom"/>
          </w:tcPr>
          <w:p>
            <w:pPr>
              <w:spacing w:after="0"/>
              <w:rPr>
                <w:sz w:val="17"/>
                <w:szCs w:val="17"/>
                <w:color w:val="auto"/>
              </w:rPr>
            </w:pPr>
          </w:p>
        </w:tc>
        <w:tc>
          <w:tcPr>
            <w:tcW w:w="880" w:type="dxa"/>
            <w:vAlign w:val="bottom"/>
            <w:tcBorders>
              <w:bottom w:val="single" w:sz="8" w:color="auto"/>
            </w:tcBorders>
          </w:tcPr>
          <w:p>
            <w:pPr>
              <w:jc w:val="center"/>
              <w:ind w:left="344"/>
              <w:spacing w:after="0"/>
              <w:rPr>
                <w:sz w:val="20"/>
                <w:szCs w:val="20"/>
                <w:color w:val="auto"/>
              </w:rPr>
            </w:pPr>
            <w:r>
              <w:rPr>
                <w:rFonts w:ascii="Arial" w:cs="Arial" w:eastAsia="Arial" w:hAnsi="Arial"/>
                <w:sz w:val="14"/>
                <w:szCs w:val="14"/>
                <w:b w:val="1"/>
                <w:bCs w:val="1"/>
                <w:color w:val="auto"/>
              </w:rPr>
              <w:t>Value</w:t>
            </w:r>
          </w:p>
        </w:tc>
        <w:tc>
          <w:tcPr>
            <w:tcW w:w="4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gridSpan w:val="3"/>
          </w:tcPr>
          <w:p>
            <w:pPr>
              <w:jc w:val="center"/>
              <w:ind w:right="460"/>
              <w:spacing w:after="0"/>
              <w:rPr>
                <w:sz w:val="20"/>
                <w:szCs w:val="20"/>
                <w:color w:val="auto"/>
              </w:rPr>
            </w:pPr>
            <w:r>
              <w:rPr>
                <w:rFonts w:ascii="Arial" w:cs="Arial" w:eastAsia="Arial" w:hAnsi="Arial"/>
                <w:sz w:val="14"/>
                <w:szCs w:val="14"/>
                <w:b w:val="1"/>
                <w:bCs w:val="1"/>
                <w:color w:val="auto"/>
                <w:w w:val="99"/>
              </w:rPr>
              <w:t>Losses</w:t>
            </w:r>
          </w:p>
        </w:tc>
        <w:tc>
          <w:tcPr>
            <w:tcW w:w="1160" w:type="dxa"/>
            <w:vAlign w:val="bottom"/>
            <w:tcBorders>
              <w:bottom w:val="single" w:sz="8" w:color="auto"/>
            </w:tcBorders>
            <w:gridSpan w:val="2"/>
          </w:tcPr>
          <w:p>
            <w:pPr>
              <w:jc w:val="center"/>
              <w:ind w:right="320"/>
              <w:spacing w:after="0"/>
              <w:rPr>
                <w:sz w:val="20"/>
                <w:szCs w:val="20"/>
                <w:color w:val="auto"/>
              </w:rPr>
            </w:pPr>
            <w:r>
              <w:rPr>
                <w:rFonts w:ascii="Arial" w:cs="Arial" w:eastAsia="Arial" w:hAnsi="Arial"/>
                <w:sz w:val="14"/>
                <w:szCs w:val="14"/>
                <w:b w:val="1"/>
                <w:bCs w:val="1"/>
                <w:color w:val="auto"/>
              </w:rPr>
              <w:t>Positions</w:t>
            </w:r>
          </w:p>
        </w:tc>
        <w:tc>
          <w:tcPr>
            <w:tcW w:w="2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center"/>
              <w:ind w:right="43"/>
              <w:spacing w:after="0"/>
              <w:rPr>
                <w:sz w:val="20"/>
                <w:szCs w:val="20"/>
                <w:color w:val="auto"/>
              </w:rPr>
            </w:pPr>
            <w:r>
              <w:rPr>
                <w:rFonts w:ascii="Arial" w:cs="Arial" w:eastAsia="Arial" w:hAnsi="Arial"/>
                <w:sz w:val="14"/>
                <w:szCs w:val="14"/>
                <w:b w:val="1"/>
                <w:bCs w:val="1"/>
                <w:color w:val="auto"/>
                <w:w w:val="96"/>
              </w:rPr>
              <w:t>Value</w:t>
            </w:r>
          </w:p>
        </w:tc>
        <w:tc>
          <w:tcPr>
            <w:tcW w:w="8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gridSpan w:val="3"/>
          </w:tcPr>
          <w:p>
            <w:pPr>
              <w:jc w:val="center"/>
              <w:ind w:right="440"/>
              <w:spacing w:after="0"/>
              <w:rPr>
                <w:sz w:val="20"/>
                <w:szCs w:val="20"/>
                <w:color w:val="auto"/>
              </w:rPr>
            </w:pPr>
            <w:r>
              <w:rPr>
                <w:rFonts w:ascii="Arial" w:cs="Arial" w:eastAsia="Arial" w:hAnsi="Arial"/>
                <w:sz w:val="14"/>
                <w:szCs w:val="14"/>
                <w:b w:val="1"/>
                <w:bCs w:val="1"/>
                <w:color w:val="auto"/>
              </w:rPr>
              <w:t>Losses</w:t>
            </w:r>
          </w:p>
        </w:tc>
        <w:tc>
          <w:tcPr>
            <w:tcW w:w="1060" w:type="dxa"/>
            <w:vAlign w:val="bottom"/>
            <w:tcBorders>
              <w:bottom w:val="single" w:sz="8" w:color="auto"/>
            </w:tcBorders>
          </w:tcPr>
          <w:p>
            <w:pPr>
              <w:jc w:val="center"/>
              <w:ind w:right="103"/>
              <w:spacing w:after="0"/>
              <w:rPr>
                <w:sz w:val="20"/>
                <w:szCs w:val="20"/>
                <w:color w:val="auto"/>
              </w:rPr>
            </w:pPr>
            <w:r>
              <w:rPr>
                <w:rFonts w:ascii="Arial" w:cs="Arial" w:eastAsia="Arial" w:hAnsi="Arial"/>
                <w:sz w:val="14"/>
                <w:szCs w:val="14"/>
                <w:b w:val="1"/>
                <w:bCs w:val="1"/>
                <w:color w:val="auto"/>
              </w:rPr>
              <w:t>Positions</w:t>
            </w:r>
          </w:p>
        </w:tc>
      </w:tr>
      <w:tr>
        <w:trPr>
          <w:trHeight w:val="210"/>
        </w:trPr>
        <w:tc>
          <w:tcPr>
            <w:tcW w:w="35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320" w:type="dxa"/>
            <w:vAlign w:val="bottom"/>
            <w:gridSpan w:val="4"/>
          </w:tcPr>
          <w:p>
            <w:pPr>
              <w:jc w:val="right"/>
              <w:ind w:right="503"/>
              <w:spacing w:after="0"/>
              <w:rPr>
                <w:sz w:val="20"/>
                <w:szCs w:val="20"/>
                <w:color w:val="auto"/>
              </w:rPr>
            </w:pPr>
            <w:r>
              <w:rPr>
                <w:rFonts w:ascii="Arial" w:cs="Arial" w:eastAsia="Arial" w:hAnsi="Arial"/>
                <w:sz w:val="14"/>
                <w:szCs w:val="14"/>
                <w:b w:val="1"/>
                <w:bCs w:val="1"/>
                <w:color w:val="auto"/>
              </w:rPr>
              <w:t>(Dollars in millions)</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71"/>
        </w:trPr>
        <w:tc>
          <w:tcPr>
            <w:tcW w:w="3540" w:type="dxa"/>
            <w:vAlign w:val="bottom"/>
            <w:shd w:val="clear" w:color="auto" w:fill="CCEEFF"/>
          </w:tcPr>
          <w:p>
            <w:pPr>
              <w:ind w:left="40"/>
              <w:spacing w:after="0"/>
              <w:rPr>
                <w:sz w:val="20"/>
                <w:szCs w:val="20"/>
                <w:color w:val="auto"/>
              </w:rPr>
            </w:pPr>
            <w:r>
              <w:rPr>
                <w:rFonts w:ascii="Arial" w:cs="Arial" w:eastAsia="Arial" w:hAnsi="Arial"/>
                <w:sz w:val="16"/>
                <w:szCs w:val="16"/>
                <w:color w:val="auto"/>
              </w:rPr>
              <w:t>Corporate debt securities</w:t>
            </w:r>
          </w:p>
        </w:tc>
        <w:tc>
          <w:tcPr>
            <w:tcW w:w="880" w:type="dxa"/>
            <w:vAlign w:val="bottom"/>
            <w:shd w:val="clear" w:color="auto" w:fill="CCEEFF"/>
          </w:tcPr>
          <w:p>
            <w:pPr>
              <w:jc w:val="right"/>
              <w:ind w:right="684"/>
              <w:spacing w:after="0"/>
              <w:rPr>
                <w:sz w:val="20"/>
                <w:szCs w:val="20"/>
                <w:color w:val="auto"/>
              </w:rPr>
            </w:pPr>
            <w:r>
              <w:rPr>
                <w:rFonts w:ascii="Arial" w:cs="Arial" w:eastAsia="Arial" w:hAnsi="Arial"/>
                <w:sz w:val="16"/>
                <w:szCs w:val="16"/>
                <w:color w:val="auto"/>
              </w:rPr>
              <w:t>$</w:t>
            </w:r>
          </w:p>
        </w:tc>
        <w:tc>
          <w:tcPr>
            <w:tcW w:w="42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783</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1</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040" w:type="dxa"/>
            <w:vAlign w:val="bottom"/>
            <w:shd w:val="clear" w:color="auto" w:fill="CCEEFF"/>
          </w:tcPr>
          <w:p>
            <w:pPr>
              <w:jc w:val="right"/>
              <w:ind w:right="23"/>
              <w:spacing w:after="0"/>
              <w:rPr>
                <w:sz w:val="20"/>
                <w:szCs w:val="20"/>
                <w:color w:val="auto"/>
              </w:rPr>
            </w:pPr>
            <w:r>
              <w:rPr>
                <w:rFonts w:ascii="Arial" w:cs="Arial" w:eastAsia="Arial" w:hAnsi="Arial"/>
                <w:sz w:val="16"/>
                <w:szCs w:val="16"/>
                <w:color w:val="auto"/>
              </w:rPr>
              <w:t>314</w:t>
            </w: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360" w:type="dxa"/>
            <w:vAlign w:val="bottom"/>
            <w:gridSpan w:val="3"/>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1260" w:type="dxa"/>
            <w:vAlign w:val="bottom"/>
            <w:gridSpan w:val="3"/>
            <w:shd w:val="clear" w:color="auto" w:fill="CCEEFF"/>
          </w:tcPr>
          <w:p>
            <w:pPr>
              <w:jc w:val="right"/>
              <w:ind w:right="400"/>
              <w:spacing w:after="0"/>
              <w:rPr>
                <w:sz w:val="20"/>
                <w:szCs w:val="20"/>
                <w:color w:val="auto"/>
              </w:rPr>
            </w:pPr>
            <w:r>
              <w:rPr>
                <w:rFonts w:ascii="Arial" w:cs="Arial" w:eastAsia="Arial" w:hAnsi="Arial"/>
                <w:sz w:val="16"/>
                <w:szCs w:val="16"/>
                <w:color w:val="auto"/>
              </w:rPr>
              <w:t>—</w:t>
            </w:r>
          </w:p>
        </w:tc>
        <w:tc>
          <w:tcPr>
            <w:tcW w:w="1060" w:type="dxa"/>
            <w:vAlign w:val="bottom"/>
            <w:shd w:val="clear" w:color="auto" w:fill="CCEEFF"/>
          </w:tcPr>
          <w:p>
            <w:pPr>
              <w:jc w:val="right"/>
              <w:ind w:right="23"/>
              <w:spacing w:after="0"/>
              <w:rPr>
                <w:sz w:val="20"/>
                <w:szCs w:val="20"/>
                <w:color w:val="auto"/>
              </w:rPr>
            </w:pPr>
            <w:r>
              <w:rPr>
                <w:rFonts w:ascii="Arial" w:cs="Arial" w:eastAsia="Arial" w:hAnsi="Arial"/>
                <w:sz w:val="16"/>
                <w:szCs w:val="16"/>
                <w:color w:val="auto"/>
              </w:rPr>
              <w:t>—</w:t>
            </w:r>
          </w:p>
        </w:tc>
      </w:tr>
      <w:tr>
        <w:trPr>
          <w:trHeight w:val="262"/>
        </w:trPr>
        <w:tc>
          <w:tcPr>
            <w:tcW w:w="3540" w:type="dxa"/>
            <w:vAlign w:val="bottom"/>
          </w:tcPr>
          <w:p>
            <w:pPr>
              <w:ind w:left="40"/>
              <w:spacing w:after="0"/>
              <w:rPr>
                <w:sz w:val="20"/>
                <w:szCs w:val="20"/>
                <w:color w:val="auto"/>
              </w:rPr>
            </w:pPr>
            <w:r>
              <w:rPr>
                <w:rFonts w:ascii="Arial" w:cs="Arial" w:eastAsia="Arial" w:hAnsi="Arial"/>
                <w:sz w:val="16"/>
                <w:szCs w:val="16"/>
                <w:color w:val="auto"/>
              </w:rPr>
              <w:t>GSEs</w:t>
            </w:r>
          </w:p>
        </w:tc>
        <w:tc>
          <w:tcPr>
            <w:tcW w:w="880" w:type="dxa"/>
            <w:vAlign w:val="bottom"/>
          </w:tcPr>
          <w:p>
            <w:pPr>
              <w:spacing w:after="0"/>
              <w:rPr>
                <w:sz w:val="22"/>
                <w:szCs w:val="22"/>
                <w:color w:val="auto"/>
              </w:rPr>
            </w:pPr>
          </w:p>
        </w:tc>
        <w:tc>
          <w:tcPr>
            <w:tcW w:w="5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2"/>
                <w:szCs w:val="22"/>
                <w:color w:val="auto"/>
              </w:rPr>
            </w:pPr>
          </w:p>
        </w:tc>
        <w:tc>
          <w:tcPr>
            <w:tcW w:w="1300" w:type="dxa"/>
            <w:vAlign w:val="bottom"/>
            <w:gridSpan w:val="3"/>
          </w:tcPr>
          <w:p>
            <w:pPr>
              <w:jc w:val="right"/>
              <w:ind w:right="420"/>
              <w:spacing w:after="0"/>
              <w:rPr>
                <w:sz w:val="20"/>
                <w:szCs w:val="20"/>
                <w:color w:val="auto"/>
              </w:rPr>
            </w:pPr>
            <w:r>
              <w:rPr>
                <w:rFonts w:ascii="Arial" w:cs="Arial" w:eastAsia="Arial" w:hAnsi="Arial"/>
                <w:sz w:val="16"/>
                <w:szCs w:val="16"/>
                <w:color w:val="auto"/>
              </w:rPr>
              <w:t>—</w:t>
            </w:r>
          </w:p>
        </w:tc>
        <w:tc>
          <w:tcPr>
            <w:tcW w:w="11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58</w:t>
            </w: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60" w:type="dxa"/>
            <w:vAlign w:val="bottom"/>
          </w:tcPr>
          <w:p>
            <w:pPr>
              <w:jc w:val="right"/>
              <w:ind w:right="22"/>
              <w:spacing w:after="0"/>
              <w:rPr>
                <w:sz w:val="20"/>
                <w:szCs w:val="20"/>
                <w:color w:val="auto"/>
              </w:rPr>
            </w:pPr>
            <w:r>
              <w:rPr>
                <w:rFonts w:ascii="Arial" w:cs="Arial" w:eastAsia="Arial" w:hAnsi="Arial"/>
                <w:sz w:val="16"/>
                <w:szCs w:val="16"/>
                <w:color w:val="auto"/>
              </w:rPr>
              <w:t>1</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60" w:type="dxa"/>
            <w:vAlign w:val="bottom"/>
          </w:tcPr>
          <w:p>
            <w:pPr>
              <w:jc w:val="right"/>
              <w:ind w:right="23"/>
              <w:spacing w:after="0"/>
              <w:rPr>
                <w:sz w:val="20"/>
                <w:szCs w:val="20"/>
                <w:color w:val="auto"/>
              </w:rPr>
            </w:pPr>
            <w:r>
              <w:rPr>
                <w:rFonts w:ascii="Arial" w:cs="Arial" w:eastAsia="Arial" w:hAnsi="Arial"/>
                <w:sz w:val="16"/>
                <w:szCs w:val="16"/>
                <w:color w:val="auto"/>
              </w:rPr>
              <w:t>20</w:t>
            </w:r>
          </w:p>
        </w:tc>
      </w:tr>
      <w:tr>
        <w:trPr>
          <w:trHeight w:val="271"/>
        </w:trPr>
        <w:tc>
          <w:tcPr>
            <w:tcW w:w="3540" w:type="dxa"/>
            <w:vAlign w:val="bottom"/>
            <w:shd w:val="clear" w:color="auto" w:fill="CCEEFF"/>
          </w:tcPr>
          <w:p>
            <w:pPr>
              <w:ind w:left="40"/>
              <w:spacing w:after="0"/>
              <w:rPr>
                <w:sz w:val="20"/>
                <w:szCs w:val="20"/>
                <w:color w:val="auto"/>
              </w:rPr>
            </w:pPr>
            <w:r>
              <w:rPr>
                <w:rFonts w:ascii="Arial" w:cs="Arial" w:eastAsia="Arial" w:hAnsi="Arial"/>
                <w:sz w:val="16"/>
                <w:szCs w:val="16"/>
                <w:color w:val="auto"/>
              </w:rPr>
              <w:t>Municipal securities</w:t>
            </w:r>
          </w:p>
        </w:tc>
        <w:tc>
          <w:tcPr>
            <w:tcW w:w="880" w:type="dxa"/>
            <w:vAlign w:val="bottom"/>
            <w:tcBorders>
              <w:bottom w:val="single" w:sz="8" w:color="auto"/>
            </w:tcBorders>
            <w:shd w:val="clear" w:color="auto" w:fill="CCEEFF"/>
          </w:tcPr>
          <w:p>
            <w:pPr>
              <w:spacing w:after="0"/>
              <w:rPr>
                <w:sz w:val="23"/>
                <w:szCs w:val="23"/>
                <w:color w:val="auto"/>
              </w:rPr>
            </w:pPr>
          </w:p>
        </w:tc>
        <w:tc>
          <w:tcPr>
            <w:tcW w:w="420" w:type="dxa"/>
            <w:vAlign w:val="bottom"/>
            <w:tcBorders>
              <w:bottom w:val="single" w:sz="8" w:color="auto"/>
            </w:tcBorders>
            <w:shd w:val="clear" w:color="auto" w:fill="CCEEFF"/>
          </w:tcPr>
          <w:p>
            <w:pPr>
              <w:jc w:val="right"/>
              <w:ind w:right="42"/>
              <w:spacing w:after="0"/>
              <w:rPr>
                <w:sz w:val="20"/>
                <w:szCs w:val="20"/>
                <w:color w:val="auto"/>
              </w:rPr>
            </w:pPr>
            <w:r>
              <w:rPr>
                <w:rFonts w:ascii="Arial" w:cs="Arial" w:eastAsia="Arial" w:hAnsi="Arial"/>
                <w:sz w:val="16"/>
                <w:szCs w:val="16"/>
                <w:color w:val="auto"/>
              </w:rPr>
              <w:t>97</w:t>
            </w:r>
          </w:p>
        </w:tc>
        <w:tc>
          <w:tcPr>
            <w:tcW w:w="120" w:type="dxa"/>
            <w:vAlign w:val="bottom"/>
            <w:tcBorders>
              <w:bottom w:val="single" w:sz="8" w:color="auto"/>
            </w:tcBorders>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1000" w:type="dxa"/>
            <w:vAlign w:val="bottom"/>
            <w:tcBorders>
              <w:bottom w:val="single" w:sz="8" w:color="auto"/>
            </w:tcBorders>
            <w:shd w:val="clear" w:color="auto" w:fill="CCEEFF"/>
          </w:tcPr>
          <w:p>
            <w:pPr>
              <w:jc w:val="right"/>
              <w:ind w:right="42"/>
              <w:spacing w:after="0"/>
              <w:rPr>
                <w:sz w:val="20"/>
                <w:szCs w:val="20"/>
                <w:color w:val="auto"/>
              </w:rPr>
            </w:pPr>
            <w:r>
              <w:rPr>
                <w:rFonts w:ascii="Arial" w:cs="Arial" w:eastAsia="Arial" w:hAnsi="Arial"/>
                <w:sz w:val="16"/>
                <w:szCs w:val="16"/>
                <w:color w:val="auto"/>
              </w:rPr>
              <w:t>1</w:t>
            </w:r>
          </w:p>
        </w:tc>
        <w:tc>
          <w:tcPr>
            <w:tcW w:w="100" w:type="dxa"/>
            <w:vAlign w:val="bottom"/>
            <w:tcBorders>
              <w:bottom w:val="single" w:sz="8" w:color="auto"/>
            </w:tcBorders>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104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6"/>
                <w:szCs w:val="16"/>
                <w:color w:val="auto"/>
              </w:rPr>
              <w:t>116</w:t>
            </w:r>
          </w:p>
        </w:tc>
        <w:tc>
          <w:tcPr>
            <w:tcW w:w="120" w:type="dxa"/>
            <w:vAlign w:val="bottom"/>
            <w:tcBorders>
              <w:bottom w:val="single" w:sz="8" w:color="auto"/>
            </w:tcBorders>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auto"/>
            </w:tcBorders>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1260" w:type="dxa"/>
            <w:vAlign w:val="bottom"/>
            <w:tcBorders>
              <w:bottom w:val="single" w:sz="8" w:color="auto"/>
            </w:tcBorders>
            <w:gridSpan w:val="3"/>
            <w:shd w:val="clear" w:color="auto" w:fill="CCEEFF"/>
          </w:tcPr>
          <w:p>
            <w:pPr>
              <w:jc w:val="right"/>
              <w:ind w:right="400"/>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6"/>
                <w:szCs w:val="16"/>
                <w:color w:val="auto"/>
              </w:rPr>
              <w:t>—</w:t>
            </w:r>
          </w:p>
        </w:tc>
      </w:tr>
      <w:tr>
        <w:trPr>
          <w:trHeight w:val="250"/>
        </w:trPr>
        <w:tc>
          <w:tcPr>
            <w:tcW w:w="3540" w:type="dxa"/>
            <w:vAlign w:val="bottom"/>
          </w:tcPr>
          <w:p>
            <w:pPr>
              <w:spacing w:after="0"/>
              <w:rPr>
                <w:sz w:val="21"/>
                <w:szCs w:val="21"/>
                <w:color w:val="auto"/>
              </w:rPr>
            </w:pPr>
          </w:p>
        </w:tc>
        <w:tc>
          <w:tcPr>
            <w:tcW w:w="880" w:type="dxa"/>
            <w:vAlign w:val="bottom"/>
          </w:tcPr>
          <w:p>
            <w:pPr>
              <w:jc w:val="right"/>
              <w:ind w:right="684"/>
              <w:spacing w:after="0"/>
              <w:rPr>
                <w:sz w:val="20"/>
                <w:szCs w:val="20"/>
                <w:color w:val="auto"/>
              </w:rPr>
            </w:pPr>
            <w:r>
              <w:rPr>
                <w:rFonts w:ascii="Arial" w:cs="Arial" w:eastAsia="Arial" w:hAnsi="Arial"/>
                <w:sz w:val="16"/>
                <w:szCs w:val="16"/>
                <w:color w:val="auto"/>
              </w:rPr>
              <w:t>$</w:t>
            </w:r>
          </w:p>
        </w:tc>
        <w:tc>
          <w:tcPr>
            <w:tcW w:w="420" w:type="dxa"/>
            <w:vAlign w:val="bottom"/>
          </w:tcPr>
          <w:p>
            <w:pPr>
              <w:jc w:val="right"/>
              <w:ind w:right="42"/>
              <w:spacing w:after="0"/>
              <w:rPr>
                <w:sz w:val="20"/>
                <w:szCs w:val="20"/>
                <w:color w:val="auto"/>
              </w:rPr>
            </w:pPr>
            <w:r>
              <w:rPr>
                <w:rFonts w:ascii="Arial" w:cs="Arial" w:eastAsia="Arial" w:hAnsi="Arial"/>
                <w:sz w:val="16"/>
                <w:szCs w:val="16"/>
                <w:color w:val="auto"/>
              </w:rPr>
              <w:t>880</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42"/>
              <w:spacing w:after="0"/>
              <w:rPr>
                <w:sz w:val="20"/>
                <w:szCs w:val="20"/>
                <w:color w:val="auto"/>
              </w:rPr>
            </w:pPr>
            <w:r>
              <w:rPr>
                <w:rFonts w:ascii="Arial" w:cs="Arial" w:eastAsia="Arial" w:hAnsi="Arial"/>
                <w:sz w:val="16"/>
                <w:szCs w:val="16"/>
                <w:color w:val="auto"/>
              </w:rPr>
              <w:t>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jc w:val="right"/>
              <w:ind w:right="23"/>
              <w:spacing w:after="0"/>
              <w:rPr>
                <w:sz w:val="20"/>
                <w:szCs w:val="20"/>
                <w:color w:val="auto"/>
              </w:rPr>
            </w:pPr>
            <w:r>
              <w:rPr>
                <w:rFonts w:ascii="Arial" w:cs="Arial" w:eastAsia="Arial" w:hAnsi="Arial"/>
                <w:sz w:val="16"/>
                <w:szCs w:val="16"/>
                <w:color w:val="auto"/>
              </w:rPr>
              <w:t>430</w:t>
            </w:r>
          </w:p>
        </w:tc>
        <w:tc>
          <w:tcPr>
            <w:tcW w:w="120" w:type="dxa"/>
            <w:vAlign w:val="bottom"/>
          </w:tcPr>
          <w:p>
            <w:pPr>
              <w:spacing w:after="0"/>
              <w:rPr>
                <w:sz w:val="21"/>
                <w:szCs w:val="21"/>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58</w:t>
            </w:r>
          </w:p>
        </w:tc>
        <w:tc>
          <w:tcPr>
            <w:tcW w:w="360" w:type="dxa"/>
            <w:vAlign w:val="bottom"/>
            <w:gridSpan w:val="3"/>
          </w:tcPr>
          <w:p>
            <w:pPr>
              <w:jc w:val="right"/>
              <w:ind w:right="40"/>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22"/>
              <w:spacing w:after="0"/>
              <w:rPr>
                <w:sz w:val="20"/>
                <w:szCs w:val="20"/>
                <w:color w:val="auto"/>
              </w:rPr>
            </w:pPr>
            <w:r>
              <w:rPr>
                <w:rFonts w:ascii="Arial" w:cs="Arial" w:eastAsia="Arial" w:hAnsi="Arial"/>
                <w:sz w:val="16"/>
                <w:szCs w:val="16"/>
                <w:color w:val="auto"/>
              </w:rPr>
              <w:t>1</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ind w:right="23"/>
              <w:spacing w:after="0"/>
              <w:rPr>
                <w:sz w:val="20"/>
                <w:szCs w:val="20"/>
                <w:color w:val="auto"/>
              </w:rPr>
            </w:pPr>
            <w:r>
              <w:rPr>
                <w:rFonts w:ascii="Arial" w:cs="Arial" w:eastAsia="Arial" w:hAnsi="Arial"/>
                <w:sz w:val="16"/>
                <w:szCs w:val="16"/>
                <w:color w:val="auto"/>
              </w:rPr>
              <w:t>20</w:t>
            </w:r>
          </w:p>
        </w:tc>
      </w:tr>
      <w:tr>
        <w:trPr>
          <w:trHeight w:val="20"/>
        </w:trPr>
        <w:tc>
          <w:tcPr>
            <w:tcW w:w="354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r>
    </w:tbl>
    <w:p>
      <w:pPr>
        <w:spacing w:after="0" w:line="85" w:lineRule="exact"/>
        <w:rPr>
          <w:sz w:val="20"/>
          <w:szCs w:val="20"/>
          <w:color w:val="auto"/>
        </w:rPr>
      </w:pPr>
    </w:p>
    <w:p>
      <w:pPr>
        <w:ind w:right="180"/>
        <w:spacing w:after="0" w:line="292" w:lineRule="auto"/>
        <w:rPr>
          <w:sz w:val="20"/>
          <w:szCs w:val="20"/>
          <w:color w:val="auto"/>
        </w:rPr>
      </w:pPr>
      <w:r>
        <w:rPr>
          <w:rFonts w:ascii="Arial" w:cs="Arial" w:eastAsia="Arial" w:hAnsi="Arial"/>
          <w:sz w:val="18"/>
          <w:szCs w:val="18"/>
          <w:color w:val="auto"/>
        </w:rPr>
        <w:t>The following table segregates those available-for-sale investments that have been in a continuous loss position for less than 12 months, and those that have been in a continuous loss position for 12 months or more as of December 31, 2016:</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3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240" w:type="dxa"/>
            <w:vAlign w:val="bottom"/>
            <w:gridSpan w:val="9"/>
          </w:tcPr>
          <w:p>
            <w:pPr>
              <w:jc w:val="center"/>
              <w:ind w:right="940"/>
              <w:spacing w:after="0"/>
              <w:rPr>
                <w:sz w:val="20"/>
                <w:szCs w:val="20"/>
                <w:color w:val="auto"/>
              </w:rPr>
            </w:pPr>
            <w:r>
              <w:rPr>
                <w:rFonts w:ascii="Arial" w:cs="Arial" w:eastAsia="Arial" w:hAnsi="Arial"/>
                <w:sz w:val="14"/>
                <w:szCs w:val="14"/>
                <w:b w:val="1"/>
                <w:bCs w:val="1"/>
                <w:color w:val="auto"/>
              </w:rPr>
              <w:t>In a Continuous Loss Position</w:t>
            </w:r>
          </w:p>
        </w:tc>
        <w:tc>
          <w:tcPr>
            <w:tcW w:w="220" w:type="dxa"/>
            <w:vAlign w:val="bottom"/>
          </w:tcPr>
          <w:p>
            <w:pPr>
              <w:spacing w:after="0"/>
              <w:rPr>
                <w:sz w:val="14"/>
                <w:szCs w:val="14"/>
                <w:color w:val="auto"/>
              </w:rPr>
            </w:pPr>
          </w:p>
        </w:tc>
        <w:tc>
          <w:tcPr>
            <w:tcW w:w="3760" w:type="dxa"/>
            <w:vAlign w:val="bottom"/>
            <w:gridSpan w:val="8"/>
          </w:tcPr>
          <w:p>
            <w:pPr>
              <w:jc w:val="center"/>
              <w:ind w:right="103"/>
              <w:spacing w:after="0"/>
              <w:rPr>
                <w:sz w:val="20"/>
                <w:szCs w:val="20"/>
                <w:color w:val="auto"/>
              </w:rPr>
            </w:pPr>
            <w:r>
              <w:rPr>
                <w:rFonts w:ascii="Arial" w:cs="Arial" w:eastAsia="Arial" w:hAnsi="Arial"/>
                <w:sz w:val="14"/>
                <w:szCs w:val="14"/>
                <w:b w:val="1"/>
                <w:bCs w:val="1"/>
                <w:color w:val="auto"/>
              </w:rPr>
              <w:t>In a Continuous Loss Position</w:t>
            </w:r>
          </w:p>
        </w:tc>
      </w:tr>
      <w:tr>
        <w:trPr>
          <w:trHeight w:val="203"/>
        </w:trPr>
        <w:tc>
          <w:tcPr>
            <w:tcW w:w="3340" w:type="dxa"/>
            <w:vAlign w:val="bottom"/>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740" w:type="dxa"/>
            <w:vAlign w:val="bottom"/>
            <w:tcBorders>
              <w:bottom w:val="single" w:sz="8" w:color="auto"/>
            </w:tcBorders>
            <w:gridSpan w:val="6"/>
          </w:tcPr>
          <w:p>
            <w:pPr>
              <w:jc w:val="center"/>
              <w:ind w:right="80"/>
              <w:spacing w:after="0"/>
              <w:rPr>
                <w:sz w:val="20"/>
                <w:szCs w:val="20"/>
                <w:color w:val="auto"/>
              </w:rPr>
            </w:pPr>
            <w:r>
              <w:rPr>
                <w:rFonts w:ascii="Arial" w:cs="Arial" w:eastAsia="Arial" w:hAnsi="Arial"/>
                <w:sz w:val="14"/>
                <w:szCs w:val="14"/>
                <w:b w:val="1"/>
                <w:bCs w:val="1"/>
                <w:color w:val="auto"/>
              </w:rPr>
              <w:t>for Less than 12 Months</w:t>
            </w:r>
          </w:p>
        </w:tc>
        <w:tc>
          <w:tcPr>
            <w:tcW w:w="108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spacing w:after="0"/>
              <w:rPr>
                <w:sz w:val="17"/>
                <w:szCs w:val="17"/>
                <w:color w:val="auto"/>
              </w:rPr>
            </w:pPr>
          </w:p>
        </w:tc>
        <w:tc>
          <w:tcPr>
            <w:tcW w:w="1680" w:type="dxa"/>
            <w:vAlign w:val="bottom"/>
            <w:tcBorders>
              <w:bottom w:val="single" w:sz="8" w:color="auto"/>
            </w:tcBorders>
            <w:gridSpan w:val="6"/>
          </w:tcPr>
          <w:p>
            <w:pPr>
              <w:jc w:val="center"/>
              <w:ind w:right="60"/>
              <w:spacing w:after="0"/>
              <w:rPr>
                <w:sz w:val="20"/>
                <w:szCs w:val="20"/>
                <w:color w:val="auto"/>
              </w:rPr>
            </w:pPr>
            <w:r>
              <w:rPr>
                <w:rFonts w:ascii="Arial" w:cs="Arial" w:eastAsia="Arial" w:hAnsi="Arial"/>
                <w:sz w:val="14"/>
                <w:szCs w:val="14"/>
                <w:b w:val="1"/>
                <w:bCs w:val="1"/>
                <w:color w:val="auto"/>
              </w:rPr>
              <w:t>for 12 Months or More</w:t>
            </w:r>
          </w:p>
        </w:tc>
        <w:tc>
          <w:tcPr>
            <w:tcW w:w="1100" w:type="dxa"/>
            <w:vAlign w:val="bottom"/>
            <w:tcBorders>
              <w:bottom w:val="single" w:sz="8" w:color="auto"/>
            </w:tcBorders>
          </w:tcPr>
          <w:p>
            <w:pPr>
              <w:spacing w:after="0"/>
              <w:rPr>
                <w:sz w:val="17"/>
                <w:szCs w:val="17"/>
                <w:color w:val="auto"/>
              </w:rPr>
            </w:pPr>
          </w:p>
        </w:tc>
      </w:tr>
      <w:tr>
        <w:trPr>
          <w:trHeight w:val="168"/>
        </w:trPr>
        <w:tc>
          <w:tcPr>
            <w:tcW w:w="3340" w:type="dxa"/>
            <w:vAlign w:val="bottom"/>
          </w:tcPr>
          <w:p>
            <w:pPr>
              <w:spacing w:after="0"/>
              <w:rPr>
                <w:sz w:val="14"/>
                <w:szCs w:val="14"/>
                <w:color w:val="auto"/>
              </w:rPr>
            </w:pPr>
          </w:p>
        </w:tc>
        <w:tc>
          <w:tcPr>
            <w:tcW w:w="1180" w:type="dxa"/>
            <w:vAlign w:val="bottom"/>
            <w:gridSpan w:val="2"/>
          </w:tcPr>
          <w:p>
            <w:pPr>
              <w:jc w:val="center"/>
              <w:ind w:left="24"/>
              <w:spacing w:after="0"/>
              <w:rPr>
                <w:sz w:val="20"/>
                <w:szCs w:val="20"/>
                <w:color w:val="auto"/>
              </w:rPr>
            </w:pPr>
            <w:r>
              <w:rPr>
                <w:rFonts w:ascii="Arial" w:cs="Arial" w:eastAsia="Arial" w:hAnsi="Arial"/>
                <w:sz w:val="14"/>
                <w:szCs w:val="14"/>
                <w:b w:val="1"/>
                <w:bCs w:val="1"/>
                <w:color w:val="auto"/>
              </w:rPr>
              <w:t>Estimated</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5"/>
              </w:rPr>
              <w:t>Total</w:t>
            </w:r>
          </w:p>
        </w:tc>
        <w:tc>
          <w:tcPr>
            <w:tcW w:w="220" w:type="dxa"/>
            <w:vAlign w:val="bottom"/>
          </w:tcPr>
          <w:p>
            <w:pPr>
              <w:spacing w:after="0"/>
              <w:rPr>
                <w:sz w:val="14"/>
                <w:szCs w:val="14"/>
                <w:color w:val="auto"/>
              </w:rPr>
            </w:pPr>
          </w:p>
        </w:tc>
        <w:tc>
          <w:tcPr>
            <w:tcW w:w="980" w:type="dxa"/>
            <w:vAlign w:val="bottom"/>
          </w:tcPr>
          <w:p>
            <w:pPr>
              <w:jc w:val="center"/>
              <w:ind w:right="63"/>
              <w:spacing w:after="0"/>
              <w:rPr>
                <w:sz w:val="20"/>
                <w:szCs w:val="20"/>
                <w:color w:val="auto"/>
              </w:rPr>
            </w:pPr>
            <w:r>
              <w:rPr>
                <w:rFonts w:ascii="Arial" w:cs="Arial" w:eastAsia="Arial" w:hAnsi="Arial"/>
                <w:sz w:val="14"/>
                <w:szCs w:val="14"/>
                <w:b w:val="1"/>
                <w:bCs w:val="1"/>
                <w:color w:val="auto"/>
              </w:rPr>
              <w:t>Estimated</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tcPr>
          <w:p>
            <w:pPr>
              <w:jc w:val="center"/>
              <w:ind w:right="63"/>
              <w:spacing w:after="0"/>
              <w:rPr>
                <w:sz w:val="20"/>
                <w:szCs w:val="20"/>
                <w:color w:val="auto"/>
              </w:rPr>
            </w:pPr>
            <w:r>
              <w:rPr>
                <w:rFonts w:ascii="Arial" w:cs="Arial" w:eastAsia="Arial" w:hAnsi="Arial"/>
                <w:sz w:val="14"/>
                <w:szCs w:val="14"/>
                <w:b w:val="1"/>
                <w:bCs w:val="1"/>
                <w:color w:val="auto"/>
                <w:w w:val="95"/>
              </w:rPr>
              <w:t>Total</w:t>
            </w:r>
          </w:p>
        </w:tc>
      </w:tr>
      <w:tr>
        <w:trPr>
          <w:trHeight w:val="162"/>
        </w:trPr>
        <w:tc>
          <w:tcPr>
            <w:tcW w:w="3340" w:type="dxa"/>
            <w:vAlign w:val="bottom"/>
          </w:tcPr>
          <w:p>
            <w:pPr>
              <w:spacing w:after="0"/>
              <w:rPr>
                <w:sz w:val="14"/>
                <w:szCs w:val="14"/>
                <w:color w:val="auto"/>
              </w:rPr>
            </w:pPr>
          </w:p>
        </w:tc>
        <w:tc>
          <w:tcPr>
            <w:tcW w:w="860" w:type="dxa"/>
            <w:vAlign w:val="bottom"/>
          </w:tcPr>
          <w:p>
            <w:pPr>
              <w:jc w:val="center"/>
              <w:ind w:left="344"/>
              <w:spacing w:after="0"/>
              <w:rPr>
                <w:sz w:val="20"/>
                <w:szCs w:val="20"/>
                <w:color w:val="auto"/>
              </w:rPr>
            </w:pPr>
            <w:r>
              <w:rPr>
                <w:rFonts w:ascii="Arial" w:cs="Arial" w:eastAsia="Arial" w:hAnsi="Arial"/>
                <w:sz w:val="14"/>
                <w:szCs w:val="14"/>
                <w:b w:val="1"/>
                <w:bCs w:val="1"/>
                <w:color w:val="auto"/>
              </w:rPr>
              <w:t>Fair</w:t>
            </w: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40" w:type="dxa"/>
            <w:vAlign w:val="bottom"/>
            <w:gridSpan w:val="3"/>
          </w:tcPr>
          <w:p>
            <w:pPr>
              <w:jc w:val="center"/>
              <w:ind w:right="460"/>
              <w:spacing w:after="0"/>
              <w:rPr>
                <w:sz w:val="20"/>
                <w:szCs w:val="20"/>
                <w:color w:val="auto"/>
              </w:rPr>
            </w:pPr>
            <w:r>
              <w:rPr>
                <w:rFonts w:ascii="Arial" w:cs="Arial" w:eastAsia="Arial" w:hAnsi="Arial"/>
                <w:sz w:val="14"/>
                <w:szCs w:val="14"/>
                <w:b w:val="1"/>
                <w:bCs w:val="1"/>
                <w:color w:val="auto"/>
              </w:rPr>
              <w:t>Unrealized</w:t>
            </w:r>
          </w:p>
        </w:tc>
        <w:tc>
          <w:tcPr>
            <w:tcW w:w="11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Number of</w:t>
            </w:r>
          </w:p>
        </w:tc>
        <w:tc>
          <w:tcPr>
            <w:tcW w:w="220" w:type="dxa"/>
            <w:vAlign w:val="bottom"/>
          </w:tcPr>
          <w:p>
            <w:pPr>
              <w:spacing w:after="0"/>
              <w:rPr>
                <w:sz w:val="14"/>
                <w:szCs w:val="14"/>
                <w:color w:val="auto"/>
              </w:rPr>
            </w:pPr>
          </w:p>
        </w:tc>
        <w:tc>
          <w:tcPr>
            <w:tcW w:w="980" w:type="dxa"/>
            <w:vAlign w:val="bottom"/>
          </w:tcPr>
          <w:p>
            <w:pPr>
              <w:jc w:val="center"/>
              <w:ind w:right="83"/>
              <w:spacing w:after="0"/>
              <w:rPr>
                <w:sz w:val="20"/>
                <w:szCs w:val="20"/>
                <w:color w:val="auto"/>
              </w:rPr>
            </w:pPr>
            <w:r>
              <w:rPr>
                <w:rFonts w:ascii="Arial" w:cs="Arial" w:eastAsia="Arial" w:hAnsi="Arial"/>
                <w:sz w:val="14"/>
                <w:szCs w:val="14"/>
                <w:b w:val="1"/>
                <w:bCs w:val="1"/>
                <w:color w:val="auto"/>
              </w:rPr>
              <w:t>Fair</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20" w:type="dxa"/>
            <w:vAlign w:val="bottom"/>
            <w:gridSpan w:val="3"/>
          </w:tcPr>
          <w:p>
            <w:pPr>
              <w:jc w:val="center"/>
              <w:ind w:right="440"/>
              <w:spacing w:after="0"/>
              <w:rPr>
                <w:sz w:val="20"/>
                <w:szCs w:val="20"/>
                <w:color w:val="auto"/>
              </w:rPr>
            </w:pPr>
            <w:r>
              <w:rPr>
                <w:rFonts w:ascii="Arial" w:cs="Arial" w:eastAsia="Arial" w:hAnsi="Arial"/>
                <w:sz w:val="14"/>
                <w:szCs w:val="14"/>
                <w:b w:val="1"/>
                <w:bCs w:val="1"/>
                <w:color w:val="auto"/>
              </w:rPr>
              <w:t>Unrealized</w:t>
            </w:r>
          </w:p>
        </w:tc>
        <w:tc>
          <w:tcPr>
            <w:tcW w:w="1100" w:type="dxa"/>
            <w:vAlign w:val="bottom"/>
          </w:tcPr>
          <w:p>
            <w:pPr>
              <w:jc w:val="center"/>
              <w:ind w:right="63"/>
              <w:spacing w:after="0"/>
              <w:rPr>
                <w:sz w:val="20"/>
                <w:szCs w:val="20"/>
                <w:color w:val="auto"/>
              </w:rPr>
            </w:pPr>
            <w:r>
              <w:rPr>
                <w:rFonts w:ascii="Arial" w:cs="Arial" w:eastAsia="Arial" w:hAnsi="Arial"/>
                <w:sz w:val="14"/>
                <w:szCs w:val="14"/>
                <w:b w:val="1"/>
                <w:bCs w:val="1"/>
                <w:color w:val="auto"/>
              </w:rPr>
              <w:t>Number of</w:t>
            </w:r>
          </w:p>
        </w:tc>
      </w:tr>
      <w:tr>
        <w:trPr>
          <w:trHeight w:val="203"/>
        </w:trPr>
        <w:tc>
          <w:tcPr>
            <w:tcW w:w="3340" w:type="dxa"/>
            <w:vAlign w:val="bottom"/>
          </w:tcPr>
          <w:p>
            <w:pPr>
              <w:spacing w:after="0"/>
              <w:rPr>
                <w:sz w:val="17"/>
                <w:szCs w:val="17"/>
                <w:color w:val="auto"/>
              </w:rPr>
            </w:pPr>
          </w:p>
        </w:tc>
        <w:tc>
          <w:tcPr>
            <w:tcW w:w="860" w:type="dxa"/>
            <w:vAlign w:val="bottom"/>
            <w:tcBorders>
              <w:bottom w:val="single" w:sz="8" w:color="auto"/>
            </w:tcBorders>
          </w:tcPr>
          <w:p>
            <w:pPr>
              <w:jc w:val="center"/>
              <w:ind w:left="344"/>
              <w:spacing w:after="0"/>
              <w:rPr>
                <w:sz w:val="20"/>
                <w:szCs w:val="20"/>
                <w:color w:val="auto"/>
              </w:rPr>
            </w:pPr>
            <w:r>
              <w:rPr>
                <w:rFonts w:ascii="Arial" w:cs="Arial" w:eastAsia="Arial" w:hAnsi="Arial"/>
                <w:sz w:val="14"/>
                <w:szCs w:val="14"/>
                <w:b w:val="1"/>
                <w:bCs w:val="1"/>
                <w:color w:val="auto"/>
                <w:w w:val="96"/>
              </w:rPr>
              <w:t>Value</w:t>
            </w:r>
          </w:p>
        </w:tc>
        <w:tc>
          <w:tcPr>
            <w:tcW w:w="3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gridSpan w:val="3"/>
          </w:tcPr>
          <w:p>
            <w:pPr>
              <w:jc w:val="center"/>
              <w:ind w:right="440"/>
              <w:spacing w:after="0"/>
              <w:rPr>
                <w:sz w:val="20"/>
                <w:szCs w:val="20"/>
                <w:color w:val="auto"/>
              </w:rPr>
            </w:pPr>
            <w:r>
              <w:rPr>
                <w:rFonts w:ascii="Arial" w:cs="Arial" w:eastAsia="Arial" w:hAnsi="Arial"/>
                <w:sz w:val="14"/>
                <w:szCs w:val="14"/>
                <w:b w:val="1"/>
                <w:bCs w:val="1"/>
                <w:color w:val="auto"/>
              </w:rPr>
              <w:t>Losses</w:t>
            </w:r>
          </w:p>
        </w:tc>
        <w:tc>
          <w:tcPr>
            <w:tcW w:w="118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rPr>
              <w:t>Positions</w:t>
            </w:r>
          </w:p>
        </w:tc>
        <w:tc>
          <w:tcPr>
            <w:tcW w:w="22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center"/>
              <w:ind w:right="83"/>
              <w:spacing w:after="0"/>
              <w:rPr>
                <w:sz w:val="20"/>
                <w:szCs w:val="20"/>
                <w:color w:val="auto"/>
              </w:rPr>
            </w:pPr>
            <w:r>
              <w:rPr>
                <w:rFonts w:ascii="Arial" w:cs="Arial" w:eastAsia="Arial" w:hAnsi="Arial"/>
                <w:sz w:val="14"/>
                <w:szCs w:val="14"/>
                <w:b w:val="1"/>
                <w:bCs w:val="1"/>
                <w:color w:val="auto"/>
              </w:rPr>
              <w:t>Value</w:t>
            </w:r>
          </w:p>
        </w:tc>
        <w:tc>
          <w:tcPr>
            <w:tcW w:w="6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gridSpan w:val="3"/>
          </w:tcPr>
          <w:p>
            <w:pPr>
              <w:jc w:val="center"/>
              <w:ind w:right="440"/>
              <w:spacing w:after="0"/>
              <w:rPr>
                <w:sz w:val="20"/>
                <w:szCs w:val="20"/>
                <w:color w:val="auto"/>
              </w:rPr>
            </w:pPr>
            <w:r>
              <w:rPr>
                <w:rFonts w:ascii="Arial" w:cs="Arial" w:eastAsia="Arial" w:hAnsi="Arial"/>
                <w:sz w:val="14"/>
                <w:szCs w:val="14"/>
                <w:b w:val="1"/>
                <w:bCs w:val="1"/>
                <w:color w:val="auto"/>
                <w:w w:val="99"/>
              </w:rPr>
              <w:t>Losses</w:t>
            </w:r>
          </w:p>
        </w:tc>
        <w:tc>
          <w:tcPr>
            <w:tcW w:w="1100" w:type="dxa"/>
            <w:vAlign w:val="bottom"/>
            <w:tcBorders>
              <w:bottom w:val="single" w:sz="8" w:color="auto"/>
            </w:tcBorders>
          </w:tcPr>
          <w:p>
            <w:pPr>
              <w:jc w:val="center"/>
              <w:ind w:right="63"/>
              <w:spacing w:after="0"/>
              <w:rPr>
                <w:sz w:val="20"/>
                <w:szCs w:val="20"/>
                <w:color w:val="auto"/>
              </w:rPr>
            </w:pPr>
            <w:r>
              <w:rPr>
                <w:rFonts w:ascii="Arial" w:cs="Arial" w:eastAsia="Arial" w:hAnsi="Arial"/>
                <w:sz w:val="14"/>
                <w:szCs w:val="14"/>
                <w:b w:val="1"/>
                <w:bCs w:val="1"/>
                <w:color w:val="auto"/>
              </w:rPr>
              <w:t>Positions</w:t>
            </w:r>
          </w:p>
        </w:tc>
      </w:tr>
      <w:tr>
        <w:trPr>
          <w:trHeight w:val="210"/>
        </w:trPr>
        <w:tc>
          <w:tcPr>
            <w:tcW w:w="33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380" w:type="dxa"/>
            <w:vAlign w:val="bottom"/>
            <w:gridSpan w:val="4"/>
          </w:tcPr>
          <w:p>
            <w:pPr>
              <w:ind w:left="460"/>
              <w:spacing w:after="0"/>
              <w:rPr>
                <w:sz w:val="20"/>
                <w:szCs w:val="20"/>
                <w:color w:val="auto"/>
              </w:rPr>
            </w:pPr>
            <w:r>
              <w:rPr>
                <w:rFonts w:ascii="Arial" w:cs="Arial" w:eastAsia="Arial" w:hAnsi="Arial"/>
                <w:sz w:val="14"/>
                <w:szCs w:val="14"/>
                <w:b w:val="1"/>
                <w:bCs w:val="1"/>
                <w:color w:val="auto"/>
              </w:rPr>
              <w:t>(Dollars in millions)</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71"/>
        </w:trPr>
        <w:tc>
          <w:tcPr>
            <w:tcW w:w="3340" w:type="dxa"/>
            <w:vAlign w:val="bottom"/>
            <w:shd w:val="clear" w:color="auto" w:fill="CCEEFF"/>
          </w:tcPr>
          <w:p>
            <w:pPr>
              <w:ind w:left="40"/>
              <w:spacing w:after="0"/>
              <w:rPr>
                <w:sz w:val="20"/>
                <w:szCs w:val="20"/>
                <w:color w:val="auto"/>
              </w:rPr>
            </w:pPr>
            <w:r>
              <w:rPr>
                <w:rFonts w:ascii="Arial" w:cs="Arial" w:eastAsia="Arial" w:hAnsi="Arial"/>
                <w:sz w:val="16"/>
                <w:szCs w:val="16"/>
                <w:color w:val="auto"/>
              </w:rPr>
              <w:t>Corporate debt securities</w:t>
            </w:r>
          </w:p>
        </w:tc>
        <w:tc>
          <w:tcPr>
            <w:tcW w:w="860" w:type="dxa"/>
            <w:vAlign w:val="bottom"/>
            <w:shd w:val="clear" w:color="auto" w:fill="CCEEFF"/>
          </w:tcPr>
          <w:p>
            <w:pPr>
              <w:jc w:val="right"/>
              <w:ind w:right="684"/>
              <w:spacing w:after="0"/>
              <w:rPr>
                <w:sz w:val="20"/>
                <w:szCs w:val="20"/>
                <w:color w:val="auto"/>
              </w:rPr>
            </w:pPr>
            <w:r>
              <w:rPr>
                <w:rFonts w:ascii="Arial" w:cs="Arial" w:eastAsia="Arial" w:hAnsi="Arial"/>
                <w:sz w:val="16"/>
                <w:szCs w:val="16"/>
                <w:color w:val="auto"/>
                <w:w w:val="89"/>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542</w:t>
            </w:r>
          </w:p>
        </w:tc>
        <w:tc>
          <w:tcPr>
            <w:tcW w:w="400" w:type="dxa"/>
            <w:vAlign w:val="bottom"/>
            <w:gridSpan w:val="3"/>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108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2</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080" w:type="dxa"/>
            <w:vAlign w:val="bottom"/>
            <w:shd w:val="clear" w:color="auto" w:fill="CCEEFF"/>
          </w:tcPr>
          <w:p>
            <w:pPr>
              <w:jc w:val="right"/>
              <w:ind w:right="23"/>
              <w:spacing w:after="0"/>
              <w:rPr>
                <w:sz w:val="20"/>
                <w:szCs w:val="20"/>
                <w:color w:val="auto"/>
              </w:rPr>
            </w:pPr>
            <w:r>
              <w:rPr>
                <w:rFonts w:ascii="Arial" w:cs="Arial" w:eastAsia="Arial" w:hAnsi="Arial"/>
                <w:sz w:val="16"/>
                <w:szCs w:val="16"/>
                <w:color w:val="auto"/>
              </w:rPr>
              <w:t>378</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980" w:type="dxa"/>
            <w:vAlign w:val="bottom"/>
            <w:shd w:val="clear" w:color="auto" w:fill="CCEEFF"/>
          </w:tcPr>
          <w:p>
            <w:pPr>
              <w:ind w:left="780"/>
              <w:spacing w:after="0"/>
              <w:rPr>
                <w:sz w:val="20"/>
                <w:szCs w:val="20"/>
                <w:color w:val="auto"/>
              </w:rPr>
            </w:pPr>
            <w:r>
              <w:rPr>
                <w:rFonts w:ascii="Arial" w:cs="Arial" w:eastAsia="Arial" w:hAnsi="Arial"/>
                <w:sz w:val="16"/>
                <w:szCs w:val="16"/>
                <w:color w:val="auto"/>
              </w:rPr>
              <w:t>—</w:t>
            </w:r>
          </w:p>
        </w:tc>
        <w:tc>
          <w:tcPr>
            <w:tcW w:w="360" w:type="dxa"/>
            <w:vAlign w:val="bottom"/>
            <w:gridSpan w:val="3"/>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1320" w:type="dxa"/>
            <w:vAlign w:val="bottom"/>
            <w:gridSpan w:val="3"/>
            <w:shd w:val="clear" w:color="auto" w:fill="CCEEFF"/>
          </w:tcPr>
          <w:p>
            <w:pPr>
              <w:ind w:left="800"/>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ind w:left="820"/>
              <w:spacing w:after="0"/>
              <w:rPr>
                <w:sz w:val="20"/>
                <w:szCs w:val="20"/>
                <w:color w:val="auto"/>
              </w:rPr>
            </w:pPr>
            <w:r>
              <w:rPr>
                <w:rFonts w:ascii="Arial" w:cs="Arial" w:eastAsia="Arial" w:hAnsi="Arial"/>
                <w:sz w:val="16"/>
                <w:szCs w:val="16"/>
                <w:color w:val="auto"/>
              </w:rPr>
              <w:t>—</w:t>
            </w:r>
          </w:p>
        </w:tc>
      </w:tr>
      <w:tr>
        <w:trPr>
          <w:trHeight w:val="262"/>
        </w:trPr>
        <w:tc>
          <w:tcPr>
            <w:tcW w:w="3340" w:type="dxa"/>
            <w:vAlign w:val="bottom"/>
          </w:tcPr>
          <w:p>
            <w:pPr>
              <w:ind w:left="40"/>
              <w:spacing w:after="0"/>
              <w:rPr>
                <w:sz w:val="20"/>
                <w:szCs w:val="20"/>
                <w:color w:val="auto"/>
              </w:rPr>
            </w:pPr>
            <w:r>
              <w:rPr>
                <w:rFonts w:ascii="Arial" w:cs="Arial" w:eastAsia="Arial" w:hAnsi="Arial"/>
                <w:sz w:val="16"/>
                <w:szCs w:val="16"/>
                <w:color w:val="auto"/>
              </w:rPr>
              <w:t>GSEs</w:t>
            </w:r>
          </w:p>
        </w:tc>
        <w:tc>
          <w:tcPr>
            <w:tcW w:w="860" w:type="dxa"/>
            <w:vAlign w:val="bottom"/>
          </w:tcPr>
          <w:p>
            <w:pPr>
              <w:spacing w:after="0"/>
              <w:rPr>
                <w:sz w:val="22"/>
                <w:szCs w:val="22"/>
                <w:color w:val="auto"/>
              </w:rPr>
            </w:pPr>
          </w:p>
        </w:tc>
        <w:tc>
          <w:tcPr>
            <w:tcW w:w="320" w:type="dxa"/>
            <w:vAlign w:val="bottom"/>
          </w:tcPr>
          <w:p>
            <w:pPr>
              <w:jc w:val="right"/>
              <w:spacing w:after="0"/>
              <w:rPr>
                <w:sz w:val="20"/>
                <w:szCs w:val="20"/>
                <w:color w:val="auto"/>
              </w:rPr>
            </w:pPr>
            <w:r>
              <w:rPr>
                <w:rFonts w:ascii="Arial" w:cs="Arial" w:eastAsia="Arial" w:hAnsi="Arial"/>
                <w:sz w:val="16"/>
                <w:szCs w:val="16"/>
                <w:color w:val="auto"/>
              </w:rPr>
              <w:t>198</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80" w:type="dxa"/>
            <w:vAlign w:val="bottom"/>
          </w:tcPr>
          <w:p>
            <w:pPr>
              <w:jc w:val="right"/>
              <w:ind w:right="42"/>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80" w:type="dxa"/>
            <w:vAlign w:val="bottom"/>
          </w:tcPr>
          <w:p>
            <w:pPr>
              <w:jc w:val="right"/>
              <w:ind w:right="23"/>
              <w:spacing w:after="0"/>
              <w:rPr>
                <w:sz w:val="20"/>
                <w:szCs w:val="20"/>
                <w:color w:val="auto"/>
              </w:rPr>
            </w:pPr>
            <w:r>
              <w:rPr>
                <w:rFonts w:ascii="Arial" w:cs="Arial" w:eastAsia="Arial" w:hAnsi="Arial"/>
                <w:sz w:val="16"/>
                <w:szCs w:val="16"/>
                <w:color w:val="auto"/>
              </w:rPr>
              <w:t>73</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80" w:type="dxa"/>
            <w:vAlign w:val="bottom"/>
          </w:tcPr>
          <w:p>
            <w:pPr>
              <w:ind w:left="780"/>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20" w:type="dxa"/>
            <w:vAlign w:val="bottom"/>
            <w:gridSpan w:val="3"/>
          </w:tcPr>
          <w:p>
            <w:pPr>
              <w:ind w:left="800"/>
              <w:spacing w:after="0"/>
              <w:rPr>
                <w:sz w:val="20"/>
                <w:szCs w:val="20"/>
                <w:color w:val="auto"/>
              </w:rPr>
            </w:pPr>
            <w:r>
              <w:rPr>
                <w:rFonts w:ascii="Arial" w:cs="Arial" w:eastAsia="Arial" w:hAnsi="Arial"/>
                <w:sz w:val="16"/>
                <w:szCs w:val="16"/>
                <w:color w:val="auto"/>
              </w:rPr>
              <w:t>—</w:t>
            </w:r>
          </w:p>
        </w:tc>
        <w:tc>
          <w:tcPr>
            <w:tcW w:w="1100" w:type="dxa"/>
            <w:vAlign w:val="bottom"/>
          </w:tcPr>
          <w:p>
            <w:pPr>
              <w:ind w:left="820"/>
              <w:spacing w:after="0"/>
              <w:rPr>
                <w:sz w:val="20"/>
                <w:szCs w:val="20"/>
                <w:color w:val="auto"/>
              </w:rPr>
            </w:pPr>
            <w:r>
              <w:rPr>
                <w:rFonts w:ascii="Arial" w:cs="Arial" w:eastAsia="Arial" w:hAnsi="Arial"/>
                <w:sz w:val="16"/>
                <w:szCs w:val="16"/>
                <w:color w:val="auto"/>
              </w:rPr>
              <w:t>—</w:t>
            </w:r>
          </w:p>
        </w:tc>
      </w:tr>
      <w:tr>
        <w:trPr>
          <w:trHeight w:val="271"/>
        </w:trPr>
        <w:tc>
          <w:tcPr>
            <w:tcW w:w="3340" w:type="dxa"/>
            <w:vAlign w:val="bottom"/>
            <w:shd w:val="clear" w:color="auto" w:fill="CCEEFF"/>
          </w:tcPr>
          <w:p>
            <w:pPr>
              <w:ind w:left="40"/>
              <w:spacing w:after="0"/>
              <w:rPr>
                <w:sz w:val="20"/>
                <w:szCs w:val="20"/>
                <w:color w:val="auto"/>
              </w:rPr>
            </w:pPr>
            <w:r>
              <w:rPr>
                <w:rFonts w:ascii="Arial" w:cs="Arial" w:eastAsia="Arial" w:hAnsi="Arial"/>
                <w:sz w:val="16"/>
                <w:szCs w:val="16"/>
                <w:color w:val="auto"/>
              </w:rPr>
              <w:t>Municipal securities</w:t>
            </w:r>
          </w:p>
        </w:tc>
        <w:tc>
          <w:tcPr>
            <w:tcW w:w="860" w:type="dxa"/>
            <w:vAlign w:val="bottom"/>
            <w:tcBorders>
              <w:bottom w:val="single" w:sz="8" w:color="auto"/>
            </w:tcBorders>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101</w:t>
            </w:r>
          </w:p>
        </w:tc>
        <w:tc>
          <w:tcPr>
            <w:tcW w:w="100" w:type="dxa"/>
            <w:vAlign w:val="bottom"/>
            <w:tcBorders>
              <w:bottom w:val="single" w:sz="8" w:color="auto"/>
            </w:tcBorders>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jc w:val="right"/>
              <w:ind w:right="42"/>
              <w:spacing w:after="0"/>
              <w:rPr>
                <w:sz w:val="20"/>
                <w:szCs w:val="20"/>
                <w:color w:val="auto"/>
              </w:rPr>
            </w:pPr>
            <w:r>
              <w:rPr>
                <w:rFonts w:ascii="Arial" w:cs="Arial" w:eastAsia="Arial" w:hAnsi="Arial"/>
                <w:sz w:val="16"/>
                <w:szCs w:val="16"/>
                <w:color w:val="auto"/>
              </w:rPr>
              <w:t>1</w:t>
            </w:r>
          </w:p>
        </w:tc>
        <w:tc>
          <w:tcPr>
            <w:tcW w:w="10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6"/>
                <w:szCs w:val="16"/>
                <w:color w:val="auto"/>
              </w:rPr>
              <w:t>129</w:t>
            </w:r>
          </w:p>
        </w:tc>
        <w:tc>
          <w:tcPr>
            <w:tcW w:w="10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980" w:type="dxa"/>
            <w:vAlign w:val="bottom"/>
            <w:tcBorders>
              <w:bottom w:val="single" w:sz="8" w:color="auto"/>
            </w:tcBorders>
            <w:shd w:val="clear" w:color="auto" w:fill="CCEEFF"/>
          </w:tcPr>
          <w:p>
            <w:pPr>
              <w:ind w:left="780"/>
              <w:spacing w:after="0"/>
              <w:rPr>
                <w:sz w:val="20"/>
                <w:szCs w:val="20"/>
                <w:color w:val="auto"/>
              </w:rPr>
            </w:pPr>
            <w:r>
              <w:rPr>
                <w:rFonts w:ascii="Arial" w:cs="Arial" w:eastAsia="Arial" w:hAnsi="Arial"/>
                <w:sz w:val="16"/>
                <w:szCs w:val="16"/>
                <w:color w:val="auto"/>
              </w:rPr>
              <w:t>—</w:t>
            </w:r>
          </w:p>
        </w:tc>
        <w:tc>
          <w:tcPr>
            <w:tcW w:w="60" w:type="dxa"/>
            <w:vAlign w:val="bottom"/>
            <w:tcBorders>
              <w:bottom w:val="single" w:sz="8" w:color="auto"/>
            </w:tcBorders>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ind w:left="80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1100" w:type="dxa"/>
            <w:vAlign w:val="bottom"/>
            <w:tcBorders>
              <w:bottom w:val="single" w:sz="8" w:color="auto"/>
            </w:tcBorders>
            <w:shd w:val="clear" w:color="auto" w:fill="CCEEFF"/>
          </w:tcPr>
          <w:p>
            <w:pPr>
              <w:ind w:left="820"/>
              <w:spacing w:after="0"/>
              <w:rPr>
                <w:sz w:val="20"/>
                <w:szCs w:val="20"/>
                <w:color w:val="auto"/>
              </w:rPr>
            </w:pPr>
            <w:r>
              <w:rPr>
                <w:rFonts w:ascii="Arial" w:cs="Arial" w:eastAsia="Arial" w:hAnsi="Arial"/>
                <w:sz w:val="16"/>
                <w:szCs w:val="16"/>
                <w:color w:val="auto"/>
              </w:rPr>
              <w:t>—</w:t>
            </w:r>
          </w:p>
        </w:tc>
      </w:tr>
      <w:tr>
        <w:trPr>
          <w:trHeight w:val="237"/>
        </w:trPr>
        <w:tc>
          <w:tcPr>
            <w:tcW w:w="3340" w:type="dxa"/>
            <w:vAlign w:val="bottom"/>
          </w:tcPr>
          <w:p>
            <w:pPr>
              <w:spacing w:after="0"/>
              <w:rPr>
                <w:sz w:val="20"/>
                <w:szCs w:val="20"/>
                <w:color w:val="auto"/>
              </w:rPr>
            </w:pPr>
          </w:p>
        </w:tc>
        <w:tc>
          <w:tcPr>
            <w:tcW w:w="860" w:type="dxa"/>
            <w:vAlign w:val="bottom"/>
          </w:tcPr>
          <w:p>
            <w:pPr>
              <w:jc w:val="right"/>
              <w:ind w:right="684"/>
              <w:spacing w:after="0"/>
              <w:rPr>
                <w:sz w:val="20"/>
                <w:szCs w:val="20"/>
                <w:color w:val="auto"/>
              </w:rPr>
            </w:pPr>
            <w:r>
              <w:rPr>
                <w:rFonts w:ascii="Arial" w:cs="Arial" w:eastAsia="Arial" w:hAnsi="Arial"/>
                <w:sz w:val="16"/>
                <w:szCs w:val="16"/>
                <w:color w:val="auto"/>
                <w:w w:val="89"/>
              </w:rPr>
              <w:t>$</w:t>
            </w:r>
          </w:p>
        </w:tc>
        <w:tc>
          <w:tcPr>
            <w:tcW w:w="320" w:type="dxa"/>
            <w:vAlign w:val="bottom"/>
          </w:tcPr>
          <w:p>
            <w:pPr>
              <w:jc w:val="right"/>
              <w:spacing w:after="0"/>
              <w:rPr>
                <w:sz w:val="20"/>
                <w:szCs w:val="20"/>
                <w:color w:val="auto"/>
              </w:rPr>
            </w:pPr>
            <w:r>
              <w:rPr>
                <w:rFonts w:ascii="Arial" w:cs="Arial" w:eastAsia="Arial" w:hAnsi="Arial"/>
                <w:sz w:val="16"/>
                <w:szCs w:val="16"/>
                <w:color w:val="auto"/>
              </w:rPr>
              <w:t>841</w:t>
            </w:r>
          </w:p>
        </w:tc>
        <w:tc>
          <w:tcPr>
            <w:tcW w:w="400" w:type="dxa"/>
            <w:vAlign w:val="bottom"/>
            <w:gridSpan w:val="3"/>
          </w:tcPr>
          <w:p>
            <w:pPr>
              <w:jc w:val="right"/>
              <w:ind w:right="60"/>
              <w:spacing w:after="0"/>
              <w:rPr>
                <w:sz w:val="20"/>
                <w:szCs w:val="20"/>
                <w:color w:val="auto"/>
              </w:rPr>
            </w:pPr>
            <w:r>
              <w:rPr>
                <w:rFonts w:ascii="Arial" w:cs="Arial" w:eastAsia="Arial" w:hAnsi="Arial"/>
                <w:sz w:val="16"/>
                <w:szCs w:val="16"/>
                <w:color w:val="auto"/>
              </w:rPr>
              <w:t>$</w:t>
            </w:r>
          </w:p>
        </w:tc>
        <w:tc>
          <w:tcPr>
            <w:tcW w:w="1080" w:type="dxa"/>
            <w:vAlign w:val="bottom"/>
          </w:tcPr>
          <w:p>
            <w:pPr>
              <w:jc w:val="right"/>
              <w:ind w:right="42"/>
              <w:spacing w:after="0"/>
              <w:rPr>
                <w:sz w:val="20"/>
                <w:szCs w:val="20"/>
                <w:color w:val="auto"/>
              </w:rPr>
            </w:pPr>
            <w:r>
              <w:rPr>
                <w:rFonts w:ascii="Arial" w:cs="Arial" w:eastAsia="Arial" w:hAnsi="Arial"/>
                <w:sz w:val="16"/>
                <w:szCs w:val="16"/>
                <w:color w:val="auto"/>
              </w:rPr>
              <w:t>4</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jc w:val="right"/>
              <w:ind w:right="23"/>
              <w:spacing w:after="0"/>
              <w:rPr>
                <w:sz w:val="20"/>
                <w:szCs w:val="20"/>
                <w:color w:val="auto"/>
              </w:rPr>
            </w:pPr>
            <w:r>
              <w:rPr>
                <w:rFonts w:ascii="Arial" w:cs="Arial" w:eastAsia="Arial" w:hAnsi="Arial"/>
                <w:sz w:val="16"/>
                <w:szCs w:val="16"/>
                <w:color w:val="auto"/>
              </w:rPr>
              <w:t>580</w:t>
            </w:r>
          </w:p>
        </w:tc>
        <w:tc>
          <w:tcPr>
            <w:tcW w:w="100" w:type="dxa"/>
            <w:vAlign w:val="bottom"/>
          </w:tcPr>
          <w:p>
            <w:pPr>
              <w:spacing w:after="0"/>
              <w:rPr>
                <w:sz w:val="20"/>
                <w:szCs w:val="20"/>
                <w:color w:val="auto"/>
              </w:rPr>
            </w:pP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980" w:type="dxa"/>
            <w:vAlign w:val="bottom"/>
          </w:tcPr>
          <w:p>
            <w:pPr>
              <w:ind w:left="780"/>
              <w:spacing w:after="0"/>
              <w:rPr>
                <w:sz w:val="20"/>
                <w:szCs w:val="20"/>
                <w:color w:val="auto"/>
              </w:rPr>
            </w:pPr>
            <w:r>
              <w:rPr>
                <w:rFonts w:ascii="Arial" w:cs="Arial" w:eastAsia="Arial" w:hAnsi="Arial"/>
                <w:sz w:val="16"/>
                <w:szCs w:val="16"/>
                <w:color w:val="auto"/>
              </w:rPr>
              <w:t>—</w:t>
            </w:r>
          </w:p>
        </w:tc>
        <w:tc>
          <w:tcPr>
            <w:tcW w:w="360" w:type="dxa"/>
            <w:vAlign w:val="bottom"/>
            <w:gridSpan w:val="3"/>
          </w:tcPr>
          <w:p>
            <w:pPr>
              <w:jc w:val="right"/>
              <w:ind w:right="60"/>
              <w:spacing w:after="0"/>
              <w:rPr>
                <w:sz w:val="20"/>
                <w:szCs w:val="20"/>
                <w:color w:val="auto"/>
              </w:rPr>
            </w:pPr>
            <w:r>
              <w:rPr>
                <w:rFonts w:ascii="Arial" w:cs="Arial" w:eastAsia="Arial" w:hAnsi="Arial"/>
                <w:sz w:val="16"/>
                <w:szCs w:val="16"/>
                <w:color w:val="auto"/>
              </w:rPr>
              <w:t>$</w:t>
            </w:r>
          </w:p>
        </w:tc>
        <w:tc>
          <w:tcPr>
            <w:tcW w:w="1320" w:type="dxa"/>
            <w:vAlign w:val="bottom"/>
            <w:gridSpan w:val="3"/>
          </w:tcPr>
          <w:p>
            <w:pPr>
              <w:ind w:left="800"/>
              <w:spacing w:after="0"/>
              <w:rPr>
                <w:sz w:val="20"/>
                <w:szCs w:val="20"/>
                <w:color w:val="auto"/>
              </w:rPr>
            </w:pPr>
            <w:r>
              <w:rPr>
                <w:rFonts w:ascii="Arial" w:cs="Arial" w:eastAsia="Arial" w:hAnsi="Arial"/>
                <w:sz w:val="16"/>
                <w:szCs w:val="16"/>
                <w:color w:val="auto"/>
              </w:rPr>
              <w:t>—</w:t>
            </w:r>
          </w:p>
        </w:tc>
        <w:tc>
          <w:tcPr>
            <w:tcW w:w="1100" w:type="dxa"/>
            <w:vAlign w:val="bottom"/>
          </w:tcPr>
          <w:p>
            <w:pPr>
              <w:ind w:left="820"/>
              <w:spacing w:after="0"/>
              <w:rPr>
                <w:sz w:val="20"/>
                <w:szCs w:val="20"/>
                <w:color w:val="auto"/>
              </w:rPr>
            </w:pPr>
            <w:r>
              <w:rPr>
                <w:rFonts w:ascii="Arial" w:cs="Arial" w:eastAsia="Arial" w:hAnsi="Arial"/>
                <w:sz w:val="16"/>
                <w:szCs w:val="16"/>
                <w:color w:val="auto"/>
              </w:rPr>
              <w:t>—</w:t>
            </w:r>
          </w:p>
        </w:tc>
      </w:tr>
      <w:tr>
        <w:trPr>
          <w:trHeight w:val="20"/>
        </w:trPr>
        <w:tc>
          <w:tcPr>
            <w:tcW w:w="334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r>
    </w:tbl>
    <w:p>
      <w:pPr>
        <w:spacing w:after="0" w:line="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Held-to-Maturity Investments</w:t>
      </w:r>
    </w:p>
    <w:p>
      <w:pPr>
        <w:spacing w:after="0" w:line="117"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Pursuant to the regulations governing our Health Plans segment subsidiaries, we maintain statutory deposits and deposits required by government authorities primarily in certificates of deposit and U.S. treasury securities. We also maintain restricted investments as protection against the insolvency of certain capitated providers. The use of these funds is limited as required by regulation in the various states in which we operate, or as needed in the event of insolvency of capitated providers. Therefore, such investments are reported as non-current “Restricted investments” in the accompanying consolidated balance sheets. We have the ability to hold these restricted investments until maturity, and as a result, we would not expect the value of these investments to decline significantly due to a sudden change in market interest rates.</w:t>
      </w:r>
    </w:p>
    <w:p>
      <w:pPr>
        <w:spacing w:after="0" w:line="69" w:lineRule="exact"/>
        <w:rPr>
          <w:sz w:val="20"/>
          <w:szCs w:val="20"/>
          <w:color w:val="auto"/>
        </w:rPr>
      </w:pPr>
    </w:p>
    <w:p>
      <w:pPr>
        <w:ind w:right="80"/>
        <w:spacing w:after="0" w:line="292" w:lineRule="auto"/>
        <w:rPr>
          <w:sz w:val="20"/>
          <w:szCs w:val="20"/>
          <w:color w:val="auto"/>
        </w:rPr>
      </w:pPr>
      <w:r>
        <w:rPr>
          <w:rFonts w:ascii="Arial" w:cs="Arial" w:eastAsia="Arial" w:hAnsi="Arial"/>
          <w:sz w:val="18"/>
          <w:szCs w:val="18"/>
          <w:color w:val="auto"/>
        </w:rPr>
        <w:t>The contractual maturities of our held-to-maturity restricted investments, which are carried at amortized cost, which approximates fair value, as of September 30, 2017 are summarized below:</w:t>
      </w:r>
    </w:p>
    <w:p>
      <w:pPr>
        <w:spacing w:after="0" w:line="9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834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Arial" w:cs="Arial" w:eastAsia="Arial" w:hAnsi="Arial"/>
                <w:sz w:val="14"/>
                <w:szCs w:val="14"/>
                <w:b w:val="1"/>
                <w:bCs w:val="1"/>
                <w:color w:val="auto"/>
              </w:rPr>
              <w:t>Amortized</w:t>
            </w: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100" w:type="dxa"/>
            <w:vAlign w:val="bottom"/>
          </w:tcPr>
          <w:p>
            <w:pPr>
              <w:jc w:val="right"/>
              <w:ind w:right="323"/>
              <w:spacing w:after="0"/>
              <w:rPr>
                <w:sz w:val="20"/>
                <w:szCs w:val="20"/>
                <w:color w:val="auto"/>
              </w:rPr>
            </w:pPr>
            <w:r>
              <w:rPr>
                <w:rFonts w:ascii="Arial" w:cs="Arial" w:eastAsia="Arial" w:hAnsi="Arial"/>
                <w:sz w:val="14"/>
                <w:szCs w:val="14"/>
                <w:b w:val="1"/>
                <w:bCs w:val="1"/>
                <w:color w:val="auto"/>
              </w:rPr>
              <w:t>Estimated</w:t>
            </w:r>
          </w:p>
        </w:tc>
      </w:tr>
      <w:tr>
        <w:trPr>
          <w:trHeight w:val="203"/>
        </w:trPr>
        <w:tc>
          <w:tcPr>
            <w:tcW w:w="8340" w:type="dxa"/>
            <w:vAlign w:val="bottom"/>
          </w:tcPr>
          <w:p>
            <w:pPr>
              <w:spacing w:after="0"/>
              <w:rPr>
                <w:sz w:val="17"/>
                <w:szCs w:val="17"/>
                <w:color w:val="auto"/>
              </w:rPr>
            </w:pPr>
          </w:p>
        </w:tc>
        <w:tc>
          <w:tcPr>
            <w:tcW w:w="1120" w:type="dxa"/>
            <w:vAlign w:val="bottom"/>
            <w:tcBorders>
              <w:bottom w:val="single" w:sz="8" w:color="auto"/>
            </w:tcBorders>
          </w:tcPr>
          <w:p>
            <w:pPr>
              <w:jc w:val="right"/>
              <w:ind w:right="123"/>
              <w:spacing w:after="0"/>
              <w:rPr>
                <w:sz w:val="20"/>
                <w:szCs w:val="20"/>
                <w:color w:val="auto"/>
              </w:rPr>
            </w:pPr>
            <w:r>
              <w:rPr>
                <w:rFonts w:ascii="Arial" w:cs="Arial" w:eastAsia="Arial" w:hAnsi="Arial"/>
                <w:sz w:val="14"/>
                <w:szCs w:val="14"/>
                <w:b w:val="1"/>
                <w:bCs w:val="1"/>
                <w:color w:val="auto"/>
              </w:rPr>
              <w:t>Cost</w:t>
            </w:r>
          </w:p>
        </w:tc>
        <w:tc>
          <w:tcPr>
            <w:tcW w:w="3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323"/>
              <w:spacing w:after="0"/>
              <w:rPr>
                <w:sz w:val="20"/>
                <w:szCs w:val="20"/>
                <w:color w:val="auto"/>
              </w:rPr>
            </w:pPr>
            <w:r>
              <w:rPr>
                <w:rFonts w:ascii="Arial" w:cs="Arial" w:eastAsia="Arial" w:hAnsi="Arial"/>
                <w:sz w:val="14"/>
                <w:szCs w:val="14"/>
                <w:b w:val="1"/>
                <w:bCs w:val="1"/>
                <w:color w:val="auto"/>
              </w:rPr>
              <w:t>Fair Value</w:t>
            </w:r>
          </w:p>
        </w:tc>
      </w:tr>
      <w:tr>
        <w:trPr>
          <w:trHeight w:val="210"/>
        </w:trPr>
        <w:tc>
          <w:tcPr>
            <w:tcW w:w="83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6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millions)</w:t>
            </w:r>
          </w:p>
        </w:tc>
        <w:tc>
          <w:tcPr>
            <w:tcW w:w="1100" w:type="dxa"/>
            <w:vAlign w:val="bottom"/>
          </w:tcPr>
          <w:p>
            <w:pPr>
              <w:spacing w:after="0"/>
              <w:rPr>
                <w:sz w:val="18"/>
                <w:szCs w:val="18"/>
                <w:color w:val="auto"/>
              </w:rPr>
            </w:pPr>
          </w:p>
        </w:tc>
      </w:tr>
      <w:tr>
        <w:trPr>
          <w:trHeight w:val="271"/>
        </w:trPr>
        <w:tc>
          <w:tcPr>
            <w:tcW w:w="8340" w:type="dxa"/>
            <w:vAlign w:val="bottom"/>
            <w:shd w:val="clear" w:color="auto" w:fill="CCEEFF"/>
          </w:tcPr>
          <w:p>
            <w:pPr>
              <w:ind w:left="40"/>
              <w:spacing w:after="0"/>
              <w:rPr>
                <w:sz w:val="20"/>
                <w:szCs w:val="20"/>
                <w:color w:val="auto"/>
              </w:rPr>
            </w:pPr>
            <w:r>
              <w:rPr>
                <w:rFonts w:ascii="Arial" w:cs="Arial" w:eastAsia="Arial" w:hAnsi="Arial"/>
                <w:sz w:val="16"/>
                <w:szCs w:val="16"/>
                <w:color w:val="auto"/>
              </w:rPr>
              <w:t>Due in one year or less</w:t>
            </w:r>
          </w:p>
        </w:tc>
        <w:tc>
          <w:tcPr>
            <w:tcW w:w="1120" w:type="dxa"/>
            <w:vAlign w:val="bottom"/>
            <w:shd w:val="clear" w:color="auto" w:fill="CCEEFF"/>
          </w:tcPr>
          <w:p>
            <w:pPr>
              <w:jc w:val="right"/>
              <w:ind w:right="923"/>
              <w:spacing w:after="0"/>
              <w:rPr>
                <w:sz w:val="20"/>
                <w:szCs w:val="20"/>
                <w:color w:val="auto"/>
              </w:rPr>
            </w:pPr>
            <w:r>
              <w:rPr>
                <w:rFonts w:ascii="Arial" w:cs="Arial" w:eastAsia="Arial" w:hAnsi="Arial"/>
                <w:sz w:val="16"/>
                <w:szCs w:val="16"/>
                <w:color w:val="auto"/>
              </w:rPr>
              <w:t>$</w:t>
            </w:r>
          </w:p>
        </w:tc>
        <w:tc>
          <w:tcPr>
            <w:tcW w:w="38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w w:val="97"/>
              </w:rPr>
              <w:t>100</w:t>
            </w:r>
          </w:p>
        </w:tc>
        <w:tc>
          <w:tcPr>
            <w:tcW w:w="100" w:type="dxa"/>
            <w:vAlign w:val="bottom"/>
            <w:shd w:val="clear" w:color="auto" w:fill="CCEEFF"/>
          </w:tcPr>
          <w:p>
            <w:pPr>
              <w:spacing w:after="0"/>
              <w:rPr>
                <w:sz w:val="23"/>
                <w:szCs w:val="23"/>
                <w:color w:val="auto"/>
              </w:rPr>
            </w:pPr>
          </w:p>
        </w:tc>
        <w:tc>
          <w:tcPr>
            <w:tcW w:w="38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ind w:right="23"/>
              <w:spacing w:after="0"/>
              <w:rPr>
                <w:sz w:val="20"/>
                <w:szCs w:val="20"/>
                <w:color w:val="auto"/>
              </w:rPr>
            </w:pPr>
            <w:r>
              <w:rPr>
                <w:rFonts w:ascii="Arial" w:cs="Arial" w:eastAsia="Arial" w:hAnsi="Arial"/>
                <w:sz w:val="16"/>
                <w:szCs w:val="16"/>
                <w:color w:val="auto"/>
              </w:rPr>
              <w:t>100</w:t>
            </w:r>
          </w:p>
        </w:tc>
      </w:tr>
      <w:tr>
        <w:trPr>
          <w:trHeight w:val="264"/>
        </w:trPr>
        <w:tc>
          <w:tcPr>
            <w:tcW w:w="834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Due after one year through five years</w:t>
            </w:r>
          </w:p>
        </w:tc>
        <w:tc>
          <w:tcPr>
            <w:tcW w:w="1120" w:type="dxa"/>
            <w:vAlign w:val="bottom"/>
            <w:tcBorders>
              <w:bottom w:val="single" w:sz="8" w:color="auto"/>
            </w:tcBorders>
          </w:tcPr>
          <w:p>
            <w:pPr>
              <w:spacing w:after="0"/>
              <w:rPr>
                <w:sz w:val="22"/>
                <w:szCs w:val="22"/>
                <w:color w:val="auto"/>
              </w:rPr>
            </w:pPr>
          </w:p>
        </w:tc>
        <w:tc>
          <w:tcPr>
            <w:tcW w:w="38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17</w:t>
            </w:r>
          </w:p>
        </w:tc>
        <w:tc>
          <w:tcPr>
            <w:tcW w:w="10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23"/>
              <w:spacing w:after="0"/>
              <w:rPr>
                <w:sz w:val="20"/>
                <w:szCs w:val="20"/>
                <w:color w:val="auto"/>
              </w:rPr>
            </w:pPr>
            <w:r>
              <w:rPr>
                <w:rFonts w:ascii="Arial" w:cs="Arial" w:eastAsia="Arial" w:hAnsi="Arial"/>
                <w:sz w:val="16"/>
                <w:szCs w:val="16"/>
                <w:color w:val="auto"/>
              </w:rPr>
              <w:t>17</w:t>
            </w:r>
          </w:p>
        </w:tc>
      </w:tr>
      <w:tr>
        <w:trPr>
          <w:trHeight w:val="237"/>
        </w:trPr>
        <w:tc>
          <w:tcPr>
            <w:tcW w:w="83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auto"/>
            </w:tcBorders>
            <w:shd w:val="clear" w:color="auto" w:fill="CCEEFF"/>
          </w:tcPr>
          <w:p>
            <w:pPr>
              <w:jc w:val="right"/>
              <w:ind w:right="923"/>
              <w:spacing w:after="0"/>
              <w:rPr>
                <w:sz w:val="20"/>
                <w:szCs w:val="20"/>
                <w:color w:val="auto"/>
              </w:rPr>
            </w:pPr>
            <w:r>
              <w:rPr>
                <w:rFonts w:ascii="Arial" w:cs="Arial" w:eastAsia="Arial" w:hAnsi="Arial"/>
                <w:sz w:val="16"/>
                <w:szCs w:val="16"/>
                <w:color w:val="auto"/>
              </w:rPr>
              <w:t>$</w:t>
            </w:r>
          </w:p>
        </w:tc>
        <w:tc>
          <w:tcPr>
            <w:tcW w:w="38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w w:val="97"/>
              </w:rPr>
              <w:t>117</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6"/>
                <w:szCs w:val="16"/>
                <w:color w:val="auto"/>
              </w:rPr>
              <w:t>117</w:t>
            </w:r>
          </w:p>
        </w:tc>
      </w:tr>
      <w:tr>
        <w:trPr>
          <w:trHeight w:val="20"/>
        </w:trPr>
        <w:tc>
          <w:tcPr>
            <w:tcW w:w="834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82" w:lineRule="exact"/>
        <w:rPr>
          <w:sz w:val="20"/>
          <w:szCs w:val="20"/>
          <w:color w:val="auto"/>
        </w:rPr>
      </w:pPr>
    </w:p>
    <w:p>
      <w:pPr>
        <w:spacing w:after="0"/>
        <w:rPr>
          <w:sz w:val="20"/>
          <w:szCs w:val="20"/>
          <w:color w:val="auto"/>
        </w:rPr>
      </w:pPr>
      <w:r>
        <w:rPr>
          <w:rFonts w:ascii="Arial" w:cs="Arial" w:eastAsia="Arial" w:hAnsi="Arial"/>
          <w:sz w:val="32"/>
          <w:szCs w:val="32"/>
          <w:b w:val="1"/>
          <w:bCs w:val="1"/>
          <w:color w:val="ACACAC"/>
        </w:rPr>
        <w:t>6. Medical Claims and Benefits Payable</w:t>
      </w:r>
    </w:p>
    <w:p>
      <w:pPr>
        <w:spacing w:after="0" w:line="138" w:lineRule="exact"/>
        <w:rPr>
          <w:sz w:val="20"/>
          <w:szCs w:val="20"/>
          <w:color w:val="auto"/>
        </w:rPr>
      </w:pPr>
    </w:p>
    <w:p>
      <w:pPr>
        <w:ind w:right="280"/>
        <w:spacing w:after="0" w:line="292" w:lineRule="auto"/>
        <w:rPr>
          <w:sz w:val="20"/>
          <w:szCs w:val="20"/>
          <w:color w:val="auto"/>
        </w:rPr>
      </w:pPr>
      <w:r>
        <w:rPr>
          <w:rFonts w:ascii="Arial" w:cs="Arial" w:eastAsia="Arial" w:hAnsi="Arial"/>
          <w:sz w:val="18"/>
          <w:szCs w:val="18"/>
          <w:color w:val="auto"/>
        </w:rPr>
        <w:t>The following table provides the details of our medical claims and benefits payable (including amounts payable for the provision of long-term services and supports, or LTSS) as of the dates indicated:</w:t>
      </w:r>
    </w:p>
    <w:p>
      <w:pPr>
        <w:spacing w:after="0" w:line="17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Molina Healthcare, Inc. 2017 Form 10-Q | 16</w:t>
      </w:r>
    </w:p>
    <w:p>
      <w:pPr>
        <w:sectPr>
          <w:pgSz w:w="11900" w:h="16838" w:orient="portrait"/>
          <w:cols w:equalWidth="0" w:num="1">
            <w:col w:w="11420"/>
          </w:cols>
          <w:pgMar w:left="240" w:top="116" w:right="239" w:bottom="1440" w:gutter="0" w:footer="0" w:header="0"/>
        </w:sectPr>
      </w:pPr>
    </w:p>
    <w:bookmarkStart w:id="16" w:name="page17"/>
    <w:bookmarkEnd w:id="16"/>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ectPr>
          <w:pgSz w:w="11900" w:h="16838" w:orient="portrait"/>
          <w:cols w:equalWidth="0" w:num="1">
            <w:col w:w="11420"/>
          </w:cols>
          <w:pgMar w:left="240" w:top="116"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ind w:left="40"/>
        <w:spacing w:after="0"/>
        <w:rPr>
          <w:sz w:val="20"/>
          <w:szCs w:val="20"/>
          <w:color w:val="auto"/>
        </w:rPr>
      </w:pPr>
      <w:r>
        <w:rPr>
          <w:rFonts w:ascii="Arial" w:cs="Arial" w:eastAsia="Arial" w:hAnsi="Arial"/>
          <w:sz w:val="16"/>
          <w:szCs w:val="16"/>
          <w:color w:val="auto"/>
        </w:rPr>
        <w:t>Fee-for-service claims incurred but not paid (IBNP)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1714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40"/>
        <w:spacing w:after="0"/>
        <w:rPr>
          <w:sz w:val="20"/>
          <w:szCs w:val="20"/>
          <w:color w:val="auto"/>
        </w:rPr>
      </w:pPr>
      <w:r>
        <w:rPr>
          <w:rFonts w:ascii="Arial" w:cs="Arial" w:eastAsia="Arial" w:hAnsi="Arial"/>
          <w:sz w:val="16"/>
          <w:szCs w:val="16"/>
          <w:color w:val="auto"/>
        </w:rPr>
        <w:t>Pharmacy payable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1714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40"/>
        <w:spacing w:after="0"/>
        <w:rPr>
          <w:sz w:val="20"/>
          <w:szCs w:val="20"/>
          <w:color w:val="auto"/>
        </w:rPr>
      </w:pPr>
      <w:r>
        <w:rPr>
          <w:rFonts w:ascii="Arial" w:cs="Arial" w:eastAsia="Arial" w:hAnsi="Arial"/>
          <w:sz w:val="16"/>
          <w:szCs w:val="16"/>
          <w:color w:val="auto"/>
        </w:rPr>
        <w:t>Capitation payable</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Other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1714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2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2"/>
        </w:trPr>
        <w:tc>
          <w:tcPr>
            <w:tcW w:w="180" w:type="dxa"/>
            <w:vAlign w:val="bottom"/>
          </w:tcPr>
          <w:p>
            <w:pPr>
              <w:spacing w:after="0"/>
              <w:rPr>
                <w:sz w:val="14"/>
                <w:szCs w:val="14"/>
                <w:color w:val="auto"/>
              </w:rPr>
            </w:pPr>
          </w:p>
        </w:tc>
        <w:tc>
          <w:tcPr>
            <w:tcW w:w="1420" w:type="dxa"/>
            <w:vAlign w:val="bottom"/>
            <w:gridSpan w:val="2"/>
          </w:tcPr>
          <w:p>
            <w:pPr>
              <w:ind w:left="60"/>
              <w:spacing w:after="0"/>
              <w:rPr>
                <w:sz w:val="20"/>
                <w:szCs w:val="20"/>
                <w:color w:val="auto"/>
              </w:rPr>
            </w:pPr>
            <w:r>
              <w:rPr>
                <w:rFonts w:ascii="Arial" w:cs="Arial" w:eastAsia="Arial" w:hAnsi="Arial"/>
                <w:sz w:val="14"/>
                <w:szCs w:val="14"/>
                <w:b w:val="1"/>
                <w:bCs w:val="1"/>
                <w:color w:val="auto"/>
              </w:rPr>
              <w:t>September 30,</w:t>
            </w:r>
          </w:p>
        </w:tc>
        <w:tc>
          <w:tcPr>
            <w:tcW w:w="200" w:type="dxa"/>
            <w:vAlign w:val="bottom"/>
          </w:tcPr>
          <w:p>
            <w:pPr>
              <w:spacing w:after="0"/>
              <w:rPr>
                <w:sz w:val="14"/>
                <w:szCs w:val="14"/>
                <w:color w:val="auto"/>
              </w:rPr>
            </w:pPr>
          </w:p>
        </w:tc>
        <w:tc>
          <w:tcPr>
            <w:tcW w:w="1280" w:type="dxa"/>
            <w:vAlign w:val="bottom"/>
          </w:tcPr>
          <w:p>
            <w:pPr>
              <w:jc w:val="right"/>
              <w:ind w:right="182"/>
              <w:spacing w:after="0"/>
              <w:rPr>
                <w:sz w:val="20"/>
                <w:szCs w:val="20"/>
                <w:color w:val="auto"/>
              </w:rPr>
            </w:pPr>
            <w:r>
              <w:rPr>
                <w:rFonts w:ascii="Arial" w:cs="Arial" w:eastAsia="Arial" w:hAnsi="Arial"/>
                <w:sz w:val="14"/>
                <w:szCs w:val="14"/>
                <w:b w:val="1"/>
                <w:bCs w:val="1"/>
                <w:color w:val="auto"/>
              </w:rPr>
              <w:t>December 31,</w:t>
            </w:r>
          </w:p>
        </w:tc>
      </w:tr>
      <w:tr>
        <w:trPr>
          <w:trHeight w:val="203"/>
        </w:trPr>
        <w:tc>
          <w:tcPr>
            <w:tcW w:w="18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ind w:right="502"/>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ind w:right="502"/>
              <w:spacing w:after="0"/>
              <w:rPr>
                <w:sz w:val="20"/>
                <w:szCs w:val="20"/>
                <w:color w:val="auto"/>
              </w:rPr>
            </w:pPr>
            <w:r>
              <w:rPr>
                <w:rFonts w:ascii="Arial" w:cs="Arial" w:eastAsia="Arial" w:hAnsi="Arial"/>
                <w:sz w:val="14"/>
                <w:szCs w:val="14"/>
                <w:b w:val="1"/>
                <w:bCs w:val="1"/>
                <w:color w:val="auto"/>
              </w:rPr>
              <w:t>2016</w:t>
            </w:r>
          </w:p>
        </w:tc>
      </w:tr>
      <w:tr>
        <w:trPr>
          <w:trHeight w:val="209"/>
        </w:trPr>
        <w:tc>
          <w:tcPr>
            <w:tcW w:w="180" w:type="dxa"/>
            <w:vAlign w:val="bottom"/>
          </w:tcPr>
          <w:p>
            <w:pPr>
              <w:spacing w:after="0"/>
              <w:rPr>
                <w:sz w:val="18"/>
                <w:szCs w:val="18"/>
                <w:color w:val="auto"/>
              </w:rPr>
            </w:pPr>
          </w:p>
        </w:tc>
        <w:tc>
          <w:tcPr>
            <w:tcW w:w="2900" w:type="dxa"/>
            <w:vAlign w:val="bottom"/>
            <w:gridSpan w:val="4"/>
          </w:tcPr>
          <w:p>
            <w:pPr>
              <w:jc w:val="right"/>
              <w:ind w:right="1042"/>
              <w:spacing w:after="0"/>
              <w:rPr>
                <w:sz w:val="20"/>
                <w:szCs w:val="20"/>
                <w:color w:val="auto"/>
              </w:rPr>
            </w:pPr>
            <w:r>
              <w:rPr>
                <w:rFonts w:ascii="Arial" w:cs="Arial" w:eastAsia="Arial" w:hAnsi="Arial"/>
                <w:sz w:val="14"/>
                <w:szCs w:val="14"/>
                <w:b w:val="1"/>
                <w:bCs w:val="1"/>
                <w:color w:val="auto"/>
              </w:rPr>
              <w:t>(In millions)</w:t>
            </w:r>
          </w:p>
        </w:tc>
      </w:tr>
      <w:tr>
        <w:trPr>
          <w:trHeight w:val="257"/>
        </w:trPr>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320" w:type="dxa"/>
            <w:vAlign w:val="bottom"/>
          </w:tcPr>
          <w:p>
            <w:pPr>
              <w:jc w:val="right"/>
              <w:ind w:right="22"/>
              <w:spacing w:after="0"/>
              <w:rPr>
                <w:sz w:val="20"/>
                <w:szCs w:val="20"/>
                <w:color w:val="auto"/>
              </w:rPr>
            </w:pPr>
            <w:r>
              <w:rPr>
                <w:rFonts w:ascii="Arial" w:cs="Arial" w:eastAsia="Arial" w:hAnsi="Arial"/>
                <w:sz w:val="16"/>
                <w:szCs w:val="16"/>
                <w:color w:val="auto"/>
              </w:rPr>
              <w:t>1,681</w:t>
            </w:r>
          </w:p>
        </w:tc>
        <w:tc>
          <w:tcPr>
            <w:tcW w:w="100" w:type="dxa"/>
            <w:vAlign w:val="bottom"/>
          </w:tcPr>
          <w:p>
            <w:pPr>
              <w:spacing w:after="0"/>
              <w:rPr>
                <w:sz w:val="22"/>
                <w:szCs w:val="22"/>
                <w:color w:val="auto"/>
              </w:rPr>
            </w:pP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280" w:type="dxa"/>
            <w:vAlign w:val="bottom"/>
          </w:tcPr>
          <w:p>
            <w:pPr>
              <w:jc w:val="right"/>
              <w:ind w:right="22"/>
              <w:spacing w:after="0"/>
              <w:rPr>
                <w:sz w:val="20"/>
                <w:szCs w:val="20"/>
                <w:color w:val="auto"/>
              </w:rPr>
            </w:pPr>
            <w:r>
              <w:rPr>
                <w:rFonts w:ascii="Arial" w:cs="Arial" w:eastAsia="Arial" w:hAnsi="Arial"/>
                <w:sz w:val="16"/>
                <w:szCs w:val="16"/>
                <w:color w:val="auto"/>
              </w:rPr>
              <w:t>1,352</w:t>
            </w:r>
          </w:p>
        </w:tc>
      </w:tr>
      <w:tr>
        <w:trPr>
          <w:trHeight w:val="270"/>
        </w:trPr>
        <w:tc>
          <w:tcPr>
            <w:tcW w:w="180" w:type="dxa"/>
            <w:vAlign w:val="bottom"/>
          </w:tcPr>
          <w:p>
            <w:pPr>
              <w:spacing w:after="0"/>
              <w:rPr>
                <w:sz w:val="23"/>
                <w:szCs w:val="23"/>
                <w:color w:val="auto"/>
              </w:rPr>
            </w:pPr>
          </w:p>
        </w:tc>
        <w:tc>
          <w:tcPr>
            <w:tcW w:w="1320" w:type="dxa"/>
            <w:vAlign w:val="bottom"/>
          </w:tcPr>
          <w:p>
            <w:pPr>
              <w:jc w:val="right"/>
              <w:ind w:right="22"/>
              <w:spacing w:after="0"/>
              <w:rPr>
                <w:sz w:val="20"/>
                <w:szCs w:val="20"/>
                <w:color w:val="auto"/>
              </w:rPr>
            </w:pPr>
            <w:r>
              <w:rPr>
                <w:rFonts w:ascii="Arial" w:cs="Arial" w:eastAsia="Arial" w:hAnsi="Arial"/>
                <w:sz w:val="16"/>
                <w:szCs w:val="16"/>
                <w:color w:val="auto"/>
              </w:rPr>
              <w:t>125</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80" w:type="dxa"/>
            <w:vAlign w:val="bottom"/>
          </w:tcPr>
          <w:p>
            <w:pPr>
              <w:jc w:val="right"/>
              <w:ind w:right="22"/>
              <w:spacing w:after="0"/>
              <w:rPr>
                <w:sz w:val="20"/>
                <w:szCs w:val="20"/>
                <w:color w:val="auto"/>
              </w:rPr>
            </w:pPr>
            <w:r>
              <w:rPr>
                <w:rFonts w:ascii="Arial" w:cs="Arial" w:eastAsia="Arial" w:hAnsi="Arial"/>
                <w:sz w:val="16"/>
                <w:szCs w:val="16"/>
                <w:color w:val="auto"/>
              </w:rPr>
              <w:t>112</w:t>
            </w:r>
          </w:p>
        </w:tc>
      </w:tr>
      <w:tr>
        <w:trPr>
          <w:trHeight w:val="270"/>
        </w:trPr>
        <w:tc>
          <w:tcPr>
            <w:tcW w:w="180" w:type="dxa"/>
            <w:vAlign w:val="bottom"/>
          </w:tcPr>
          <w:p>
            <w:pPr>
              <w:spacing w:after="0"/>
              <w:rPr>
                <w:sz w:val="23"/>
                <w:szCs w:val="23"/>
                <w:color w:val="auto"/>
              </w:rPr>
            </w:pPr>
          </w:p>
        </w:tc>
        <w:tc>
          <w:tcPr>
            <w:tcW w:w="1320" w:type="dxa"/>
            <w:vAlign w:val="bottom"/>
          </w:tcPr>
          <w:p>
            <w:pPr>
              <w:jc w:val="right"/>
              <w:ind w:right="22"/>
              <w:spacing w:after="0"/>
              <w:rPr>
                <w:sz w:val="20"/>
                <w:szCs w:val="20"/>
                <w:color w:val="auto"/>
              </w:rPr>
            </w:pPr>
            <w:r>
              <w:rPr>
                <w:rFonts w:ascii="Arial" w:cs="Arial" w:eastAsia="Arial" w:hAnsi="Arial"/>
                <w:sz w:val="16"/>
                <w:szCs w:val="16"/>
                <w:color w:val="auto"/>
              </w:rPr>
              <w:t>57</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80" w:type="dxa"/>
            <w:vAlign w:val="bottom"/>
          </w:tcPr>
          <w:p>
            <w:pPr>
              <w:jc w:val="right"/>
              <w:ind w:right="22"/>
              <w:spacing w:after="0"/>
              <w:rPr>
                <w:sz w:val="20"/>
                <w:szCs w:val="20"/>
                <w:color w:val="auto"/>
              </w:rPr>
            </w:pPr>
            <w:r>
              <w:rPr>
                <w:rFonts w:ascii="Arial" w:cs="Arial" w:eastAsia="Arial" w:hAnsi="Arial"/>
                <w:sz w:val="16"/>
                <w:szCs w:val="16"/>
                <w:color w:val="auto"/>
              </w:rPr>
              <w:t>37</w:t>
            </w:r>
          </w:p>
        </w:tc>
      </w:tr>
      <w:tr>
        <w:trPr>
          <w:trHeight w:val="279"/>
        </w:trPr>
        <w:tc>
          <w:tcPr>
            <w:tcW w:w="18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jc w:val="right"/>
              <w:ind w:right="22"/>
              <w:spacing w:after="0"/>
              <w:rPr>
                <w:sz w:val="20"/>
                <w:szCs w:val="20"/>
                <w:color w:val="auto"/>
              </w:rPr>
            </w:pPr>
            <w:r>
              <w:rPr>
                <w:rFonts w:ascii="Arial" w:cs="Arial" w:eastAsia="Arial" w:hAnsi="Arial"/>
                <w:sz w:val="16"/>
                <w:szCs w:val="16"/>
                <w:color w:val="auto"/>
              </w:rPr>
              <w:t>615</w:t>
            </w:r>
          </w:p>
        </w:tc>
        <w:tc>
          <w:tcPr>
            <w:tcW w:w="10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jc w:val="right"/>
              <w:ind w:right="22"/>
              <w:spacing w:after="0"/>
              <w:rPr>
                <w:sz w:val="20"/>
                <w:szCs w:val="20"/>
                <w:color w:val="auto"/>
              </w:rPr>
            </w:pPr>
            <w:r>
              <w:rPr>
                <w:rFonts w:ascii="Arial" w:cs="Arial" w:eastAsia="Arial" w:hAnsi="Arial"/>
                <w:sz w:val="16"/>
                <w:szCs w:val="16"/>
                <w:color w:val="auto"/>
              </w:rPr>
              <w:t>428</w:t>
            </w:r>
          </w:p>
        </w:tc>
      </w:tr>
      <w:tr>
        <w:trPr>
          <w:trHeight w:val="237"/>
        </w:trPr>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auto"/>
            </w:tcBorders>
          </w:tcPr>
          <w:p>
            <w:pPr>
              <w:jc w:val="right"/>
              <w:ind w:right="22"/>
              <w:spacing w:after="0"/>
              <w:rPr>
                <w:sz w:val="20"/>
                <w:szCs w:val="20"/>
                <w:color w:val="auto"/>
              </w:rPr>
            </w:pPr>
            <w:r>
              <w:rPr>
                <w:rFonts w:ascii="Arial" w:cs="Arial" w:eastAsia="Arial" w:hAnsi="Arial"/>
                <w:sz w:val="16"/>
                <w:szCs w:val="16"/>
                <w:color w:val="auto"/>
              </w:rPr>
              <w:t>2,478</w:t>
            </w:r>
          </w:p>
        </w:tc>
        <w:tc>
          <w:tcPr>
            <w:tcW w:w="100" w:type="dxa"/>
            <w:vAlign w:val="bottom"/>
          </w:tcPr>
          <w:p>
            <w:pPr>
              <w:spacing w:after="0"/>
              <w:rPr>
                <w:sz w:val="20"/>
                <w:szCs w:val="20"/>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auto"/>
            </w:tcBorders>
          </w:tcPr>
          <w:p>
            <w:pPr>
              <w:jc w:val="right"/>
              <w:ind w:right="22"/>
              <w:spacing w:after="0"/>
              <w:rPr>
                <w:sz w:val="20"/>
                <w:szCs w:val="20"/>
                <w:color w:val="auto"/>
              </w:rPr>
            </w:pPr>
            <w:r>
              <w:rPr>
                <w:rFonts w:ascii="Arial" w:cs="Arial" w:eastAsia="Arial" w:hAnsi="Arial"/>
                <w:sz w:val="16"/>
                <w:szCs w:val="16"/>
                <w:color w:val="auto"/>
              </w:rPr>
              <w:t>1,929</w:t>
            </w:r>
          </w:p>
        </w:tc>
      </w:tr>
      <w:tr>
        <w:trPr>
          <w:trHeight w:val="20"/>
        </w:trPr>
        <w:tc>
          <w:tcPr>
            <w:tcW w:w="1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85" w:lineRule="exact"/>
        <w:rPr>
          <w:sz w:val="20"/>
          <w:szCs w:val="20"/>
          <w:color w:val="auto"/>
        </w:rPr>
      </w:pPr>
    </w:p>
    <w:p>
      <w:pPr>
        <w:sectPr>
          <w:pgSz w:w="11900" w:h="16838" w:orient="portrait"/>
          <w:cols w:equalWidth="0" w:num="2">
            <w:col w:w="7620" w:space="720"/>
            <w:col w:w="3080"/>
          </w:cols>
          <w:pgMar w:left="240" w:top="116" w:right="239" w:bottom="1440" w:gutter="0" w:footer="0" w:header="0"/>
          <w:type w:val="continuous"/>
        </w:sectPr>
      </w:pPr>
    </w:p>
    <w:p>
      <w:pPr>
        <w:ind w:right="420"/>
        <w:spacing w:after="0" w:line="264" w:lineRule="auto"/>
        <w:rPr>
          <w:sz w:val="20"/>
          <w:szCs w:val="20"/>
          <w:color w:val="auto"/>
        </w:rPr>
      </w:pPr>
      <w:r>
        <w:rPr>
          <w:rFonts w:ascii="Arial" w:cs="Arial" w:eastAsia="Arial" w:hAnsi="Arial"/>
          <w:sz w:val="18"/>
          <w:szCs w:val="18"/>
          <w:color w:val="auto"/>
        </w:rPr>
        <w:t>“Other” medical claims and benefits payable include amounts payable to certain providers for which we act as an intermediary on behalf of various government agencies without assuming financial risk. Such receipts and payments do not impact our consolidated statements of operations. Non-risk provider payables amounted to $403 million and $225 million as of September 30, 2017 and December 31, 2016, respectively.</w:t>
      </w:r>
    </w:p>
    <w:p>
      <w:pPr>
        <w:spacing w:after="0" w:line="62" w:lineRule="exact"/>
        <w:rPr>
          <w:sz w:val="20"/>
          <w:szCs w:val="20"/>
          <w:color w:val="auto"/>
        </w:rPr>
      </w:pPr>
    </w:p>
    <w:p>
      <w:pPr>
        <w:ind w:right="80"/>
        <w:spacing w:after="0" w:line="292" w:lineRule="auto"/>
        <w:rPr>
          <w:sz w:val="20"/>
          <w:szCs w:val="20"/>
          <w:color w:val="auto"/>
        </w:rPr>
      </w:pPr>
      <w:r>
        <w:rPr>
          <w:rFonts w:ascii="Arial" w:cs="Arial" w:eastAsia="Arial" w:hAnsi="Arial"/>
          <w:sz w:val="18"/>
          <w:szCs w:val="18"/>
          <w:color w:val="auto"/>
        </w:rPr>
        <w:t>Reinsurance recoverables of $16 million and $72 million as of September 30, 2017 and 2016, respectively, are included in “Receivables” in the accompanying consolidated balance sheets.</w:t>
      </w:r>
    </w:p>
    <w:p>
      <w:pPr>
        <w:spacing w:after="0" w:line="37"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The following table presents the components of the change in our medical claims and benefits payable for the periods indicated. The amounts presented for “Components of medical care costs related to: Prior periods” represent the amounts by which our original estimate of medical claims and benefits payable at the beginning of the period were less (more) than the actual amount of the liability based on information (principally the payment of claims) developed since that liability was first reported.</w:t>
      </w:r>
    </w:p>
    <w:p>
      <w:pPr>
        <w:spacing w:after="0" w:line="285" w:lineRule="exact"/>
        <w:rPr>
          <w:sz w:val="20"/>
          <w:szCs w:val="20"/>
          <w:color w:val="auto"/>
        </w:rPr>
      </w:pPr>
    </w:p>
    <w:p>
      <w:pPr>
        <w:jc w:val="center"/>
        <w:ind w:left="7980"/>
        <w:spacing w:after="0"/>
        <w:rPr>
          <w:sz w:val="20"/>
          <w:szCs w:val="20"/>
          <w:color w:val="auto"/>
        </w:rPr>
      </w:pPr>
      <w:r>
        <w:rPr>
          <w:rFonts w:ascii="Arial" w:cs="Arial" w:eastAsia="Arial" w:hAnsi="Arial"/>
          <w:sz w:val="14"/>
          <w:szCs w:val="14"/>
          <w:b w:val="1"/>
          <w:bCs w:val="1"/>
          <w:color w:val="auto"/>
        </w:rPr>
        <w:t>Nine Months Ended 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5056505</wp:posOffset>
            </wp:positionH>
            <wp:positionV relativeFrom="paragraph">
              <wp:posOffset>27305</wp:posOffset>
            </wp:positionV>
            <wp:extent cx="219519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195195" cy="8890"/>
                    </a:xfrm>
                    <a:prstGeom prst="rect">
                      <a:avLst/>
                    </a:prstGeom>
                    <a:noFill/>
                  </pic:spPr>
                </pic:pic>
              </a:graphicData>
            </a:graphic>
          </wp:anchor>
        </w:drawing>
      </w:r>
    </w:p>
    <w:p>
      <w:pPr>
        <w:spacing w:after="0" w:line="103" w:lineRule="exact"/>
        <w:rPr>
          <w:sz w:val="20"/>
          <w:szCs w:val="20"/>
          <w:color w:val="auto"/>
        </w:rPr>
      </w:pPr>
    </w:p>
    <w:p>
      <w:pPr>
        <w:ind w:left="8660"/>
        <w:spacing w:after="0"/>
        <w:tabs>
          <w:tab w:leader="none" w:pos="10420" w:val="left"/>
        </w:tabs>
        <w:rPr>
          <w:sz w:val="20"/>
          <w:szCs w:val="20"/>
          <w:color w:val="auto"/>
        </w:rPr>
      </w:pPr>
      <w:r>
        <w:rPr>
          <w:rFonts w:ascii="Arial" w:cs="Arial" w:eastAsia="Arial" w:hAnsi="Arial"/>
          <w:sz w:val="14"/>
          <w:szCs w:val="14"/>
          <w:b w:val="1"/>
          <w:bCs w:val="1"/>
          <w:color w:val="auto"/>
        </w:rPr>
        <w:t>2017</w:t>
      </w:r>
      <w:r>
        <w:rPr>
          <w:sz w:val="20"/>
          <w:szCs w:val="20"/>
          <w:color w:val="auto"/>
        </w:rPr>
        <w:tab/>
      </w:r>
      <w:r>
        <w:rPr>
          <w:rFonts w:ascii="Arial" w:cs="Arial" w:eastAsia="Arial" w:hAnsi="Arial"/>
          <w:sz w:val="14"/>
          <w:szCs w:val="14"/>
          <w:b w:val="1"/>
          <w:bCs w:val="1"/>
          <w:color w:val="auto"/>
        </w:rPr>
        <w:t>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5056505</wp:posOffset>
            </wp:positionH>
            <wp:positionV relativeFrom="paragraph">
              <wp:posOffset>27305</wp:posOffset>
            </wp:positionV>
            <wp:extent cx="219519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195195" cy="8890"/>
                    </a:xfrm>
                    <a:prstGeom prst="rect">
                      <a:avLst/>
                    </a:prstGeom>
                    <a:noFill/>
                  </pic:spPr>
                </pic:pic>
              </a:graphicData>
            </a:graphic>
          </wp:anchor>
        </w:drawing>
      </w:r>
    </w:p>
    <w:p>
      <w:pPr>
        <w:spacing w:after="0" w:line="49" w:lineRule="exact"/>
        <w:rPr>
          <w:sz w:val="20"/>
          <w:szCs w:val="20"/>
          <w:color w:val="auto"/>
        </w:rPr>
      </w:pPr>
    </w:p>
    <w:p>
      <w:pPr>
        <w:ind w:left="9040"/>
        <w:spacing w:after="0"/>
        <w:rPr>
          <w:sz w:val="20"/>
          <w:szCs w:val="20"/>
          <w:color w:val="auto"/>
        </w:rPr>
      </w:pPr>
      <w:r>
        <w:rPr>
          <w:rFonts w:ascii="Arial" w:cs="Arial" w:eastAsia="Arial" w:hAnsi="Arial"/>
          <w:sz w:val="14"/>
          <w:szCs w:val="14"/>
          <w:b w:val="1"/>
          <w:bCs w:val="1"/>
          <w:color w:val="auto"/>
        </w:rPr>
        <w:t>(Dollars in millions)</w:t>
      </w:r>
    </w:p>
    <w:p>
      <w:pPr>
        <w:spacing w:after="0" w:line="61" w:lineRule="exact"/>
        <w:rPr>
          <w:sz w:val="20"/>
          <w:szCs w:val="20"/>
          <w:color w:val="auto"/>
        </w:rPr>
      </w:pPr>
    </w:p>
    <w:tbl>
      <w:tblPr>
        <w:tblLayout w:type="fixed"/>
        <w:tblInd w:w="0" w:type="dxa"/>
        <w:tblCellMar>
          <w:top w:w="0" w:type="dxa"/>
          <w:left w:w="0" w:type="dxa"/>
          <w:bottom w:w="0" w:type="dxa"/>
          <w:right w:w="0" w:type="dxa"/>
        </w:tblCellMar>
      </w:tblPr>
      <w:tr>
        <w:trPr>
          <w:trHeight w:val="252"/>
        </w:trPr>
        <w:tc>
          <w:tcPr>
            <w:tcW w:w="7960" w:type="dxa"/>
            <w:vAlign w:val="bottom"/>
            <w:shd w:val="clear" w:color="auto" w:fill="CCEEFF"/>
          </w:tcPr>
          <w:p>
            <w:pPr>
              <w:ind w:left="40"/>
              <w:spacing w:after="0"/>
              <w:rPr>
                <w:sz w:val="20"/>
                <w:szCs w:val="20"/>
                <w:color w:val="auto"/>
              </w:rPr>
            </w:pPr>
            <w:r>
              <w:rPr>
                <w:rFonts w:ascii="Arial" w:cs="Arial" w:eastAsia="Arial" w:hAnsi="Arial"/>
                <w:sz w:val="16"/>
                <w:szCs w:val="16"/>
                <w:color w:val="auto"/>
              </w:rPr>
              <w:t>Medical claims and benefits payable, beginning balance</w:t>
            </w:r>
          </w:p>
        </w:tc>
        <w:tc>
          <w:tcPr>
            <w:tcW w:w="540" w:type="dxa"/>
            <w:vAlign w:val="bottom"/>
            <w:shd w:val="clear" w:color="auto" w:fill="CCEEFF"/>
          </w:tcPr>
          <w:p>
            <w:pPr>
              <w:jc w:val="right"/>
              <w:ind w:right="339"/>
              <w:spacing w:after="0"/>
              <w:rPr>
                <w:sz w:val="20"/>
                <w:szCs w:val="20"/>
                <w:color w:val="auto"/>
              </w:rPr>
            </w:pPr>
            <w:r>
              <w:rPr>
                <w:rFonts w:ascii="Arial" w:cs="Arial" w:eastAsia="Arial" w:hAnsi="Arial"/>
                <w:sz w:val="16"/>
                <w:szCs w:val="16"/>
                <w:color w:val="auto"/>
              </w:rPr>
              <w:t>$</w:t>
            </w:r>
          </w:p>
        </w:tc>
        <w:tc>
          <w:tcPr>
            <w:tcW w:w="116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1,929</w:t>
            </w:r>
          </w:p>
        </w:tc>
        <w:tc>
          <w:tcPr>
            <w:tcW w:w="120" w:type="dxa"/>
            <w:vAlign w:val="bottom"/>
            <w:shd w:val="clear" w:color="auto" w:fill="CCEEFF"/>
          </w:tcPr>
          <w:p>
            <w:pPr>
              <w:spacing w:after="0"/>
              <w:rPr>
                <w:sz w:val="21"/>
                <w:szCs w:val="21"/>
                <w:color w:val="auto"/>
              </w:rPr>
            </w:pPr>
          </w:p>
        </w:tc>
        <w:tc>
          <w:tcPr>
            <w:tcW w:w="54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1,685</w:t>
            </w:r>
          </w:p>
        </w:tc>
        <w:tc>
          <w:tcPr>
            <w:tcW w:w="0" w:type="dxa"/>
            <w:vAlign w:val="bottom"/>
          </w:tcPr>
          <w:p>
            <w:pPr>
              <w:spacing w:after="0"/>
              <w:rPr>
                <w:sz w:val="1"/>
                <w:szCs w:val="1"/>
                <w:color w:val="auto"/>
              </w:rPr>
            </w:pPr>
          </w:p>
        </w:tc>
      </w:tr>
      <w:tr>
        <w:trPr>
          <w:trHeight w:val="262"/>
        </w:trPr>
        <w:tc>
          <w:tcPr>
            <w:tcW w:w="7960" w:type="dxa"/>
            <w:vAlign w:val="bottom"/>
          </w:tcPr>
          <w:p>
            <w:pPr>
              <w:ind w:left="40"/>
              <w:spacing w:after="0"/>
              <w:rPr>
                <w:sz w:val="20"/>
                <w:szCs w:val="20"/>
                <w:color w:val="auto"/>
              </w:rPr>
            </w:pPr>
            <w:r>
              <w:rPr>
                <w:rFonts w:ascii="Arial" w:cs="Arial" w:eastAsia="Arial" w:hAnsi="Arial"/>
                <w:sz w:val="16"/>
                <w:szCs w:val="16"/>
                <w:color w:val="auto"/>
              </w:rPr>
              <w:t>Components of medical care costs related to:</w:t>
            </w:r>
          </w:p>
        </w:tc>
        <w:tc>
          <w:tcPr>
            <w:tcW w:w="54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8"/>
        </w:trPr>
        <w:tc>
          <w:tcPr>
            <w:tcW w:w="7960" w:type="dxa"/>
            <w:vAlign w:val="bottom"/>
            <w:shd w:val="clear" w:color="auto" w:fill="CCEEFF"/>
          </w:tcPr>
          <w:p>
            <w:pPr>
              <w:ind w:left="380"/>
              <w:spacing w:after="0"/>
              <w:rPr>
                <w:sz w:val="20"/>
                <w:szCs w:val="20"/>
                <w:color w:val="auto"/>
              </w:rPr>
            </w:pPr>
            <w:r>
              <w:rPr>
                <w:rFonts w:ascii="Arial" w:cs="Arial" w:eastAsia="Arial" w:hAnsi="Arial"/>
                <w:sz w:val="16"/>
                <w:szCs w:val="16"/>
                <w:color w:val="auto"/>
              </w:rPr>
              <w:t>Current period</w:t>
            </w:r>
          </w:p>
        </w:tc>
        <w:tc>
          <w:tcPr>
            <w:tcW w:w="54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12,813</w:t>
            </w:r>
          </w:p>
        </w:tc>
        <w:tc>
          <w:tcPr>
            <w:tcW w:w="120" w:type="dxa"/>
            <w:vAlign w:val="bottom"/>
            <w:shd w:val="clear" w:color="auto" w:fill="CCEEFF"/>
          </w:tcPr>
          <w:p>
            <w:pPr>
              <w:spacing w:after="0"/>
              <w:rPr>
                <w:sz w:val="24"/>
                <w:szCs w:val="24"/>
                <w:color w:val="auto"/>
              </w:rPr>
            </w:pPr>
          </w:p>
        </w:tc>
        <w:tc>
          <w:tcPr>
            <w:tcW w:w="54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11,120</w:t>
            </w:r>
          </w:p>
        </w:tc>
        <w:tc>
          <w:tcPr>
            <w:tcW w:w="0" w:type="dxa"/>
            <w:vAlign w:val="bottom"/>
          </w:tcPr>
          <w:p>
            <w:pPr>
              <w:spacing w:after="0"/>
              <w:rPr>
                <w:sz w:val="1"/>
                <w:szCs w:val="1"/>
                <w:color w:val="auto"/>
              </w:rPr>
            </w:pPr>
          </w:p>
        </w:tc>
      </w:tr>
      <w:tr>
        <w:trPr>
          <w:trHeight w:val="264"/>
        </w:trPr>
        <w:tc>
          <w:tcPr>
            <w:tcW w:w="7960" w:type="dxa"/>
            <w:vAlign w:val="bottom"/>
            <w:tcBorders>
              <w:bottom w:val="single" w:sz="8" w:color="CCEEFF"/>
            </w:tcBorders>
          </w:tcPr>
          <w:p>
            <w:pPr>
              <w:ind w:left="380"/>
              <w:spacing w:after="0"/>
              <w:rPr>
                <w:sz w:val="20"/>
                <w:szCs w:val="20"/>
                <w:color w:val="auto"/>
              </w:rPr>
            </w:pPr>
            <w:r>
              <w:rPr>
                <w:rFonts w:ascii="Arial" w:cs="Arial" w:eastAsia="Arial" w:hAnsi="Arial"/>
                <w:sz w:val="16"/>
                <w:szCs w:val="16"/>
                <w:color w:val="auto"/>
              </w:rPr>
              <w:t>Prior periods</w:t>
            </w:r>
          </w:p>
        </w:tc>
        <w:tc>
          <w:tcPr>
            <w:tcW w:w="54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9</w:t>
            </w:r>
          </w:p>
        </w:tc>
        <w:tc>
          <w:tcPr>
            <w:tcW w:w="120" w:type="dxa"/>
            <w:vAlign w:val="bottom"/>
            <w:tcBorders>
              <w:bottom w:val="single" w:sz="8" w:color="CCEEFF"/>
            </w:tcBorders>
          </w:tcPr>
          <w:p>
            <w:pPr>
              <w:spacing w:after="0"/>
              <w:rPr>
                <w:sz w:val="22"/>
                <w:szCs w:val="22"/>
                <w:color w:val="auto"/>
              </w:rPr>
            </w:pPr>
          </w:p>
        </w:tc>
        <w:tc>
          <w:tcPr>
            <w:tcW w:w="54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(190)</w:t>
            </w:r>
          </w:p>
        </w:tc>
        <w:tc>
          <w:tcPr>
            <w:tcW w:w="0" w:type="dxa"/>
            <w:vAlign w:val="bottom"/>
          </w:tcPr>
          <w:p>
            <w:pPr>
              <w:spacing w:after="0"/>
              <w:rPr>
                <w:sz w:val="1"/>
                <w:szCs w:val="1"/>
                <w:color w:val="auto"/>
              </w:rPr>
            </w:pPr>
          </w:p>
        </w:tc>
      </w:tr>
      <w:tr>
        <w:trPr>
          <w:trHeight w:val="250"/>
        </w:trPr>
        <w:tc>
          <w:tcPr>
            <w:tcW w:w="7960" w:type="dxa"/>
            <w:vAlign w:val="bottom"/>
            <w:shd w:val="clear" w:color="auto" w:fill="CCEEFF"/>
          </w:tcPr>
          <w:p>
            <w:pPr>
              <w:ind w:left="500"/>
              <w:spacing w:after="0"/>
              <w:rPr>
                <w:sz w:val="20"/>
                <w:szCs w:val="20"/>
                <w:color w:val="auto"/>
              </w:rPr>
            </w:pPr>
            <w:r>
              <w:rPr>
                <w:rFonts w:ascii="Arial" w:cs="Arial" w:eastAsia="Arial" w:hAnsi="Arial"/>
                <w:sz w:val="16"/>
                <w:szCs w:val="16"/>
                <w:color w:val="auto"/>
              </w:rPr>
              <w:t>Total medical care costs</w:t>
            </w:r>
          </w:p>
        </w:tc>
        <w:tc>
          <w:tcPr>
            <w:tcW w:w="540" w:type="dxa"/>
            <w:vAlign w:val="bottom"/>
            <w:tcBorders>
              <w:bottom w:val="single" w:sz="8" w:color="auto"/>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12,822</w:t>
            </w:r>
          </w:p>
        </w:tc>
        <w:tc>
          <w:tcPr>
            <w:tcW w:w="120" w:type="dxa"/>
            <w:vAlign w:val="bottom"/>
            <w:shd w:val="clear" w:color="auto" w:fill="CCEEFF"/>
          </w:tcPr>
          <w:p>
            <w:pPr>
              <w:spacing w:after="0"/>
              <w:rPr>
                <w:sz w:val="21"/>
                <w:szCs w:val="21"/>
                <w:color w:val="auto"/>
              </w:rPr>
            </w:pPr>
          </w:p>
        </w:tc>
        <w:tc>
          <w:tcPr>
            <w:tcW w:w="54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10,930</w:t>
            </w:r>
          </w:p>
        </w:tc>
        <w:tc>
          <w:tcPr>
            <w:tcW w:w="0" w:type="dxa"/>
            <w:vAlign w:val="bottom"/>
          </w:tcPr>
          <w:p>
            <w:pPr>
              <w:spacing w:after="0"/>
              <w:rPr>
                <w:sz w:val="1"/>
                <w:szCs w:val="1"/>
                <w:color w:val="auto"/>
              </w:rPr>
            </w:pPr>
          </w:p>
        </w:tc>
      </w:tr>
      <w:tr>
        <w:trPr>
          <w:trHeight w:val="122"/>
        </w:trPr>
        <w:tc>
          <w:tcPr>
            <w:tcW w:w="79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7960" w:type="dxa"/>
            <w:vAlign w:val="bottom"/>
            <w:shd w:val="clear" w:color="auto" w:fill="CCEEFF"/>
          </w:tcPr>
          <w:p>
            <w:pPr>
              <w:ind w:left="40"/>
              <w:spacing w:after="0"/>
              <w:rPr>
                <w:sz w:val="20"/>
                <w:szCs w:val="20"/>
                <w:color w:val="auto"/>
              </w:rPr>
            </w:pPr>
            <w:r>
              <w:rPr>
                <w:rFonts w:ascii="Arial" w:cs="Arial" w:eastAsia="Arial" w:hAnsi="Arial"/>
                <w:sz w:val="16"/>
                <w:szCs w:val="16"/>
                <w:color w:val="auto"/>
              </w:rPr>
              <w:t>Change in non-risk provider payables</w:t>
            </w:r>
          </w:p>
        </w:tc>
        <w:tc>
          <w:tcPr>
            <w:tcW w:w="540" w:type="dxa"/>
            <w:vAlign w:val="bottom"/>
            <w:tcBorders>
              <w:bottom w:val="single" w:sz="8" w:color="auto"/>
            </w:tcBorders>
            <w:shd w:val="clear" w:color="auto" w:fill="CCEEFF"/>
          </w:tcPr>
          <w:p>
            <w:pPr>
              <w:spacing w:after="0"/>
              <w:rPr>
                <w:sz w:val="22"/>
                <w:szCs w:val="22"/>
                <w:color w:val="auto"/>
              </w:rPr>
            </w:pPr>
          </w:p>
        </w:tc>
        <w:tc>
          <w:tcPr>
            <w:tcW w:w="116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172</w:t>
            </w:r>
          </w:p>
        </w:tc>
        <w:tc>
          <w:tcPr>
            <w:tcW w:w="120" w:type="dxa"/>
            <w:vAlign w:val="bottom"/>
            <w:shd w:val="clear" w:color="auto" w:fill="CCEEFF"/>
          </w:tcPr>
          <w:p>
            <w:pPr>
              <w:spacing w:after="0"/>
              <w:rPr>
                <w:sz w:val="22"/>
                <w:szCs w:val="22"/>
                <w:color w:val="auto"/>
              </w:rPr>
            </w:pPr>
          </w:p>
        </w:tc>
        <w:tc>
          <w:tcPr>
            <w:tcW w:w="540" w:type="dxa"/>
            <w:vAlign w:val="bottom"/>
            <w:tcBorders>
              <w:bottom w:val="single" w:sz="8" w:color="auto"/>
            </w:tcBorders>
            <w:shd w:val="clear" w:color="auto" w:fill="CCEEFF"/>
          </w:tcPr>
          <w:p>
            <w:pPr>
              <w:spacing w:after="0"/>
              <w:rPr>
                <w:sz w:val="22"/>
                <w:szCs w:val="22"/>
                <w:color w:val="auto"/>
              </w:rPr>
            </w:pPr>
          </w:p>
        </w:tc>
        <w:tc>
          <w:tcPr>
            <w:tcW w:w="110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70</w:t>
            </w:r>
          </w:p>
        </w:tc>
        <w:tc>
          <w:tcPr>
            <w:tcW w:w="0" w:type="dxa"/>
            <w:vAlign w:val="bottom"/>
          </w:tcPr>
          <w:p>
            <w:pPr>
              <w:spacing w:after="0"/>
              <w:rPr>
                <w:sz w:val="1"/>
                <w:szCs w:val="1"/>
                <w:color w:val="auto"/>
              </w:rPr>
            </w:pPr>
          </w:p>
        </w:tc>
      </w:tr>
      <w:tr>
        <w:trPr>
          <w:trHeight w:val="122"/>
        </w:trPr>
        <w:tc>
          <w:tcPr>
            <w:tcW w:w="79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70"/>
        </w:trPr>
        <w:tc>
          <w:tcPr>
            <w:tcW w:w="7960" w:type="dxa"/>
            <w:vAlign w:val="bottom"/>
            <w:shd w:val="clear" w:color="auto" w:fill="CCEEFF"/>
          </w:tcPr>
          <w:p>
            <w:pPr>
              <w:ind w:left="40"/>
              <w:spacing w:after="0"/>
              <w:rPr>
                <w:sz w:val="20"/>
                <w:szCs w:val="20"/>
                <w:color w:val="auto"/>
              </w:rPr>
            </w:pPr>
            <w:r>
              <w:rPr>
                <w:rFonts w:ascii="Arial" w:cs="Arial" w:eastAsia="Arial" w:hAnsi="Arial"/>
                <w:sz w:val="16"/>
                <w:szCs w:val="16"/>
                <w:color w:val="auto"/>
              </w:rPr>
              <w:t>Payments for medical care costs related to:</w:t>
            </w:r>
          </w:p>
        </w:tc>
        <w:tc>
          <w:tcPr>
            <w:tcW w:w="540" w:type="dxa"/>
            <w:vAlign w:val="bottom"/>
            <w:shd w:val="clear" w:color="auto" w:fill="CCEEFF"/>
          </w:tcPr>
          <w:p>
            <w:pPr>
              <w:spacing w:after="0"/>
              <w:rPr>
                <w:sz w:val="23"/>
                <w:szCs w:val="23"/>
                <w:color w:val="auto"/>
              </w:rPr>
            </w:pPr>
          </w:p>
        </w:tc>
        <w:tc>
          <w:tcPr>
            <w:tcW w:w="11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540" w:type="dxa"/>
            <w:vAlign w:val="bottom"/>
            <w:shd w:val="clear" w:color="auto" w:fill="CCEEFF"/>
          </w:tcPr>
          <w:p>
            <w:pPr>
              <w:spacing w:after="0"/>
              <w:rPr>
                <w:sz w:val="23"/>
                <w:szCs w:val="23"/>
                <w:color w:val="auto"/>
              </w:rPr>
            </w:pPr>
          </w:p>
        </w:tc>
        <w:tc>
          <w:tcPr>
            <w:tcW w:w="110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2"/>
        </w:trPr>
        <w:tc>
          <w:tcPr>
            <w:tcW w:w="7960" w:type="dxa"/>
            <w:vAlign w:val="bottom"/>
          </w:tcPr>
          <w:p>
            <w:pPr>
              <w:ind w:left="380"/>
              <w:spacing w:after="0"/>
              <w:rPr>
                <w:sz w:val="20"/>
                <w:szCs w:val="20"/>
                <w:color w:val="auto"/>
              </w:rPr>
            </w:pPr>
            <w:r>
              <w:rPr>
                <w:rFonts w:ascii="Arial" w:cs="Arial" w:eastAsia="Arial" w:hAnsi="Arial"/>
                <w:sz w:val="16"/>
                <w:szCs w:val="16"/>
                <w:color w:val="auto"/>
              </w:rPr>
              <w:t>Current period</w:t>
            </w:r>
          </w:p>
        </w:tc>
        <w:tc>
          <w:tcPr>
            <w:tcW w:w="540" w:type="dxa"/>
            <w:vAlign w:val="bottom"/>
          </w:tcPr>
          <w:p>
            <w:pPr>
              <w:spacing w:after="0"/>
              <w:rPr>
                <w:sz w:val="22"/>
                <w:szCs w:val="22"/>
                <w:color w:val="auto"/>
              </w:rPr>
            </w:pPr>
          </w:p>
        </w:tc>
        <w:tc>
          <w:tcPr>
            <w:tcW w:w="1160" w:type="dxa"/>
            <w:vAlign w:val="bottom"/>
          </w:tcPr>
          <w:p>
            <w:pPr>
              <w:jc w:val="right"/>
              <w:ind w:right="139"/>
              <w:spacing w:after="0"/>
              <w:rPr>
                <w:sz w:val="20"/>
                <w:szCs w:val="20"/>
                <w:color w:val="auto"/>
              </w:rPr>
            </w:pPr>
            <w:r>
              <w:rPr>
                <w:rFonts w:ascii="Arial" w:cs="Arial" w:eastAsia="Arial" w:hAnsi="Arial"/>
                <w:sz w:val="16"/>
                <w:szCs w:val="16"/>
                <w:color w:val="auto"/>
              </w:rPr>
              <w:t>10,944</w:t>
            </w:r>
          </w:p>
        </w:tc>
        <w:tc>
          <w:tcPr>
            <w:tcW w:w="12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100" w:type="dxa"/>
            <w:vAlign w:val="bottom"/>
          </w:tcPr>
          <w:p>
            <w:pPr>
              <w:jc w:val="right"/>
              <w:ind w:right="99"/>
              <w:spacing w:after="0"/>
              <w:rPr>
                <w:sz w:val="20"/>
                <w:szCs w:val="20"/>
                <w:color w:val="auto"/>
              </w:rPr>
            </w:pPr>
            <w:r>
              <w:rPr>
                <w:rFonts w:ascii="Arial" w:cs="Arial" w:eastAsia="Arial" w:hAnsi="Arial"/>
                <w:sz w:val="16"/>
                <w:szCs w:val="16"/>
                <w:color w:val="auto"/>
              </w:rPr>
              <w:t>9,536</w:t>
            </w:r>
          </w:p>
        </w:tc>
        <w:tc>
          <w:tcPr>
            <w:tcW w:w="0" w:type="dxa"/>
            <w:vAlign w:val="bottom"/>
          </w:tcPr>
          <w:p>
            <w:pPr>
              <w:spacing w:after="0"/>
              <w:rPr>
                <w:sz w:val="1"/>
                <w:szCs w:val="1"/>
                <w:color w:val="auto"/>
              </w:rPr>
            </w:pPr>
          </w:p>
        </w:tc>
      </w:tr>
      <w:tr>
        <w:trPr>
          <w:trHeight w:val="271"/>
        </w:trPr>
        <w:tc>
          <w:tcPr>
            <w:tcW w:w="7960" w:type="dxa"/>
            <w:vAlign w:val="bottom"/>
            <w:shd w:val="clear" w:color="auto" w:fill="CCEEFF"/>
          </w:tcPr>
          <w:p>
            <w:pPr>
              <w:ind w:left="380"/>
              <w:spacing w:after="0"/>
              <w:rPr>
                <w:sz w:val="20"/>
                <w:szCs w:val="20"/>
                <w:color w:val="auto"/>
              </w:rPr>
            </w:pPr>
            <w:r>
              <w:rPr>
                <w:rFonts w:ascii="Arial" w:cs="Arial" w:eastAsia="Arial" w:hAnsi="Arial"/>
                <w:sz w:val="16"/>
                <w:szCs w:val="16"/>
                <w:color w:val="auto"/>
              </w:rPr>
              <w:t>Prior periods</w:t>
            </w:r>
          </w:p>
        </w:tc>
        <w:tc>
          <w:tcPr>
            <w:tcW w:w="540" w:type="dxa"/>
            <w:vAlign w:val="bottom"/>
            <w:tcBorders>
              <w:bottom w:val="single" w:sz="8" w:color="auto"/>
            </w:tcBorders>
            <w:shd w:val="clear" w:color="auto" w:fill="CCEEFF"/>
          </w:tcPr>
          <w:p>
            <w:pPr>
              <w:spacing w:after="0"/>
              <w:rPr>
                <w:sz w:val="23"/>
                <w:szCs w:val="23"/>
                <w:color w:val="auto"/>
              </w:rPr>
            </w:pPr>
          </w:p>
        </w:tc>
        <w:tc>
          <w:tcPr>
            <w:tcW w:w="116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1,501</w:t>
            </w:r>
          </w:p>
        </w:tc>
        <w:tc>
          <w:tcPr>
            <w:tcW w:w="120" w:type="dxa"/>
            <w:vAlign w:val="bottom"/>
            <w:shd w:val="clear" w:color="auto" w:fill="CCEEFF"/>
          </w:tcPr>
          <w:p>
            <w:pPr>
              <w:spacing w:after="0"/>
              <w:rPr>
                <w:sz w:val="23"/>
                <w:szCs w:val="23"/>
                <w:color w:val="auto"/>
              </w:rPr>
            </w:pPr>
          </w:p>
        </w:tc>
        <w:tc>
          <w:tcPr>
            <w:tcW w:w="540" w:type="dxa"/>
            <w:vAlign w:val="bottom"/>
            <w:tcBorders>
              <w:bottom w:val="single" w:sz="8" w:color="auto"/>
            </w:tcBorders>
            <w:shd w:val="clear" w:color="auto" w:fill="CCEEFF"/>
          </w:tcPr>
          <w:p>
            <w:pPr>
              <w:spacing w:after="0"/>
              <w:rPr>
                <w:sz w:val="23"/>
                <w:szCs w:val="23"/>
                <w:color w:val="auto"/>
              </w:rPr>
            </w:pPr>
          </w:p>
        </w:tc>
        <w:tc>
          <w:tcPr>
            <w:tcW w:w="110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1,278</w:t>
            </w:r>
          </w:p>
        </w:tc>
        <w:tc>
          <w:tcPr>
            <w:tcW w:w="0" w:type="dxa"/>
            <w:vAlign w:val="bottom"/>
          </w:tcPr>
          <w:p>
            <w:pPr>
              <w:spacing w:after="0"/>
              <w:rPr>
                <w:sz w:val="1"/>
                <w:szCs w:val="1"/>
                <w:color w:val="auto"/>
              </w:rPr>
            </w:pPr>
          </w:p>
        </w:tc>
      </w:tr>
      <w:tr>
        <w:trPr>
          <w:trHeight w:val="250"/>
        </w:trPr>
        <w:tc>
          <w:tcPr>
            <w:tcW w:w="7960" w:type="dxa"/>
            <w:vAlign w:val="bottom"/>
            <w:tcBorders>
              <w:bottom w:val="single" w:sz="8" w:color="CCEEFF"/>
            </w:tcBorders>
          </w:tcPr>
          <w:p>
            <w:pPr>
              <w:ind w:left="500"/>
              <w:spacing w:after="0"/>
              <w:rPr>
                <w:sz w:val="20"/>
                <w:szCs w:val="20"/>
                <w:color w:val="auto"/>
              </w:rPr>
            </w:pPr>
            <w:r>
              <w:rPr>
                <w:rFonts w:ascii="Arial" w:cs="Arial" w:eastAsia="Arial" w:hAnsi="Arial"/>
                <w:sz w:val="16"/>
                <w:szCs w:val="16"/>
                <w:color w:val="auto"/>
              </w:rPr>
              <w:t>Total paid</w:t>
            </w:r>
          </w:p>
        </w:tc>
        <w:tc>
          <w:tcPr>
            <w:tcW w:w="54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12,445</w:t>
            </w:r>
          </w:p>
        </w:tc>
        <w:tc>
          <w:tcPr>
            <w:tcW w:w="120" w:type="dxa"/>
            <w:vAlign w:val="bottom"/>
            <w:tcBorders>
              <w:bottom w:val="single" w:sz="8" w:color="CCEEFF"/>
            </w:tcBorders>
          </w:tcPr>
          <w:p>
            <w:pPr>
              <w:spacing w:after="0"/>
              <w:rPr>
                <w:sz w:val="21"/>
                <w:szCs w:val="21"/>
                <w:color w:val="auto"/>
              </w:rPr>
            </w:pPr>
          </w:p>
        </w:tc>
        <w:tc>
          <w:tcPr>
            <w:tcW w:w="54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10,814</w:t>
            </w:r>
          </w:p>
        </w:tc>
        <w:tc>
          <w:tcPr>
            <w:tcW w:w="0" w:type="dxa"/>
            <w:vAlign w:val="bottom"/>
          </w:tcPr>
          <w:p>
            <w:pPr>
              <w:spacing w:after="0"/>
              <w:rPr>
                <w:sz w:val="1"/>
                <w:szCs w:val="1"/>
                <w:color w:val="auto"/>
              </w:rPr>
            </w:pPr>
          </w:p>
        </w:tc>
      </w:tr>
      <w:tr>
        <w:trPr>
          <w:trHeight w:val="242"/>
        </w:trPr>
        <w:tc>
          <w:tcPr>
            <w:tcW w:w="7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Medical claims and benefits payable, ending balance</w:t>
            </w:r>
          </w:p>
        </w:tc>
        <w:tc>
          <w:tcPr>
            <w:tcW w:w="540" w:type="dxa"/>
            <w:vAlign w:val="bottom"/>
            <w:tcBorders>
              <w:bottom w:val="single" w:sz="8" w:color="auto"/>
            </w:tcBorders>
            <w:shd w:val="clear" w:color="auto" w:fill="CCEEFF"/>
          </w:tcPr>
          <w:p>
            <w:pPr>
              <w:jc w:val="right"/>
              <w:ind w:right="339"/>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2,478</w:t>
            </w:r>
          </w:p>
        </w:tc>
        <w:tc>
          <w:tcPr>
            <w:tcW w:w="1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auto"/>
            </w:tcBorders>
            <w:shd w:val="clear" w:color="auto" w:fill="CCEEFF"/>
          </w:tcPr>
          <w:p>
            <w:pPr>
              <w:jc w:val="right"/>
              <w:ind w:right="359"/>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1,871</w:t>
            </w:r>
          </w:p>
        </w:tc>
        <w:tc>
          <w:tcPr>
            <w:tcW w:w="0" w:type="dxa"/>
            <w:vAlign w:val="bottom"/>
          </w:tcPr>
          <w:p>
            <w:pPr>
              <w:spacing w:after="0"/>
              <w:rPr>
                <w:sz w:val="1"/>
                <w:szCs w:val="1"/>
                <w:color w:val="auto"/>
              </w:rPr>
            </w:pPr>
          </w:p>
        </w:tc>
      </w:tr>
      <w:tr>
        <w:trPr>
          <w:trHeight w:val="20"/>
        </w:trPr>
        <w:tc>
          <w:tcPr>
            <w:tcW w:w="7960" w:type="dxa"/>
            <w:vAlign w:val="bottom"/>
            <w:vMerge w:val="restart"/>
          </w:tcPr>
          <w:p>
            <w:pPr>
              <w:ind w:left="40"/>
              <w:spacing w:after="0"/>
              <w:rPr>
                <w:sz w:val="20"/>
                <w:szCs w:val="20"/>
                <w:color w:val="auto"/>
              </w:rPr>
            </w:pPr>
            <w:r>
              <w:rPr>
                <w:rFonts w:ascii="Arial" w:cs="Arial" w:eastAsia="Arial" w:hAnsi="Arial"/>
                <w:sz w:val="16"/>
                <w:szCs w:val="16"/>
                <w:color w:val="auto"/>
              </w:rPr>
              <w:t>Benefit from prior period as a percentage of:</w:t>
            </w:r>
          </w:p>
        </w:tc>
        <w:tc>
          <w:tcPr>
            <w:tcW w:w="5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4"/>
        </w:trPr>
        <w:tc>
          <w:tcPr>
            <w:tcW w:w="7960" w:type="dxa"/>
            <w:vAlign w:val="bottom"/>
            <w:vMerge w:val="continue"/>
          </w:tcPr>
          <w:p>
            <w:pPr>
              <w:spacing w:after="0"/>
              <w:rPr>
                <w:sz w:val="21"/>
                <w:szCs w:val="21"/>
                <w:color w:val="auto"/>
              </w:rPr>
            </w:pPr>
          </w:p>
        </w:tc>
        <w:tc>
          <w:tcPr>
            <w:tcW w:w="5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8"/>
        </w:trPr>
        <w:tc>
          <w:tcPr>
            <w:tcW w:w="7960" w:type="dxa"/>
            <w:vAlign w:val="bottom"/>
            <w:shd w:val="clear" w:color="auto" w:fill="CCEEFF"/>
          </w:tcPr>
          <w:p>
            <w:pPr>
              <w:ind w:left="380"/>
              <w:spacing w:after="0"/>
              <w:rPr>
                <w:sz w:val="20"/>
                <w:szCs w:val="20"/>
                <w:color w:val="auto"/>
              </w:rPr>
            </w:pPr>
            <w:r>
              <w:rPr>
                <w:rFonts w:ascii="Arial" w:cs="Arial" w:eastAsia="Arial" w:hAnsi="Arial"/>
                <w:sz w:val="16"/>
                <w:szCs w:val="16"/>
                <w:color w:val="auto"/>
              </w:rPr>
              <w:t>Balance at beginning of period</w:t>
            </w:r>
          </w:p>
        </w:tc>
        <w:tc>
          <w:tcPr>
            <w:tcW w:w="540" w:type="dxa"/>
            <w:vAlign w:val="bottom"/>
            <w:shd w:val="clear" w:color="auto" w:fill="CCEEFF"/>
          </w:tcPr>
          <w:p>
            <w:pPr>
              <w:spacing w:after="0"/>
              <w:rPr>
                <w:sz w:val="24"/>
                <w:szCs w:val="24"/>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(0.5)%</w:t>
            </w:r>
          </w:p>
        </w:tc>
        <w:tc>
          <w:tcPr>
            <w:tcW w:w="120" w:type="dxa"/>
            <w:vAlign w:val="bottom"/>
            <w:shd w:val="clear" w:color="auto" w:fill="CCEEFF"/>
          </w:tcPr>
          <w:p>
            <w:pPr>
              <w:spacing w:after="0"/>
              <w:rPr>
                <w:sz w:val="24"/>
                <w:szCs w:val="24"/>
                <w:color w:val="auto"/>
              </w:rPr>
            </w:pPr>
          </w:p>
        </w:tc>
        <w:tc>
          <w:tcPr>
            <w:tcW w:w="540" w:type="dxa"/>
            <w:vAlign w:val="bottom"/>
            <w:shd w:val="clear" w:color="auto" w:fill="CCEEFF"/>
          </w:tcPr>
          <w:p>
            <w:pPr>
              <w:spacing w:after="0"/>
              <w:rPr>
                <w:sz w:val="24"/>
                <w:szCs w:val="2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11.3%</w:t>
            </w:r>
          </w:p>
        </w:tc>
        <w:tc>
          <w:tcPr>
            <w:tcW w:w="0" w:type="dxa"/>
            <w:vAlign w:val="bottom"/>
          </w:tcPr>
          <w:p>
            <w:pPr>
              <w:spacing w:after="0"/>
              <w:rPr>
                <w:sz w:val="1"/>
                <w:szCs w:val="1"/>
                <w:color w:val="auto"/>
              </w:rPr>
            </w:pPr>
          </w:p>
        </w:tc>
      </w:tr>
      <w:tr>
        <w:trPr>
          <w:trHeight w:val="262"/>
        </w:trPr>
        <w:tc>
          <w:tcPr>
            <w:tcW w:w="7960" w:type="dxa"/>
            <w:vAlign w:val="bottom"/>
          </w:tcPr>
          <w:p>
            <w:pPr>
              <w:ind w:left="380"/>
              <w:spacing w:after="0"/>
              <w:rPr>
                <w:sz w:val="20"/>
                <w:szCs w:val="20"/>
                <w:color w:val="auto"/>
              </w:rPr>
            </w:pPr>
            <w:r>
              <w:rPr>
                <w:rFonts w:ascii="Arial" w:cs="Arial" w:eastAsia="Arial" w:hAnsi="Arial"/>
                <w:sz w:val="16"/>
                <w:szCs w:val="16"/>
                <w:color w:val="auto"/>
              </w:rPr>
              <w:t>Premium revenue, trailing twelve months</w:t>
            </w:r>
          </w:p>
        </w:tc>
        <w:tc>
          <w:tcPr>
            <w:tcW w:w="540" w:type="dxa"/>
            <w:vAlign w:val="bottom"/>
          </w:tcPr>
          <w:p>
            <w:pPr>
              <w:spacing w:after="0"/>
              <w:rPr>
                <w:sz w:val="22"/>
                <w:szCs w:val="22"/>
                <w:color w:val="auto"/>
              </w:rPr>
            </w:pPr>
          </w:p>
        </w:tc>
        <w:tc>
          <w:tcPr>
            <w:tcW w:w="1280" w:type="dxa"/>
            <w:vAlign w:val="bottom"/>
            <w:gridSpan w:val="2"/>
          </w:tcPr>
          <w:p>
            <w:pPr>
              <w:ind w:left="780"/>
              <w:spacing w:after="0"/>
              <w:rPr>
                <w:sz w:val="20"/>
                <w:szCs w:val="20"/>
                <w:color w:val="auto"/>
              </w:rPr>
            </w:pPr>
            <w:r>
              <w:rPr>
                <w:rFonts w:ascii="Arial" w:cs="Arial" w:eastAsia="Arial" w:hAnsi="Arial"/>
                <w:sz w:val="16"/>
                <w:szCs w:val="16"/>
                <w:color w:val="auto"/>
              </w:rPr>
              <w:t>— %</w:t>
            </w:r>
          </w:p>
        </w:tc>
        <w:tc>
          <w:tcPr>
            <w:tcW w:w="54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1.2%</w:t>
            </w:r>
          </w:p>
        </w:tc>
        <w:tc>
          <w:tcPr>
            <w:tcW w:w="0" w:type="dxa"/>
            <w:vAlign w:val="bottom"/>
          </w:tcPr>
          <w:p>
            <w:pPr>
              <w:spacing w:after="0"/>
              <w:rPr>
                <w:sz w:val="1"/>
                <w:szCs w:val="1"/>
                <w:color w:val="auto"/>
              </w:rPr>
            </w:pPr>
          </w:p>
        </w:tc>
      </w:tr>
      <w:tr>
        <w:trPr>
          <w:trHeight w:val="278"/>
        </w:trPr>
        <w:tc>
          <w:tcPr>
            <w:tcW w:w="7960" w:type="dxa"/>
            <w:vAlign w:val="bottom"/>
            <w:shd w:val="clear" w:color="auto" w:fill="CCEEFF"/>
          </w:tcPr>
          <w:p>
            <w:pPr>
              <w:ind w:left="380"/>
              <w:spacing w:after="0"/>
              <w:rPr>
                <w:sz w:val="20"/>
                <w:szCs w:val="20"/>
                <w:color w:val="auto"/>
              </w:rPr>
            </w:pPr>
            <w:r>
              <w:rPr>
                <w:rFonts w:ascii="Arial" w:cs="Arial" w:eastAsia="Arial" w:hAnsi="Arial"/>
                <w:sz w:val="16"/>
                <w:szCs w:val="16"/>
                <w:color w:val="auto"/>
              </w:rPr>
              <w:t>Medical care costs, trailing twelve months</w:t>
            </w:r>
          </w:p>
        </w:tc>
        <w:tc>
          <w:tcPr>
            <w:tcW w:w="540" w:type="dxa"/>
            <w:vAlign w:val="bottom"/>
            <w:shd w:val="clear" w:color="auto" w:fill="CCEEFF"/>
          </w:tcPr>
          <w:p>
            <w:pPr>
              <w:spacing w:after="0"/>
              <w:rPr>
                <w:sz w:val="24"/>
                <w:szCs w:val="24"/>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(0.1)%</w:t>
            </w:r>
          </w:p>
        </w:tc>
        <w:tc>
          <w:tcPr>
            <w:tcW w:w="120" w:type="dxa"/>
            <w:vAlign w:val="bottom"/>
            <w:shd w:val="clear" w:color="auto" w:fill="CCEEFF"/>
          </w:tcPr>
          <w:p>
            <w:pPr>
              <w:spacing w:after="0"/>
              <w:rPr>
                <w:sz w:val="24"/>
                <w:szCs w:val="24"/>
                <w:color w:val="auto"/>
              </w:rPr>
            </w:pPr>
          </w:p>
        </w:tc>
        <w:tc>
          <w:tcPr>
            <w:tcW w:w="540" w:type="dxa"/>
            <w:vAlign w:val="bottom"/>
            <w:shd w:val="clear" w:color="auto" w:fill="CCEEFF"/>
          </w:tcPr>
          <w:p>
            <w:pPr>
              <w:spacing w:after="0"/>
              <w:rPr>
                <w:sz w:val="24"/>
                <w:szCs w:val="2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w:t>
            </w:r>
          </w:p>
        </w:tc>
        <w:tc>
          <w:tcPr>
            <w:tcW w:w="0" w:type="dxa"/>
            <w:vAlign w:val="bottom"/>
          </w:tcPr>
          <w:p>
            <w:pPr>
              <w:spacing w:after="0"/>
              <w:rPr>
                <w:sz w:val="1"/>
                <w:szCs w:val="1"/>
                <w:color w:val="auto"/>
              </w:rPr>
            </w:pPr>
          </w:p>
        </w:tc>
      </w:tr>
    </w:tbl>
    <w:p>
      <w:pPr>
        <w:spacing w:after="0" w:line="85" w:lineRule="exact"/>
        <w:rPr>
          <w:sz w:val="20"/>
          <w:szCs w:val="20"/>
          <w:color w:val="auto"/>
        </w:rPr>
      </w:pPr>
    </w:p>
    <w:p>
      <w:pPr>
        <w:ind w:right="180"/>
        <w:spacing w:after="0" w:line="256" w:lineRule="auto"/>
        <w:rPr>
          <w:sz w:val="20"/>
          <w:szCs w:val="20"/>
          <w:color w:val="auto"/>
        </w:rPr>
      </w:pPr>
      <w:r>
        <w:rPr>
          <w:rFonts w:ascii="Arial" w:cs="Arial" w:eastAsia="Arial" w:hAnsi="Arial"/>
          <w:sz w:val="18"/>
          <w:szCs w:val="18"/>
          <w:color w:val="auto"/>
        </w:rPr>
        <w:t>Assuming that our initial estimate of IBNP is accurate, we believe that amounts ultimately paid would generally be between 8% and 10% less than the IBNP liability recorded at the end of the period as a result of the inclusion in that liability of the provision for adverse claims deviation and the accrued cost of settling those claims. Because the amount of our initial liability is merely an estimate (and therefore not perfectly accurate), we will always experience variability in that estimate as new information becomes available with the passage of time. Therefore, there can be no assurance that amounts ultimately paid out will fall within the range of 8% to 10% lower than the liability that was initially recorded. Furthermore, because our initial estimate of IBNP is derived from many factors, some of which are qualitative in nature rather than quantitative, we are seldom able to assign specific values to the reasons for a change in estimate—we only know when the circumstances for any one or more factors are out of the ordinary.</w:t>
      </w:r>
    </w:p>
    <w:p>
      <w:pPr>
        <w:spacing w:after="0" w:line="70" w:lineRule="exact"/>
        <w:rPr>
          <w:sz w:val="20"/>
          <w:szCs w:val="20"/>
          <w:color w:val="auto"/>
        </w:rPr>
      </w:pPr>
    </w:p>
    <w:p>
      <w:pPr>
        <w:ind w:right="140"/>
        <w:spacing w:after="0" w:line="271" w:lineRule="auto"/>
        <w:rPr>
          <w:sz w:val="20"/>
          <w:szCs w:val="20"/>
          <w:color w:val="auto"/>
        </w:rPr>
      </w:pPr>
      <w:r>
        <w:rPr>
          <w:rFonts w:ascii="Arial" w:cs="Arial" w:eastAsia="Arial" w:hAnsi="Arial"/>
          <w:sz w:val="18"/>
          <w:szCs w:val="18"/>
          <w:color w:val="auto"/>
        </w:rPr>
        <w:t>The differences between our original estimates and the amounts ultimately paid out (or now expected to be ultimately paid out) for the most part related to IBNP. While many related factors working in conjunction with one another serve to determine the accuracy of our estimates, we are seldom able to quantify the impact that any single</w:t>
      </w:r>
    </w:p>
    <w:p>
      <w:pPr>
        <w:spacing w:after="0" w:line="190" w:lineRule="exact"/>
        <w:rPr>
          <w:sz w:val="20"/>
          <w:szCs w:val="20"/>
          <w:color w:val="auto"/>
        </w:rPr>
      </w:pPr>
    </w:p>
    <w:p>
      <w:pPr>
        <w:ind w:left="7860"/>
        <w:spacing w:after="0"/>
        <w:rPr>
          <w:sz w:val="20"/>
          <w:szCs w:val="20"/>
          <w:color w:val="auto"/>
        </w:rPr>
      </w:pPr>
      <w:r>
        <w:rPr>
          <w:rFonts w:ascii="Arial" w:cs="Arial" w:eastAsia="Arial" w:hAnsi="Arial"/>
          <w:sz w:val="18"/>
          <w:szCs w:val="18"/>
          <w:color w:val="auto"/>
        </w:rPr>
        <w:t>Molina Healthcare, Inc. 2017 Form 10-Q | 17</w:t>
      </w:r>
    </w:p>
    <w:p>
      <w:pPr>
        <w:sectPr>
          <w:pgSz w:w="11900" w:h="16838" w:orient="portrait"/>
          <w:cols w:equalWidth="0" w:num="1">
            <w:col w:w="11420"/>
          </w:cols>
          <w:pgMar w:left="240" w:top="116" w:right="239" w:bottom="1440" w:gutter="0" w:footer="0" w:header="0"/>
          <w:type w:val="continuous"/>
        </w:sectPr>
      </w:pPr>
    </w:p>
    <w:bookmarkStart w:id="17" w:name="page18"/>
    <w:bookmarkEnd w:id="1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61" w:lineRule="exact"/>
        <w:rPr>
          <w:sz w:val="20"/>
          <w:szCs w:val="20"/>
          <w:color w:val="auto"/>
        </w:rPr>
      </w:pPr>
    </w:p>
    <w:p>
      <w:pPr>
        <w:ind w:right="320"/>
        <w:spacing w:after="0" w:line="271" w:lineRule="auto"/>
        <w:rPr>
          <w:sz w:val="20"/>
          <w:szCs w:val="20"/>
          <w:color w:val="auto"/>
        </w:rPr>
      </w:pPr>
      <w:r>
        <w:rPr>
          <w:rFonts w:ascii="Arial" w:cs="Arial" w:eastAsia="Arial" w:hAnsi="Arial"/>
          <w:sz w:val="18"/>
          <w:szCs w:val="18"/>
          <w:color w:val="auto"/>
        </w:rPr>
        <w:t>factor has on a change in estimate. In addition, given the variability inherent in the reserving process, we will only be able to identify specific factors if they represent a significant departure from expectations. As a result, we do not expect to be able to fully quantify the impact of individual factors on changes in estimates.</w:t>
      </w:r>
    </w:p>
    <w:p>
      <w:pPr>
        <w:spacing w:after="0" w:line="55" w:lineRule="exact"/>
        <w:rPr>
          <w:sz w:val="20"/>
          <w:szCs w:val="20"/>
          <w:color w:val="auto"/>
        </w:rPr>
      </w:pPr>
    </w:p>
    <w:p>
      <w:pPr>
        <w:ind w:right="180"/>
        <w:spacing w:after="0" w:line="271" w:lineRule="auto"/>
        <w:rPr>
          <w:sz w:val="20"/>
          <w:szCs w:val="20"/>
          <w:color w:val="auto"/>
        </w:rPr>
      </w:pPr>
      <w:r>
        <w:rPr>
          <w:rFonts w:ascii="Arial" w:cs="Arial" w:eastAsia="Arial" w:hAnsi="Arial"/>
          <w:sz w:val="18"/>
          <w:szCs w:val="18"/>
          <w:color w:val="auto"/>
        </w:rPr>
        <w:t>Prior period development of our estimate as of December 31, 2016, through September 30, 2017, was unfavorable by $9 million, which is substantially less than the favorable prior period development of $190 million we recognized for the same period in the prior year. Further, the unfavorable development through September 30, 2017, was less than the 8% to 10% favorable development we typically expect.</w:t>
      </w:r>
    </w:p>
    <w:p>
      <w:pPr>
        <w:spacing w:after="0" w:line="55" w:lineRule="exact"/>
        <w:rPr>
          <w:sz w:val="20"/>
          <w:szCs w:val="20"/>
          <w:color w:val="auto"/>
        </w:rPr>
      </w:pPr>
    </w:p>
    <w:p>
      <w:pPr>
        <w:spacing w:after="0"/>
        <w:rPr>
          <w:sz w:val="20"/>
          <w:szCs w:val="20"/>
          <w:color w:val="auto"/>
        </w:rPr>
      </w:pPr>
      <w:r>
        <w:rPr>
          <w:rFonts w:ascii="Arial" w:cs="Arial" w:eastAsia="Arial" w:hAnsi="Arial"/>
          <w:sz w:val="18"/>
          <w:szCs w:val="18"/>
          <w:color w:val="auto"/>
        </w:rPr>
        <w:t>We believe that the most significant uncertainties surrounding our IBNP estimates at September 30, 2017 are as follows:</w:t>
      </w:r>
    </w:p>
    <w:p>
      <w:pPr>
        <w:spacing w:after="0" w:line="117" w:lineRule="exact"/>
        <w:rPr>
          <w:sz w:val="20"/>
          <w:szCs w:val="20"/>
          <w:color w:val="auto"/>
        </w:rPr>
      </w:pPr>
    </w:p>
    <w:p>
      <w:pPr>
        <w:jc w:val="both"/>
        <w:ind w:left="660" w:right="60" w:hanging="328"/>
        <w:spacing w:after="0" w:line="271"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At our Florida health plan, the inventory of unpaid claims increased significantly during the first two quarters of 2017, and then dropped in the third quarter. For this reason, the timing between the dates of service and the dates claims are paid will be impacted, making our liability estimates subject to more than the usual amount of uncertainty.</w:t>
      </w:r>
    </w:p>
    <w:p>
      <w:pPr>
        <w:spacing w:after="0" w:line="55" w:lineRule="exact"/>
        <w:rPr>
          <w:rFonts w:ascii="Arial" w:cs="Arial" w:eastAsia="Arial" w:hAnsi="Arial"/>
          <w:sz w:val="18"/>
          <w:szCs w:val="18"/>
          <w:color w:val="auto"/>
        </w:rPr>
      </w:pPr>
    </w:p>
    <w:p>
      <w:pPr>
        <w:ind w:left="660" w:right="180" w:hanging="328"/>
        <w:spacing w:after="0" w:line="271"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At our Illinois health plan, in 2017 we paid a large number of claims that had previously been denied and were subsequently disputed by providers. We have also established a liability for additional expected claims resulting from provider disputes. This has created some distortion in the claims payment patterns, making our liability estimates subject to more than the usual amount of uncertainty.</w:t>
      </w:r>
    </w:p>
    <w:p>
      <w:pPr>
        <w:spacing w:after="0" w:line="55" w:lineRule="exact"/>
        <w:rPr>
          <w:rFonts w:ascii="Arial" w:cs="Arial" w:eastAsia="Arial" w:hAnsi="Arial"/>
          <w:sz w:val="18"/>
          <w:szCs w:val="18"/>
          <w:color w:val="auto"/>
        </w:rPr>
      </w:pPr>
    </w:p>
    <w:p>
      <w:pPr>
        <w:ind w:left="660" w:right="240" w:hanging="328"/>
        <w:spacing w:after="0" w:line="292"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At our California health plan, we adjusted our inpatient authorization process. As a result, due to the expected increase in authorized inpatient stays, our liability estimates are subject to more than the usual amount of uncertainty.</w:t>
      </w:r>
    </w:p>
    <w:p>
      <w:pPr>
        <w:spacing w:after="0" w:line="36" w:lineRule="exact"/>
        <w:rPr>
          <w:rFonts w:ascii="Arial" w:cs="Arial" w:eastAsia="Arial" w:hAnsi="Arial"/>
          <w:sz w:val="18"/>
          <w:szCs w:val="18"/>
          <w:color w:val="auto"/>
        </w:rPr>
      </w:pPr>
    </w:p>
    <w:p>
      <w:pPr>
        <w:ind w:left="660" w:right="20" w:hanging="328"/>
        <w:spacing w:after="0" w:line="264"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At our Illinois and New York health plans, we implemented a new process for increased quality review of claims payments. While we do not anticipate this new process will impact the percentage of claims paid within the timely turnaround requirements, we believe it will have a minor impact on the timing of some paid claims. For this reason, our liability estimates in these two health plans are subject to more than the usual amount of uncertainty.</w:t>
      </w:r>
    </w:p>
    <w:p>
      <w:pPr>
        <w:spacing w:after="0" w:line="61" w:lineRule="exact"/>
        <w:rPr>
          <w:rFonts w:ascii="Arial" w:cs="Arial" w:eastAsia="Arial" w:hAnsi="Arial"/>
          <w:sz w:val="18"/>
          <w:szCs w:val="18"/>
          <w:color w:val="auto"/>
        </w:rPr>
      </w:pPr>
    </w:p>
    <w:p>
      <w:pPr>
        <w:ind w:left="660" w:right="80" w:hanging="328"/>
        <w:spacing w:after="0" w:line="271"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At our Puerto Rico health plan, Hurricane Maria had a significant impact on both utilization of services and our ability to process claims payments in Puerto Rico. For these reasons, we believe our liability estimates are subject to more than the usual amount of uncertainty.</w:t>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Molina Healthcare, Inc. 2017 Form 10-Q | 18</w:t>
      </w:r>
    </w:p>
    <w:p>
      <w:pPr>
        <w:sectPr>
          <w:pgSz w:w="11900" w:h="16838" w:orient="portrait"/>
          <w:cols w:equalWidth="0" w:num="1">
            <w:col w:w="11420"/>
          </w:cols>
          <w:pgMar w:left="240" w:top="116" w:right="239" w:bottom="1440" w:gutter="0" w:footer="0" w:header="0"/>
        </w:sectPr>
      </w:pPr>
    </w:p>
    <w:bookmarkStart w:id="18" w:name="page19"/>
    <w:bookmarkEnd w:id="1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4" w:lineRule="exact"/>
        <w:rPr>
          <w:sz w:val="20"/>
          <w:szCs w:val="20"/>
          <w:color w:val="auto"/>
        </w:rPr>
      </w:pPr>
    </w:p>
    <w:p>
      <w:pPr>
        <w:spacing w:after="0"/>
        <w:rPr>
          <w:sz w:val="20"/>
          <w:szCs w:val="20"/>
          <w:color w:val="auto"/>
        </w:rPr>
      </w:pPr>
      <w:r>
        <w:rPr>
          <w:rFonts w:ascii="Arial" w:cs="Arial" w:eastAsia="Arial" w:hAnsi="Arial"/>
          <w:sz w:val="32"/>
          <w:szCs w:val="32"/>
          <w:b w:val="1"/>
          <w:bCs w:val="1"/>
          <w:color w:val="ACACAC"/>
        </w:rPr>
        <w:t>7. Debt</w:t>
      </w:r>
    </w:p>
    <w:p>
      <w:pPr>
        <w:spacing w:after="0" w:line="138" w:lineRule="exact"/>
        <w:rPr>
          <w:sz w:val="20"/>
          <w:szCs w:val="20"/>
          <w:color w:val="auto"/>
        </w:rPr>
      </w:pPr>
    </w:p>
    <w:p>
      <w:pPr>
        <w:ind w:right="120"/>
        <w:spacing w:after="0" w:line="292" w:lineRule="auto"/>
        <w:rPr>
          <w:sz w:val="20"/>
          <w:szCs w:val="20"/>
          <w:color w:val="auto"/>
        </w:rPr>
      </w:pPr>
      <w:r>
        <w:rPr>
          <w:rFonts w:ascii="Arial" w:cs="Arial" w:eastAsia="Arial" w:hAnsi="Arial"/>
          <w:sz w:val="18"/>
          <w:szCs w:val="18"/>
          <w:color w:val="auto"/>
        </w:rPr>
        <w:t>Substantially all of our debt is held at the parent, which is reported in the Other segment. The following table summarizes our outstanding debt obligations and their classification in the accompanying consolidated balance sheets (in millions):</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00" w:type="dxa"/>
            <w:vAlign w:val="bottom"/>
          </w:tcPr>
          <w:p>
            <w:pPr>
              <w:spacing w:after="0"/>
              <w:rPr>
                <w:sz w:val="14"/>
                <w:szCs w:val="14"/>
                <w:color w:val="auto"/>
              </w:rPr>
            </w:pPr>
          </w:p>
        </w:tc>
        <w:tc>
          <w:tcPr>
            <w:tcW w:w="7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20" w:type="dxa"/>
            <w:vAlign w:val="bottom"/>
            <w:gridSpan w:val="2"/>
          </w:tcPr>
          <w:p>
            <w:pPr>
              <w:ind w:left="60"/>
              <w:spacing w:after="0"/>
              <w:rPr>
                <w:sz w:val="20"/>
                <w:szCs w:val="20"/>
                <w:color w:val="auto"/>
              </w:rPr>
            </w:pPr>
            <w:r>
              <w:rPr>
                <w:rFonts w:ascii="Arial" w:cs="Arial" w:eastAsia="Arial" w:hAnsi="Arial"/>
                <w:sz w:val="14"/>
                <w:szCs w:val="14"/>
                <w:b w:val="1"/>
                <w:bCs w:val="1"/>
                <w:color w:val="auto"/>
              </w:rPr>
              <w:t>September 30,</w:t>
            </w:r>
          </w:p>
        </w:tc>
        <w:tc>
          <w:tcPr>
            <w:tcW w:w="200" w:type="dxa"/>
            <w:vAlign w:val="bottom"/>
          </w:tcPr>
          <w:p>
            <w:pPr>
              <w:spacing w:after="0"/>
              <w:rPr>
                <w:sz w:val="14"/>
                <w:szCs w:val="14"/>
                <w:color w:val="auto"/>
              </w:rPr>
            </w:pPr>
          </w:p>
        </w:tc>
        <w:tc>
          <w:tcPr>
            <w:tcW w:w="1280" w:type="dxa"/>
            <w:vAlign w:val="bottom"/>
          </w:tcPr>
          <w:p>
            <w:pPr>
              <w:jc w:val="right"/>
              <w:ind w:right="180"/>
              <w:spacing w:after="0"/>
              <w:rPr>
                <w:sz w:val="20"/>
                <w:szCs w:val="20"/>
                <w:color w:val="auto"/>
              </w:rPr>
            </w:pPr>
            <w:r>
              <w:rPr>
                <w:rFonts w:ascii="Arial" w:cs="Arial" w:eastAsia="Arial" w:hAnsi="Arial"/>
                <w:sz w:val="14"/>
                <w:szCs w:val="14"/>
                <w:b w:val="1"/>
                <w:bCs w:val="1"/>
                <w:color w:val="auto"/>
              </w:rPr>
              <w:t>December 31,</w:t>
            </w:r>
          </w:p>
        </w:tc>
      </w:tr>
      <w:tr>
        <w:trPr>
          <w:trHeight w:val="202"/>
        </w:trPr>
        <w:tc>
          <w:tcPr>
            <w:tcW w:w="600" w:type="dxa"/>
            <w:vAlign w:val="bottom"/>
          </w:tcPr>
          <w:p>
            <w:pPr>
              <w:spacing w:after="0"/>
              <w:rPr>
                <w:sz w:val="17"/>
                <w:szCs w:val="17"/>
                <w:color w:val="auto"/>
              </w:rPr>
            </w:pPr>
          </w:p>
        </w:tc>
        <w:tc>
          <w:tcPr>
            <w:tcW w:w="774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ind w:right="500"/>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ind w:right="500"/>
              <w:spacing w:after="0"/>
              <w:rPr>
                <w:sz w:val="20"/>
                <w:szCs w:val="20"/>
                <w:color w:val="auto"/>
              </w:rPr>
            </w:pPr>
            <w:r>
              <w:rPr>
                <w:rFonts w:ascii="Arial" w:cs="Arial" w:eastAsia="Arial" w:hAnsi="Arial"/>
                <w:sz w:val="14"/>
                <w:szCs w:val="14"/>
                <w:b w:val="1"/>
                <w:bCs w:val="1"/>
                <w:color w:val="auto"/>
              </w:rPr>
              <w:t>2016</w:t>
            </w:r>
          </w:p>
        </w:tc>
      </w:tr>
      <w:tr>
        <w:trPr>
          <w:trHeight w:val="262"/>
        </w:trPr>
        <w:tc>
          <w:tcPr>
            <w:tcW w:w="8340" w:type="dxa"/>
            <w:vAlign w:val="bottom"/>
            <w:gridSpan w:val="2"/>
          </w:tcPr>
          <w:p>
            <w:pPr>
              <w:ind w:left="40"/>
              <w:spacing w:after="0"/>
              <w:rPr>
                <w:sz w:val="20"/>
                <w:szCs w:val="20"/>
                <w:color w:val="auto"/>
              </w:rPr>
            </w:pPr>
            <w:r>
              <w:rPr>
                <w:rFonts w:ascii="Arial" w:cs="Arial" w:eastAsia="Arial" w:hAnsi="Arial"/>
                <w:sz w:val="16"/>
                <w:szCs w:val="16"/>
                <w:b w:val="1"/>
                <w:bCs w:val="1"/>
                <w:color w:val="auto"/>
              </w:rPr>
              <w:t>Current portion of long-term debt:</w:t>
            </w:r>
          </w:p>
        </w:tc>
        <w:tc>
          <w:tcPr>
            <w:tcW w:w="18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80" w:type="dxa"/>
            <w:vAlign w:val="bottom"/>
          </w:tcPr>
          <w:p>
            <w:pPr>
              <w:spacing w:after="0"/>
              <w:rPr>
                <w:sz w:val="22"/>
                <w:szCs w:val="22"/>
                <w:color w:val="auto"/>
              </w:rPr>
            </w:pPr>
          </w:p>
        </w:tc>
      </w:tr>
      <w:tr>
        <w:trPr>
          <w:trHeight w:val="274"/>
        </w:trPr>
        <w:tc>
          <w:tcPr>
            <w:tcW w:w="600" w:type="dxa"/>
            <w:vAlign w:val="bottom"/>
            <w:shd w:val="clear" w:color="auto" w:fill="CCEEFF"/>
          </w:tcPr>
          <w:p>
            <w:pPr>
              <w:ind w:left="40"/>
              <w:spacing w:after="0"/>
              <w:rPr>
                <w:sz w:val="20"/>
                <w:szCs w:val="20"/>
                <w:color w:val="auto"/>
              </w:rPr>
            </w:pPr>
            <w:r>
              <w:rPr>
                <w:rFonts w:ascii="Arial" w:cs="Arial" w:eastAsia="Arial" w:hAnsi="Arial"/>
                <w:sz w:val="16"/>
                <w:szCs w:val="16"/>
                <w:color w:val="auto"/>
                <w:w w:val="99"/>
              </w:rPr>
              <w:t>1.125%</w:t>
            </w:r>
          </w:p>
        </w:tc>
        <w:tc>
          <w:tcPr>
            <w:tcW w:w="774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Convertible Notes, net of unamortized discount</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2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494</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8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477</w:t>
            </w:r>
          </w:p>
        </w:tc>
      </w:tr>
      <w:tr>
        <w:trPr>
          <w:trHeight w:val="262"/>
        </w:trPr>
        <w:tc>
          <w:tcPr>
            <w:tcW w:w="600" w:type="dxa"/>
            <w:vAlign w:val="bottom"/>
          </w:tcPr>
          <w:p>
            <w:pPr>
              <w:ind w:left="40"/>
              <w:spacing w:after="0"/>
              <w:rPr>
                <w:sz w:val="20"/>
                <w:szCs w:val="20"/>
                <w:color w:val="auto"/>
              </w:rPr>
            </w:pPr>
            <w:r>
              <w:rPr>
                <w:rFonts w:ascii="Arial" w:cs="Arial" w:eastAsia="Arial" w:hAnsi="Arial"/>
                <w:sz w:val="16"/>
                <w:szCs w:val="16"/>
                <w:color w:val="auto"/>
                <w:w w:val="99"/>
              </w:rPr>
              <w:t>1.625%</w:t>
            </w:r>
          </w:p>
        </w:tc>
        <w:tc>
          <w:tcPr>
            <w:tcW w:w="7740" w:type="dxa"/>
            <w:vAlign w:val="bottom"/>
          </w:tcPr>
          <w:p>
            <w:pPr>
              <w:ind w:left="20"/>
              <w:spacing w:after="0"/>
              <w:rPr>
                <w:sz w:val="20"/>
                <w:szCs w:val="20"/>
                <w:color w:val="auto"/>
              </w:rPr>
            </w:pPr>
            <w:r>
              <w:rPr>
                <w:rFonts w:ascii="Arial" w:cs="Arial" w:eastAsia="Arial" w:hAnsi="Arial"/>
                <w:sz w:val="16"/>
                <w:szCs w:val="16"/>
                <w:color w:val="auto"/>
              </w:rPr>
              <w:t>Convertible Notes, net of unamortized premium and discount</w:t>
            </w:r>
          </w:p>
        </w:tc>
        <w:tc>
          <w:tcPr>
            <w:tcW w:w="180" w:type="dxa"/>
            <w:vAlign w:val="bottom"/>
          </w:tcPr>
          <w:p>
            <w:pPr>
              <w:spacing w:after="0"/>
              <w:rPr>
                <w:sz w:val="22"/>
                <w:szCs w:val="22"/>
                <w:color w:val="auto"/>
              </w:rPr>
            </w:pPr>
          </w:p>
        </w:tc>
        <w:tc>
          <w:tcPr>
            <w:tcW w:w="1320" w:type="dxa"/>
            <w:vAlign w:val="bottom"/>
          </w:tcPr>
          <w:p>
            <w:pPr>
              <w:jc w:val="right"/>
              <w:ind w:right="20"/>
              <w:spacing w:after="0"/>
              <w:rPr>
                <w:sz w:val="20"/>
                <w:szCs w:val="20"/>
                <w:color w:val="auto"/>
              </w:rPr>
            </w:pPr>
            <w:r>
              <w:rPr>
                <w:rFonts w:ascii="Arial" w:cs="Arial" w:eastAsia="Arial" w:hAnsi="Arial"/>
                <w:sz w:val="16"/>
                <w:szCs w:val="16"/>
                <w:color w:val="auto"/>
              </w:rPr>
              <w:t>293</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80" w:type="dxa"/>
            <w:vAlign w:val="bottom"/>
          </w:tcPr>
          <w:p>
            <w:pPr>
              <w:jc w:val="right"/>
              <w:ind w:right="20"/>
              <w:spacing w:after="0"/>
              <w:rPr>
                <w:sz w:val="20"/>
                <w:szCs w:val="20"/>
                <w:color w:val="auto"/>
              </w:rPr>
            </w:pPr>
            <w:r>
              <w:rPr>
                <w:rFonts w:ascii="Arial" w:cs="Arial" w:eastAsia="Arial" w:hAnsi="Arial"/>
                <w:sz w:val="16"/>
                <w:szCs w:val="16"/>
                <w:color w:val="auto"/>
              </w:rPr>
              <w:t>—</w:t>
            </w:r>
          </w:p>
        </w:tc>
      </w:tr>
      <w:tr>
        <w:trPr>
          <w:trHeight w:val="278"/>
        </w:trPr>
        <w:tc>
          <w:tcPr>
            <w:tcW w:w="834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Lease financing obligations</w:t>
            </w:r>
          </w:p>
        </w:tc>
        <w:tc>
          <w:tcPr>
            <w:tcW w:w="180" w:type="dxa"/>
            <w:vAlign w:val="bottom"/>
            <w:shd w:val="clear" w:color="auto" w:fill="CCEEFF"/>
          </w:tcPr>
          <w:p>
            <w:pPr>
              <w:spacing w:after="0"/>
              <w:rPr>
                <w:sz w:val="24"/>
                <w:szCs w:val="24"/>
                <w:color w:val="auto"/>
              </w:rPr>
            </w:pPr>
          </w:p>
        </w:tc>
        <w:tc>
          <w:tcPr>
            <w:tcW w:w="132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1</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28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1</w:t>
            </w:r>
          </w:p>
        </w:tc>
      </w:tr>
      <w:tr>
        <w:trPr>
          <w:trHeight w:val="264"/>
        </w:trPr>
        <w:tc>
          <w:tcPr>
            <w:tcW w:w="8340" w:type="dxa"/>
            <w:vAlign w:val="bottom"/>
            <w:tcBorders>
              <w:bottom w:val="single" w:sz="8" w:color="CCEEFF"/>
            </w:tcBorders>
            <w:gridSpan w:val="2"/>
          </w:tcPr>
          <w:p>
            <w:pPr>
              <w:ind w:left="40"/>
              <w:spacing w:after="0"/>
              <w:rPr>
                <w:sz w:val="20"/>
                <w:szCs w:val="20"/>
                <w:color w:val="auto"/>
              </w:rPr>
            </w:pPr>
            <w:r>
              <w:rPr>
                <w:rFonts w:ascii="Arial" w:cs="Arial" w:eastAsia="Arial" w:hAnsi="Arial"/>
                <w:sz w:val="16"/>
                <w:szCs w:val="16"/>
                <w:color w:val="auto"/>
              </w:rPr>
              <w:t>Debt issuance costs</w:t>
            </w:r>
          </w:p>
        </w:tc>
        <w:tc>
          <w:tcPr>
            <w:tcW w:w="18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w:t>
            </w: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w:t>
            </w:r>
          </w:p>
        </w:tc>
      </w:tr>
      <w:tr>
        <w:trPr>
          <w:trHeight w:val="257"/>
        </w:trPr>
        <w:tc>
          <w:tcPr>
            <w:tcW w:w="600" w:type="dxa"/>
            <w:vAlign w:val="bottom"/>
            <w:shd w:val="clear" w:color="auto" w:fill="CCEEFF"/>
          </w:tcPr>
          <w:p>
            <w:pPr>
              <w:spacing w:after="0"/>
              <w:rPr>
                <w:sz w:val="22"/>
                <w:szCs w:val="22"/>
                <w:color w:val="auto"/>
              </w:rPr>
            </w:pPr>
          </w:p>
        </w:tc>
        <w:tc>
          <w:tcPr>
            <w:tcW w:w="7740" w:type="dxa"/>
            <w:vAlign w:val="bottom"/>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spacing w:after="0"/>
              <w:rPr>
                <w:sz w:val="22"/>
                <w:szCs w:val="22"/>
                <w:color w:val="auto"/>
              </w:rPr>
            </w:pPr>
          </w:p>
        </w:tc>
        <w:tc>
          <w:tcPr>
            <w:tcW w:w="132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782</w:t>
            </w:r>
          </w:p>
        </w:tc>
        <w:tc>
          <w:tcPr>
            <w:tcW w:w="100" w:type="dxa"/>
            <w:vAlign w:val="bottom"/>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spacing w:after="0"/>
              <w:rPr>
                <w:sz w:val="22"/>
                <w:szCs w:val="22"/>
                <w:color w:val="auto"/>
              </w:rPr>
            </w:pPr>
          </w:p>
        </w:tc>
        <w:tc>
          <w:tcPr>
            <w:tcW w:w="128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472</w:t>
            </w:r>
          </w:p>
        </w:tc>
      </w:tr>
      <w:tr>
        <w:trPr>
          <w:trHeight w:val="260"/>
        </w:trPr>
        <w:tc>
          <w:tcPr>
            <w:tcW w:w="8340" w:type="dxa"/>
            <w:vAlign w:val="bottom"/>
            <w:gridSpan w:val="2"/>
          </w:tcPr>
          <w:p>
            <w:pPr>
              <w:ind w:left="40"/>
              <w:spacing w:after="0"/>
              <w:rPr>
                <w:sz w:val="20"/>
                <w:szCs w:val="20"/>
                <w:color w:val="auto"/>
              </w:rPr>
            </w:pPr>
            <w:r>
              <w:rPr>
                <w:rFonts w:ascii="Arial" w:cs="Arial" w:eastAsia="Arial" w:hAnsi="Arial"/>
                <w:sz w:val="16"/>
                <w:szCs w:val="16"/>
                <w:b w:val="1"/>
                <w:bCs w:val="1"/>
                <w:color w:val="auto"/>
              </w:rPr>
              <w:t>Non-current portion of long-term debt:</w:t>
            </w:r>
          </w:p>
        </w:tc>
        <w:tc>
          <w:tcPr>
            <w:tcW w:w="18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80" w:type="dxa"/>
            <w:vAlign w:val="bottom"/>
          </w:tcPr>
          <w:p>
            <w:pPr>
              <w:spacing w:after="0"/>
              <w:rPr>
                <w:sz w:val="22"/>
                <w:szCs w:val="22"/>
                <w:color w:val="auto"/>
              </w:rPr>
            </w:pPr>
          </w:p>
        </w:tc>
      </w:tr>
      <w:tr>
        <w:trPr>
          <w:trHeight w:val="274"/>
        </w:trPr>
        <w:tc>
          <w:tcPr>
            <w:tcW w:w="600" w:type="dxa"/>
            <w:vAlign w:val="bottom"/>
            <w:shd w:val="clear" w:color="auto" w:fill="CCEEFF"/>
          </w:tcPr>
          <w:p>
            <w:pPr>
              <w:ind w:left="40"/>
              <w:spacing w:after="0"/>
              <w:rPr>
                <w:sz w:val="20"/>
                <w:szCs w:val="20"/>
                <w:color w:val="auto"/>
              </w:rPr>
            </w:pPr>
            <w:r>
              <w:rPr>
                <w:rFonts w:ascii="Arial" w:cs="Arial" w:eastAsia="Arial" w:hAnsi="Arial"/>
                <w:sz w:val="16"/>
                <w:szCs w:val="16"/>
                <w:color w:val="auto"/>
                <w:w w:val="99"/>
              </w:rPr>
              <w:t>5.375%</w:t>
            </w:r>
          </w:p>
        </w:tc>
        <w:tc>
          <w:tcPr>
            <w:tcW w:w="7740" w:type="dxa"/>
            <w:vAlign w:val="bottom"/>
            <w:shd w:val="clear" w:color="auto" w:fill="CCEEFF"/>
          </w:tcPr>
          <w:p>
            <w:pPr>
              <w:ind w:left="20"/>
              <w:spacing w:after="0"/>
              <w:rPr>
                <w:sz w:val="20"/>
                <w:szCs w:val="20"/>
                <w:color w:val="auto"/>
              </w:rPr>
            </w:pPr>
            <w:r>
              <w:rPr>
                <w:rFonts w:ascii="Arial" w:cs="Arial" w:eastAsia="Arial" w:hAnsi="Arial"/>
                <w:sz w:val="16"/>
                <w:szCs w:val="16"/>
                <w:color w:val="auto"/>
              </w:rPr>
              <w:t>Notes</w:t>
            </w:r>
          </w:p>
        </w:tc>
        <w:tc>
          <w:tcPr>
            <w:tcW w:w="180" w:type="dxa"/>
            <w:vAlign w:val="bottom"/>
            <w:shd w:val="clear" w:color="auto" w:fill="CCEEFF"/>
          </w:tcPr>
          <w:p>
            <w:pPr>
              <w:spacing w:after="0"/>
              <w:rPr>
                <w:sz w:val="23"/>
                <w:szCs w:val="23"/>
                <w:color w:val="auto"/>
              </w:rPr>
            </w:pPr>
          </w:p>
        </w:tc>
        <w:tc>
          <w:tcPr>
            <w:tcW w:w="132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700</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28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700</w:t>
            </w:r>
          </w:p>
        </w:tc>
      </w:tr>
      <w:tr>
        <w:trPr>
          <w:trHeight w:val="262"/>
        </w:trPr>
        <w:tc>
          <w:tcPr>
            <w:tcW w:w="8340" w:type="dxa"/>
            <w:vAlign w:val="bottom"/>
            <w:gridSpan w:val="2"/>
          </w:tcPr>
          <w:p>
            <w:pPr>
              <w:ind w:left="40"/>
              <w:spacing w:after="0"/>
              <w:rPr>
                <w:sz w:val="20"/>
                <w:szCs w:val="20"/>
                <w:color w:val="auto"/>
              </w:rPr>
            </w:pPr>
            <w:r>
              <w:rPr>
                <w:rFonts w:ascii="Arial" w:cs="Arial" w:eastAsia="Arial" w:hAnsi="Arial"/>
                <w:sz w:val="16"/>
                <w:szCs w:val="16"/>
                <w:color w:val="auto"/>
              </w:rPr>
              <w:t>4.875% Notes</w:t>
            </w:r>
          </w:p>
        </w:tc>
        <w:tc>
          <w:tcPr>
            <w:tcW w:w="180" w:type="dxa"/>
            <w:vAlign w:val="bottom"/>
          </w:tcPr>
          <w:p>
            <w:pPr>
              <w:spacing w:after="0"/>
              <w:rPr>
                <w:sz w:val="22"/>
                <w:szCs w:val="22"/>
                <w:color w:val="auto"/>
              </w:rPr>
            </w:pPr>
          </w:p>
        </w:tc>
        <w:tc>
          <w:tcPr>
            <w:tcW w:w="1320" w:type="dxa"/>
            <w:vAlign w:val="bottom"/>
          </w:tcPr>
          <w:p>
            <w:pPr>
              <w:jc w:val="right"/>
              <w:ind w:right="20"/>
              <w:spacing w:after="0"/>
              <w:rPr>
                <w:sz w:val="20"/>
                <w:szCs w:val="20"/>
                <w:color w:val="auto"/>
              </w:rPr>
            </w:pPr>
            <w:r>
              <w:rPr>
                <w:rFonts w:ascii="Arial" w:cs="Arial" w:eastAsia="Arial" w:hAnsi="Arial"/>
                <w:sz w:val="16"/>
                <w:szCs w:val="16"/>
                <w:color w:val="auto"/>
              </w:rPr>
              <w:t>330</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80" w:type="dxa"/>
            <w:vAlign w:val="bottom"/>
          </w:tcPr>
          <w:p>
            <w:pPr>
              <w:jc w:val="right"/>
              <w:ind w:right="20"/>
              <w:spacing w:after="0"/>
              <w:rPr>
                <w:sz w:val="20"/>
                <w:szCs w:val="20"/>
                <w:color w:val="auto"/>
              </w:rPr>
            </w:pPr>
            <w:r>
              <w:rPr>
                <w:rFonts w:ascii="Arial" w:cs="Arial" w:eastAsia="Arial" w:hAnsi="Arial"/>
                <w:sz w:val="16"/>
                <w:szCs w:val="16"/>
                <w:color w:val="auto"/>
              </w:rPr>
              <w:t>—</w:t>
            </w:r>
          </w:p>
        </w:tc>
      </w:tr>
      <w:tr>
        <w:trPr>
          <w:trHeight w:val="278"/>
        </w:trPr>
        <w:tc>
          <w:tcPr>
            <w:tcW w:w="834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Credit Facility</w:t>
            </w:r>
          </w:p>
        </w:tc>
        <w:tc>
          <w:tcPr>
            <w:tcW w:w="180" w:type="dxa"/>
            <w:vAlign w:val="bottom"/>
            <w:shd w:val="clear" w:color="auto" w:fill="CCEEFF"/>
          </w:tcPr>
          <w:p>
            <w:pPr>
              <w:spacing w:after="0"/>
              <w:rPr>
                <w:sz w:val="24"/>
                <w:szCs w:val="24"/>
                <w:color w:val="auto"/>
              </w:rPr>
            </w:pPr>
          </w:p>
        </w:tc>
        <w:tc>
          <w:tcPr>
            <w:tcW w:w="132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300</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28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w:t>
            </w:r>
          </w:p>
        </w:tc>
      </w:tr>
      <w:tr>
        <w:trPr>
          <w:trHeight w:val="262"/>
        </w:trPr>
        <w:tc>
          <w:tcPr>
            <w:tcW w:w="600" w:type="dxa"/>
            <w:vAlign w:val="bottom"/>
          </w:tcPr>
          <w:p>
            <w:pPr>
              <w:ind w:left="40"/>
              <w:spacing w:after="0"/>
              <w:rPr>
                <w:sz w:val="20"/>
                <w:szCs w:val="20"/>
                <w:color w:val="auto"/>
              </w:rPr>
            </w:pPr>
            <w:r>
              <w:rPr>
                <w:rFonts w:ascii="Arial" w:cs="Arial" w:eastAsia="Arial" w:hAnsi="Arial"/>
                <w:sz w:val="16"/>
                <w:szCs w:val="16"/>
                <w:color w:val="auto"/>
                <w:w w:val="99"/>
              </w:rPr>
              <w:t>1.625%</w:t>
            </w:r>
          </w:p>
        </w:tc>
        <w:tc>
          <w:tcPr>
            <w:tcW w:w="7740" w:type="dxa"/>
            <w:vAlign w:val="bottom"/>
          </w:tcPr>
          <w:p>
            <w:pPr>
              <w:ind w:left="20"/>
              <w:spacing w:after="0"/>
              <w:rPr>
                <w:sz w:val="20"/>
                <w:szCs w:val="20"/>
                <w:color w:val="auto"/>
              </w:rPr>
            </w:pPr>
            <w:r>
              <w:rPr>
                <w:rFonts w:ascii="Arial" w:cs="Arial" w:eastAsia="Arial" w:hAnsi="Arial"/>
                <w:sz w:val="16"/>
                <w:szCs w:val="16"/>
                <w:color w:val="auto"/>
              </w:rPr>
              <w:t>Convertible Notes, net of unamortized premium and discount</w:t>
            </w:r>
          </w:p>
        </w:tc>
        <w:tc>
          <w:tcPr>
            <w:tcW w:w="180" w:type="dxa"/>
            <w:vAlign w:val="bottom"/>
          </w:tcPr>
          <w:p>
            <w:pPr>
              <w:spacing w:after="0"/>
              <w:rPr>
                <w:sz w:val="22"/>
                <w:szCs w:val="22"/>
                <w:color w:val="auto"/>
              </w:rPr>
            </w:pPr>
          </w:p>
        </w:tc>
        <w:tc>
          <w:tcPr>
            <w:tcW w:w="14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2"/>
                <w:szCs w:val="22"/>
                <w:color w:val="auto"/>
              </w:rPr>
            </w:pPr>
          </w:p>
        </w:tc>
        <w:tc>
          <w:tcPr>
            <w:tcW w:w="1280" w:type="dxa"/>
            <w:vAlign w:val="bottom"/>
          </w:tcPr>
          <w:p>
            <w:pPr>
              <w:jc w:val="right"/>
              <w:ind w:right="20"/>
              <w:spacing w:after="0"/>
              <w:rPr>
                <w:sz w:val="20"/>
                <w:szCs w:val="20"/>
                <w:color w:val="auto"/>
              </w:rPr>
            </w:pPr>
            <w:r>
              <w:rPr>
                <w:rFonts w:ascii="Arial" w:cs="Arial" w:eastAsia="Arial" w:hAnsi="Arial"/>
                <w:sz w:val="16"/>
                <w:szCs w:val="16"/>
                <w:color w:val="auto"/>
              </w:rPr>
              <w:t>286</w:t>
            </w:r>
          </w:p>
        </w:tc>
      </w:tr>
      <w:tr>
        <w:trPr>
          <w:trHeight w:val="271"/>
        </w:trPr>
        <w:tc>
          <w:tcPr>
            <w:tcW w:w="834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Debt issuance costs</w:t>
            </w:r>
          </w:p>
        </w:tc>
        <w:tc>
          <w:tcPr>
            <w:tcW w:w="180" w:type="dxa"/>
            <w:vAlign w:val="bottom"/>
            <w:tcBorders>
              <w:bottom w:val="single" w:sz="8" w:color="auto"/>
            </w:tcBorders>
            <w:shd w:val="clear" w:color="auto" w:fill="CCEEFF"/>
          </w:tcPr>
          <w:p>
            <w:pPr>
              <w:spacing w:after="0"/>
              <w:rPr>
                <w:sz w:val="23"/>
                <w:szCs w:val="23"/>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w:t>
            </w:r>
          </w:p>
        </w:tc>
        <w:tc>
          <w:tcPr>
            <w:tcW w:w="10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w:t>
            </w:r>
          </w:p>
        </w:tc>
      </w:tr>
      <w:tr>
        <w:trPr>
          <w:trHeight w:val="250"/>
        </w:trPr>
        <w:tc>
          <w:tcPr>
            <w:tcW w:w="600" w:type="dxa"/>
            <w:vAlign w:val="bottom"/>
            <w:tcBorders>
              <w:bottom w:val="single" w:sz="8" w:color="CCEEFF"/>
            </w:tcBorders>
          </w:tcPr>
          <w:p>
            <w:pPr>
              <w:spacing w:after="0"/>
              <w:rPr>
                <w:sz w:val="21"/>
                <w:szCs w:val="21"/>
                <w:color w:val="auto"/>
              </w:rPr>
            </w:pPr>
          </w:p>
        </w:tc>
        <w:tc>
          <w:tcPr>
            <w:tcW w:w="774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1,317</w:t>
            </w:r>
          </w:p>
        </w:tc>
        <w:tc>
          <w:tcPr>
            <w:tcW w:w="10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975</w:t>
            </w:r>
          </w:p>
        </w:tc>
      </w:tr>
      <w:tr>
        <w:trPr>
          <w:trHeight w:val="253"/>
        </w:trPr>
        <w:tc>
          <w:tcPr>
            <w:tcW w:w="8340" w:type="dxa"/>
            <w:vAlign w:val="bottom"/>
            <w:gridSpan w:val="2"/>
            <w:shd w:val="clear" w:color="auto" w:fill="CCEEFF"/>
          </w:tcPr>
          <w:p>
            <w:pPr>
              <w:ind w:left="40"/>
              <w:spacing w:after="0"/>
              <w:rPr>
                <w:sz w:val="20"/>
                <w:szCs w:val="20"/>
                <w:color w:val="auto"/>
              </w:rPr>
            </w:pPr>
            <w:r>
              <w:rPr>
                <w:rFonts w:ascii="Arial" w:cs="Arial" w:eastAsia="Arial" w:hAnsi="Arial"/>
                <w:sz w:val="16"/>
                <w:szCs w:val="16"/>
                <w:b w:val="1"/>
                <w:bCs w:val="1"/>
                <w:color w:val="auto"/>
              </w:rPr>
              <w:t>Lease financing obligations</w:t>
            </w:r>
          </w:p>
        </w:tc>
        <w:tc>
          <w:tcPr>
            <w:tcW w:w="180" w:type="dxa"/>
            <w:vAlign w:val="bottom"/>
            <w:tcBorders>
              <w:bottom w:val="single" w:sz="8" w:color="auto"/>
            </w:tcBorders>
            <w:shd w:val="clear" w:color="auto" w:fill="CCEEFF"/>
          </w:tcPr>
          <w:p>
            <w:pPr>
              <w:spacing w:after="0"/>
              <w:rPr>
                <w:sz w:val="21"/>
                <w:szCs w:val="21"/>
                <w:color w:val="auto"/>
              </w:rPr>
            </w:pPr>
          </w:p>
        </w:tc>
        <w:tc>
          <w:tcPr>
            <w:tcW w:w="132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198</w:t>
            </w:r>
          </w:p>
        </w:tc>
        <w:tc>
          <w:tcPr>
            <w:tcW w:w="100" w:type="dxa"/>
            <w:vAlign w:val="bottom"/>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128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198</w:t>
            </w:r>
          </w:p>
        </w:tc>
      </w:tr>
      <w:tr>
        <w:trPr>
          <w:trHeight w:val="234"/>
        </w:trPr>
        <w:tc>
          <w:tcPr>
            <w:tcW w:w="600" w:type="dxa"/>
            <w:vAlign w:val="bottom"/>
          </w:tcPr>
          <w:p>
            <w:pPr>
              <w:spacing w:after="0"/>
              <w:rPr>
                <w:sz w:val="20"/>
                <w:szCs w:val="20"/>
                <w:color w:val="auto"/>
              </w:rPr>
            </w:pPr>
          </w:p>
        </w:tc>
        <w:tc>
          <w:tcPr>
            <w:tcW w:w="7740" w:type="dxa"/>
            <w:vAlign w:val="bottom"/>
          </w:tcPr>
          <w:p>
            <w:pPr>
              <w:spacing w:after="0"/>
              <w:rPr>
                <w:sz w:val="20"/>
                <w:szCs w:val="20"/>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2,297</w:t>
            </w:r>
          </w:p>
        </w:tc>
        <w:tc>
          <w:tcPr>
            <w:tcW w:w="100" w:type="dxa"/>
            <w:vAlign w:val="bottom"/>
          </w:tcPr>
          <w:p>
            <w:pPr>
              <w:spacing w:after="0"/>
              <w:rPr>
                <w:sz w:val="20"/>
                <w:szCs w:val="20"/>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1,645</w:t>
            </w:r>
          </w:p>
        </w:tc>
      </w:tr>
      <w:tr>
        <w:trPr>
          <w:trHeight w:val="20"/>
        </w:trPr>
        <w:tc>
          <w:tcPr>
            <w:tcW w:w="600" w:type="dxa"/>
            <w:vAlign w:val="bottom"/>
          </w:tcPr>
          <w:p>
            <w:pPr>
              <w:spacing w:after="0" w:line="20" w:lineRule="exact"/>
              <w:rPr>
                <w:sz w:val="1"/>
                <w:szCs w:val="1"/>
                <w:color w:val="auto"/>
              </w:rPr>
            </w:pPr>
          </w:p>
        </w:tc>
        <w:tc>
          <w:tcPr>
            <w:tcW w:w="77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4.875% Notes due 2025</w:t>
      </w:r>
    </w:p>
    <w:p>
      <w:pPr>
        <w:spacing w:after="0" w:line="117" w:lineRule="exact"/>
        <w:rPr>
          <w:sz w:val="20"/>
          <w:szCs w:val="20"/>
          <w:color w:val="auto"/>
        </w:rPr>
      </w:pPr>
    </w:p>
    <w:p>
      <w:pPr>
        <w:ind w:right="80"/>
        <w:spacing w:after="0" w:line="260" w:lineRule="auto"/>
        <w:rPr>
          <w:sz w:val="20"/>
          <w:szCs w:val="20"/>
          <w:color w:val="auto"/>
        </w:rPr>
      </w:pPr>
      <w:r>
        <w:rPr>
          <w:rFonts w:ascii="Arial" w:cs="Arial" w:eastAsia="Arial" w:hAnsi="Arial"/>
          <w:sz w:val="18"/>
          <w:szCs w:val="18"/>
          <w:color w:val="auto"/>
        </w:rPr>
        <w:t>On June 6, 2017, we completed the private offering of $330 million aggregate principal amount of senior notes (4.875% Notes) due June 15, 2025, unless earlier redeemed. Interest on the 4.875% Notes is payable semiannually in arrears on June 15 and December 15. According to their terms, the guarantees under the 4.875% Notes mirror those of the Credit Facility, defined and described below. See Note 16, “Supplemental Condensed Consolidating Financial Information,” for more information on the guarantors. The 4.875% Notes contain customary non-financial covenants and change of control provisions.</w:t>
      </w:r>
    </w:p>
    <w:p>
      <w:pPr>
        <w:spacing w:after="0" w:line="67" w:lineRule="exact"/>
        <w:rPr>
          <w:sz w:val="20"/>
          <w:szCs w:val="20"/>
          <w:color w:val="auto"/>
        </w:rPr>
      </w:pPr>
    </w:p>
    <w:p>
      <w:pPr>
        <w:ind w:right="400"/>
        <w:spacing w:after="0" w:line="271" w:lineRule="auto"/>
        <w:rPr>
          <w:sz w:val="20"/>
          <w:szCs w:val="20"/>
          <w:color w:val="auto"/>
        </w:rPr>
      </w:pPr>
      <w:r>
        <w:rPr>
          <w:rFonts w:ascii="Arial" w:cs="Arial" w:eastAsia="Arial" w:hAnsi="Arial"/>
          <w:sz w:val="18"/>
          <w:szCs w:val="18"/>
          <w:color w:val="auto"/>
        </w:rPr>
        <w:t>The 4.875% Notes contain a limitation on the use of proceeds which required us to deposit the net proceeds from their issuance into a segregated deposit account, a current asset reported as “Restricted investments” in our consolidated balance sheets. These funds may be used by us as follows:</w:t>
      </w:r>
    </w:p>
    <w:p>
      <w:pPr>
        <w:spacing w:after="0" w:line="55" w:lineRule="exact"/>
        <w:rPr>
          <w:sz w:val="20"/>
          <w:szCs w:val="20"/>
          <w:color w:val="auto"/>
        </w:rPr>
      </w:pPr>
    </w:p>
    <w:p>
      <w:pPr>
        <w:ind w:left="340" w:hanging="332"/>
        <w:spacing w:after="0"/>
        <w:tabs>
          <w:tab w:leader="none" w:pos="340" w:val="left"/>
        </w:tabs>
        <w:numPr>
          <w:ilvl w:val="0"/>
          <w:numId w:val="6"/>
        </w:numPr>
        <w:rPr>
          <w:rFonts w:ascii="Arial" w:cs="Arial" w:eastAsia="Arial" w:hAnsi="Arial"/>
          <w:sz w:val="18"/>
          <w:szCs w:val="18"/>
          <w:color w:val="auto"/>
        </w:rPr>
      </w:pPr>
      <w:r>
        <w:rPr>
          <w:rFonts w:ascii="Arial" w:cs="Arial" w:eastAsia="Arial" w:hAnsi="Arial"/>
          <w:sz w:val="18"/>
          <w:szCs w:val="18"/>
          <w:color w:val="auto"/>
        </w:rPr>
        <w:t>On or prior to August 20, 2018, to:</w:t>
      </w:r>
    </w:p>
    <w:p>
      <w:pPr>
        <w:spacing w:after="0" w:line="117" w:lineRule="exact"/>
        <w:rPr>
          <w:rFonts w:ascii="Arial" w:cs="Arial" w:eastAsia="Arial" w:hAnsi="Arial"/>
          <w:sz w:val="18"/>
          <w:szCs w:val="18"/>
          <w:color w:val="auto"/>
        </w:rPr>
      </w:pPr>
    </w:p>
    <w:p>
      <w:pPr>
        <w:ind w:left="980" w:right="360" w:hanging="324"/>
        <w:spacing w:after="0" w:line="271" w:lineRule="auto"/>
        <w:tabs>
          <w:tab w:leader="none" w:pos="980" w:val="left"/>
        </w:tabs>
        <w:numPr>
          <w:ilvl w:val="1"/>
          <w:numId w:val="6"/>
        </w:numPr>
        <w:rPr>
          <w:rFonts w:ascii="Arial" w:cs="Arial" w:eastAsia="Arial" w:hAnsi="Arial"/>
          <w:sz w:val="18"/>
          <w:szCs w:val="18"/>
          <w:color w:val="auto"/>
        </w:rPr>
      </w:pPr>
      <w:r>
        <w:rPr>
          <w:rFonts w:ascii="Arial" w:cs="Arial" w:eastAsia="Arial" w:hAnsi="Arial"/>
          <w:sz w:val="18"/>
          <w:szCs w:val="18"/>
          <w:color w:val="auto"/>
        </w:rPr>
        <w:t>Redeem, repurchase, repay, tender for, or acquire for value all or any portion of our 1.625% Convertible Notes, defined and discussed further below, or to satisfy the cash portion of any consideration due upon any conversion of the 1.625% Convertible Notes; and/or</w:t>
      </w:r>
    </w:p>
    <w:p>
      <w:pPr>
        <w:spacing w:after="0" w:line="55" w:lineRule="exact"/>
        <w:rPr>
          <w:rFonts w:ascii="Arial" w:cs="Arial" w:eastAsia="Arial" w:hAnsi="Arial"/>
          <w:sz w:val="18"/>
          <w:szCs w:val="18"/>
          <w:color w:val="auto"/>
        </w:rPr>
      </w:pPr>
    </w:p>
    <w:p>
      <w:pPr>
        <w:ind w:left="980" w:hanging="324"/>
        <w:spacing w:after="0"/>
        <w:tabs>
          <w:tab w:leader="none" w:pos="980" w:val="left"/>
        </w:tabs>
        <w:numPr>
          <w:ilvl w:val="1"/>
          <w:numId w:val="6"/>
        </w:numPr>
        <w:rPr>
          <w:rFonts w:ascii="Arial" w:cs="Arial" w:eastAsia="Arial" w:hAnsi="Arial"/>
          <w:sz w:val="18"/>
          <w:szCs w:val="18"/>
          <w:color w:val="auto"/>
        </w:rPr>
      </w:pPr>
      <w:r>
        <w:rPr>
          <w:rFonts w:ascii="Arial" w:cs="Arial" w:eastAsia="Arial" w:hAnsi="Arial"/>
          <w:sz w:val="18"/>
          <w:szCs w:val="18"/>
          <w:color w:val="auto"/>
        </w:rPr>
        <w:t>Pay any interest due on all or any portion of the 4.875% Notes.</w:t>
      </w:r>
    </w:p>
    <w:p>
      <w:pPr>
        <w:spacing w:after="0" w:line="117" w:lineRule="exact"/>
        <w:rPr>
          <w:rFonts w:ascii="Arial" w:cs="Arial" w:eastAsia="Arial" w:hAnsi="Arial"/>
          <w:sz w:val="18"/>
          <w:szCs w:val="18"/>
          <w:color w:val="auto"/>
        </w:rPr>
      </w:pPr>
    </w:p>
    <w:p>
      <w:pPr>
        <w:ind w:left="340" w:hanging="332"/>
        <w:spacing w:after="0"/>
        <w:tabs>
          <w:tab w:leader="none" w:pos="340" w:val="left"/>
        </w:tabs>
        <w:numPr>
          <w:ilvl w:val="0"/>
          <w:numId w:val="6"/>
        </w:numPr>
        <w:rPr>
          <w:rFonts w:ascii="Arial" w:cs="Arial" w:eastAsia="Arial" w:hAnsi="Arial"/>
          <w:sz w:val="18"/>
          <w:szCs w:val="18"/>
          <w:color w:val="auto"/>
        </w:rPr>
      </w:pPr>
      <w:r>
        <w:rPr>
          <w:rFonts w:ascii="Arial" w:cs="Arial" w:eastAsia="Arial" w:hAnsi="Arial"/>
          <w:sz w:val="18"/>
          <w:szCs w:val="18"/>
          <w:color w:val="auto"/>
        </w:rPr>
        <w:t>On or after August 20, 2018, to repurchase all or any portion of the 1.625% Convertible Notes that we are obligated to repurchase; and</w:t>
      </w:r>
    </w:p>
    <w:p>
      <w:pPr>
        <w:spacing w:after="0" w:line="117" w:lineRule="exact"/>
        <w:rPr>
          <w:rFonts w:ascii="Arial" w:cs="Arial" w:eastAsia="Arial" w:hAnsi="Arial"/>
          <w:sz w:val="18"/>
          <w:szCs w:val="18"/>
          <w:color w:val="auto"/>
        </w:rPr>
      </w:pPr>
    </w:p>
    <w:p>
      <w:pPr>
        <w:ind w:left="340" w:right="260" w:hanging="332"/>
        <w:spacing w:after="0" w:line="292" w:lineRule="auto"/>
        <w:tabs>
          <w:tab w:leader="none" w:pos="340" w:val="left"/>
        </w:tabs>
        <w:numPr>
          <w:ilvl w:val="0"/>
          <w:numId w:val="6"/>
        </w:numPr>
        <w:rPr>
          <w:rFonts w:ascii="Arial" w:cs="Arial" w:eastAsia="Arial" w:hAnsi="Arial"/>
          <w:sz w:val="18"/>
          <w:szCs w:val="18"/>
          <w:color w:val="auto"/>
        </w:rPr>
      </w:pPr>
      <w:r>
        <w:rPr>
          <w:rFonts w:ascii="Arial" w:cs="Arial" w:eastAsia="Arial" w:hAnsi="Arial"/>
          <w:sz w:val="18"/>
          <w:szCs w:val="18"/>
          <w:color w:val="auto"/>
        </w:rPr>
        <w:t>Subsequent to August 20, 2018 (or such earlier date in the event that there are no longer any 1.625% Convertible Notes outstanding), in any other manner not otherwise prohibited in the indenture governing the 4.875% Notes.</w:t>
      </w:r>
    </w:p>
    <w:p>
      <w:pPr>
        <w:spacing w:after="0" w:line="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5.375% Notes due 2022</w:t>
      </w:r>
    </w:p>
    <w:p>
      <w:pPr>
        <w:spacing w:after="0" w:line="117" w:lineRule="exact"/>
        <w:rPr>
          <w:sz w:val="20"/>
          <w:szCs w:val="20"/>
          <w:color w:val="auto"/>
        </w:rPr>
      </w:pPr>
    </w:p>
    <w:p>
      <w:pPr>
        <w:ind w:right="240"/>
        <w:spacing w:after="0" w:line="271" w:lineRule="auto"/>
        <w:rPr>
          <w:sz w:val="20"/>
          <w:szCs w:val="20"/>
          <w:color w:val="auto"/>
        </w:rPr>
      </w:pPr>
      <w:r>
        <w:rPr>
          <w:rFonts w:ascii="Arial" w:cs="Arial" w:eastAsia="Arial" w:hAnsi="Arial"/>
          <w:sz w:val="18"/>
          <w:szCs w:val="18"/>
          <w:color w:val="auto"/>
        </w:rPr>
        <w:t>We have outstanding $700 million aggregate principal amount of senior notes (5.375% Notes) due November 15, 2022, unless earlier redeemed. According to their terms, the guarantees under the 5.375% Notes mirror those of the Credit Facility, defined and described below. See Note 16, “Supplemental Condensed Consolidating Financial Information,” for more information on the guarantors.</w:t>
      </w:r>
    </w:p>
    <w:p>
      <w:pPr>
        <w:spacing w:after="0" w:line="190" w:lineRule="exact"/>
        <w:rPr>
          <w:sz w:val="20"/>
          <w:szCs w:val="20"/>
          <w:color w:val="auto"/>
        </w:rPr>
      </w:pPr>
    </w:p>
    <w:p>
      <w:pPr>
        <w:ind w:left="7860"/>
        <w:spacing w:after="0"/>
        <w:rPr>
          <w:sz w:val="20"/>
          <w:szCs w:val="20"/>
          <w:color w:val="auto"/>
        </w:rPr>
      </w:pPr>
      <w:r>
        <w:rPr>
          <w:rFonts w:ascii="Arial" w:cs="Arial" w:eastAsia="Arial" w:hAnsi="Arial"/>
          <w:sz w:val="18"/>
          <w:szCs w:val="18"/>
          <w:color w:val="auto"/>
        </w:rPr>
        <w:t>Molina Healthcare, Inc. 2017 Form 10-Q | 19</w:t>
      </w:r>
    </w:p>
    <w:p>
      <w:pPr>
        <w:sectPr>
          <w:pgSz w:w="11900" w:h="16838" w:orient="portrait"/>
          <w:cols w:equalWidth="0" w:num="1">
            <w:col w:w="11420"/>
          </w:cols>
          <w:pgMar w:left="240" w:top="116" w:right="239" w:bottom="1440" w:gutter="0" w:footer="0" w:header="0"/>
        </w:sectPr>
      </w:pPr>
    </w:p>
    <w:bookmarkStart w:id="19" w:name="page20"/>
    <w:bookmarkEnd w:id="1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Credit Facility</w:t>
      </w:r>
    </w:p>
    <w:p>
      <w:pPr>
        <w:spacing w:after="0" w:line="158" w:lineRule="exact"/>
        <w:rPr>
          <w:sz w:val="20"/>
          <w:szCs w:val="20"/>
          <w:color w:val="auto"/>
        </w:rPr>
      </w:pPr>
    </w:p>
    <w:p>
      <w:pPr>
        <w:ind w:right="60"/>
        <w:spacing w:after="0" w:line="307" w:lineRule="auto"/>
        <w:rPr>
          <w:sz w:val="20"/>
          <w:szCs w:val="20"/>
          <w:color w:val="auto"/>
        </w:rPr>
      </w:pPr>
      <w:r>
        <w:rPr>
          <w:rFonts w:ascii="Arial" w:cs="Arial" w:eastAsia="Arial" w:hAnsi="Arial"/>
          <w:sz w:val="18"/>
          <w:szCs w:val="18"/>
          <w:color w:val="auto"/>
        </w:rPr>
        <w:t>In January 2017, we entered into an amended unsecured $500 million revolving credit facility (Credit Facility), referred to as the First Amendment. The Credit Facility has a term of five years and all amounts outstanding will be due and payable on January 31, 2022. As of September 30, 2017, $300 million was outstanding under the Credit Facility, and we were in compliance with all financial and non-financial covenants under the Credit Facility. Also as of September 30, 2017, outstanding letters of credit amounting to $6 million reduced our remaining borrowing capacity under the Credit Facility to $194 million.</w:t>
      </w:r>
    </w:p>
    <w:p>
      <w:pPr>
        <w:spacing w:after="0" w:line="40"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In addition to increasing amounts available to borrow under the Credit Facility and extending its term, the First Amendment provided that all guarantors immediately prior to January 3, 2017, other than Molina Information Systems, LLC, d/b/a Molina Medicaid Solutions, Molina Pathways, LLC, and Pathways Health and Community Support LLC, were automatically and unconditionally released from their obligations as guarantors of the Credit Facility and the 5.375% Notes.</w:t>
      </w:r>
    </w:p>
    <w:p>
      <w:pPr>
        <w:spacing w:after="0" w:line="170" w:lineRule="exact"/>
        <w:rPr>
          <w:sz w:val="20"/>
          <w:szCs w:val="20"/>
          <w:color w:val="auto"/>
        </w:rPr>
      </w:pPr>
    </w:p>
    <w:p>
      <w:pPr>
        <w:ind w:right="80"/>
        <w:spacing w:after="0" w:line="258" w:lineRule="auto"/>
        <w:rPr>
          <w:sz w:val="20"/>
          <w:szCs w:val="20"/>
          <w:color w:val="auto"/>
        </w:rPr>
      </w:pPr>
      <w:r>
        <w:rPr>
          <w:rFonts w:ascii="Arial" w:cs="Arial" w:eastAsia="Arial" w:hAnsi="Arial"/>
          <w:sz w:val="18"/>
          <w:szCs w:val="18"/>
          <w:color w:val="auto"/>
        </w:rPr>
        <w:t>The Credit Facility contains customary non-financial and financial covenants, including a net leverage ratio and an interest coverage ratio. In February 2017, we entered into a second amendment to the Credit Facility (the Second Amendment) which modified the Credit Facility’s definition of the earnings measure used in the financial covenant computations to a) allow us to receive credit for risk corridor payments owed to, but not received or accrued by us during 2016; and b) account for the difference between the amount of actual risk transfer payments made or accrued by us during 2016, and the amount of risk transfer payments that would have been due under the federal government’s proposed 2018 risk adjustment payment transfer formula.</w:t>
      </w:r>
    </w:p>
    <w:p>
      <w:pPr>
        <w:spacing w:after="0" w:line="178" w:lineRule="exact"/>
        <w:rPr>
          <w:sz w:val="20"/>
          <w:szCs w:val="20"/>
          <w:color w:val="auto"/>
        </w:rPr>
      </w:pPr>
    </w:p>
    <w:p>
      <w:pPr>
        <w:jc w:val="both"/>
        <w:ind w:right="160"/>
        <w:spacing w:after="0" w:line="264" w:lineRule="auto"/>
        <w:rPr>
          <w:sz w:val="20"/>
          <w:szCs w:val="20"/>
          <w:color w:val="auto"/>
        </w:rPr>
      </w:pPr>
      <w:r>
        <w:rPr>
          <w:rFonts w:ascii="Arial" w:cs="Arial" w:eastAsia="Arial" w:hAnsi="Arial"/>
          <w:sz w:val="18"/>
          <w:szCs w:val="18"/>
          <w:color w:val="auto"/>
        </w:rPr>
        <w:t>In May 2017, we entered into a third amendment to the Credit Facility (the Third Amendment) which modified the Credit Facility’s definition of specified cash, to permit cash that is either subject to customary escrow arrangements or held in a segregated account to be netted from the Credit Facility’s consolidated net leverage ratio if the use of the cash is limited to the repayment of other indebtedness. The Third Amendment also adds a carve-out to the Credit Facility’s negative pledge covenant to allow for the escrow arrangements and segregated accounts.</w:t>
      </w:r>
    </w:p>
    <w:p>
      <w:pPr>
        <w:spacing w:after="0" w:line="170"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In August 2017, we entered into a fourth amendment to the Credit Facility (the Fourth Amendment). The Fourth Amendment modified the definition of consolidated adjusted EBITDA to permit the add-back of certain restructuring charges and cost savings subject to certain limitations, and modified the definition of the consolidated interest coverage ratio to include, when calculating such ratio, consolidated interest expense “paid in cash” only.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Convertible Senior Notes</w:t>
      </w:r>
    </w:p>
    <w:p>
      <w:pPr>
        <w:spacing w:after="0" w:line="117" w:lineRule="exact"/>
        <w:rPr>
          <w:sz w:val="20"/>
          <w:szCs w:val="20"/>
          <w:color w:val="auto"/>
        </w:rPr>
      </w:pPr>
    </w:p>
    <w:p>
      <w:pPr>
        <w:ind w:right="220"/>
        <w:spacing w:after="0" w:line="258" w:lineRule="auto"/>
        <w:rPr>
          <w:sz w:val="20"/>
          <w:szCs w:val="20"/>
          <w:color w:val="auto"/>
        </w:rPr>
      </w:pPr>
      <w:r>
        <w:rPr>
          <w:rFonts w:ascii="Arial" w:cs="Arial" w:eastAsia="Arial" w:hAnsi="Arial"/>
          <w:sz w:val="18"/>
          <w:szCs w:val="18"/>
          <w:color w:val="auto"/>
        </w:rPr>
        <w:t>We have outstanding $550 million aggregate principal amount of 1.125% cash convertible senior notes due January 15, 2020 (1.125% Convertible Notes), unless earlier repurchased or converted. We also have outstanding $ 302 million aggregate principal amount of 1.625% convertible senior notes due August 14, 2044 (1.625% Convertible Notes), unless earlier repurchased, redeemed, or converted. The 1.125% Convertible Notes are convertible entirely into cash, and the 1.625% Convertible Notes are convertible partially into cash, each prior to their respective maturity dates under certain circumstances, one of which relates to the closing price of our common stock over a specified period. We refer to this conversion trigger as the stock price trigger.</w:t>
      </w:r>
    </w:p>
    <w:p>
      <w:pPr>
        <w:spacing w:after="0" w:line="69" w:lineRule="exact"/>
        <w:rPr>
          <w:sz w:val="20"/>
          <w:szCs w:val="20"/>
          <w:color w:val="auto"/>
        </w:rPr>
      </w:pPr>
    </w:p>
    <w:p>
      <w:pPr>
        <w:ind w:right="100"/>
        <w:spacing w:after="0" w:line="271" w:lineRule="auto"/>
        <w:rPr>
          <w:sz w:val="20"/>
          <w:szCs w:val="20"/>
          <w:color w:val="auto"/>
        </w:rPr>
      </w:pPr>
      <w:r>
        <w:rPr>
          <w:rFonts w:ascii="Arial" w:cs="Arial" w:eastAsia="Arial" w:hAnsi="Arial"/>
          <w:sz w:val="18"/>
          <w:szCs w:val="18"/>
          <w:color w:val="auto"/>
        </w:rPr>
        <w:t>The stock price trigger for the 1.125% Convertible Notes is $53.00 per share. The 1.125% Convertible Notes met this trigger in the quarter ended September 30, 2017; therefore, they are convertible into cash and are reported in current portion of long-term debt as of September 30, 2017.</w:t>
      </w:r>
    </w:p>
    <w:p>
      <w:pPr>
        <w:spacing w:after="0" w:line="55"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The stock price trigger for the 1.625% Convertible Notes is $75.51 per share. The 1.625% Convertible Notes did not meet this stock price trigger in the quarter ended September 30, 2017. However, on contractually specified dates beginning in 2018, holders of the 1.625% Convertible Notes may require us to repurchase some or all of such notes. In addition, beginning May 15, 2018 until August 19, 2018, holders may convert some or all of the 1.625% Convertible Notes. Because of these put and conversion features, the 1.625% Convertible Notes are reported in current portion of long-term debt as of September 30, 2017. As noted above, because the proceeds from the 4.875% Notes are initially restricted to payments upon conversion or redemption of the 1.625% Convertible Notes, such restricted investments are also classified as current in the accompanying consolidated balance sheets.</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Cross-Default Provisions</w:t>
      </w:r>
    </w:p>
    <w:p>
      <w:pPr>
        <w:spacing w:after="0" w:line="117" w:lineRule="exact"/>
        <w:rPr>
          <w:sz w:val="20"/>
          <w:szCs w:val="20"/>
          <w:color w:val="auto"/>
        </w:rPr>
      </w:pPr>
    </w:p>
    <w:p>
      <w:pPr>
        <w:jc w:val="both"/>
        <w:ind w:right="220"/>
        <w:spacing w:after="0" w:line="271" w:lineRule="auto"/>
        <w:rPr>
          <w:sz w:val="20"/>
          <w:szCs w:val="20"/>
          <w:color w:val="auto"/>
        </w:rPr>
      </w:pPr>
      <w:r>
        <w:rPr>
          <w:rFonts w:ascii="Arial" w:cs="Arial" w:eastAsia="Arial" w:hAnsi="Arial"/>
          <w:sz w:val="18"/>
          <w:szCs w:val="18"/>
          <w:color w:val="auto"/>
        </w:rPr>
        <w:t>The terms of our 4.875% Notes, 5.375% Notes and each of the 1.125% and 1.625% Convertible Notes contain cross-default provisions with the Credit Facility that are triggered upon an event of default under the Credit Facility, and when borrowings under the Credit Facility equal or exceed certain amounts as defined in the related indentures.</w:t>
      </w:r>
    </w:p>
    <w:p>
      <w:pPr>
        <w:spacing w:after="0" w:line="19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Molina Healthcare, Inc. 2017 Form 10-Q | 20</w:t>
      </w:r>
    </w:p>
    <w:p>
      <w:pPr>
        <w:sectPr>
          <w:pgSz w:w="11900" w:h="16838" w:orient="portrait"/>
          <w:cols w:equalWidth="0" w:num="1">
            <w:col w:w="11420"/>
          </w:cols>
          <w:pgMar w:left="240" w:top="115" w:right="239" w:bottom="1440" w:gutter="0" w:footer="0" w:header="0"/>
        </w:sectPr>
      </w:pPr>
    </w:p>
    <w:bookmarkStart w:id="20" w:name="page21"/>
    <w:bookmarkEnd w:id="2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Debt Commitment Letter</w:t>
      </w:r>
    </w:p>
    <w:p>
      <w:pPr>
        <w:spacing w:after="0" w:line="117" w:lineRule="exact"/>
        <w:rPr>
          <w:sz w:val="20"/>
          <w:szCs w:val="20"/>
          <w:color w:val="auto"/>
        </w:rPr>
      </w:pPr>
    </w:p>
    <w:p>
      <w:pPr>
        <w:ind w:right="40"/>
        <w:spacing w:after="0" w:line="260" w:lineRule="auto"/>
        <w:rPr>
          <w:sz w:val="20"/>
          <w:szCs w:val="20"/>
          <w:color w:val="auto"/>
        </w:rPr>
      </w:pPr>
      <w:r>
        <w:rPr>
          <w:rFonts w:ascii="Arial" w:cs="Arial" w:eastAsia="Arial" w:hAnsi="Arial"/>
          <w:sz w:val="18"/>
          <w:szCs w:val="18"/>
          <w:color w:val="auto"/>
        </w:rPr>
        <w:t>In connection with the terminated Medicare Acquisition, we entered into a debt commitment letter with Barclays Bank PLC (Barclays) in August 2016. Under this debt commitment letter, Barclays agreed to lend us up to $400 million, subject to satisfaction of certain conditions, including consummation of the terminated Medicare Acquisition. The debt commitment letter automatically terminated in February 2017 as a result of the termination of this transaction. The costs associated with the debt commitment letter and its termination were reimbursed as described in Note 1, “Basis of Presentation–</w:t>
      </w:r>
      <w:r>
        <w:rPr>
          <w:rFonts w:ascii="Arial" w:cs="Arial" w:eastAsia="Arial" w:hAnsi="Arial"/>
          <w:sz w:val="18"/>
          <w:szCs w:val="18"/>
          <w:i w:val="1"/>
          <w:iCs w:val="1"/>
          <w:color w:val="auto"/>
        </w:rPr>
        <w:t>Health Plans Segment Recent Developments</w:t>
      </w:r>
      <w:r>
        <w:rPr>
          <w:rFonts w:ascii="Arial" w:cs="Arial" w:eastAsia="Arial" w:hAnsi="Arial"/>
          <w:sz w:val="18"/>
          <w:szCs w:val="18"/>
          <w:color w:val="auto"/>
        </w:rPr>
        <w:t>.”</w:t>
      </w:r>
    </w:p>
    <w:p>
      <w:pPr>
        <w:spacing w:after="0" w:line="264" w:lineRule="exact"/>
        <w:rPr>
          <w:sz w:val="20"/>
          <w:szCs w:val="20"/>
          <w:color w:val="auto"/>
        </w:rPr>
      </w:pPr>
    </w:p>
    <w:p>
      <w:pPr>
        <w:spacing w:after="0"/>
        <w:rPr>
          <w:sz w:val="20"/>
          <w:szCs w:val="20"/>
          <w:color w:val="auto"/>
        </w:rPr>
      </w:pPr>
      <w:r>
        <w:rPr>
          <w:rFonts w:ascii="Arial" w:cs="Arial" w:eastAsia="Arial" w:hAnsi="Arial"/>
          <w:sz w:val="32"/>
          <w:szCs w:val="32"/>
          <w:b w:val="1"/>
          <w:bCs w:val="1"/>
          <w:color w:val="ACACAC"/>
        </w:rPr>
        <w:t>8. Derivatives</w:t>
      </w:r>
    </w:p>
    <w:p>
      <w:pPr>
        <w:spacing w:after="0" w:line="192" w:lineRule="exact"/>
        <w:rPr>
          <w:sz w:val="20"/>
          <w:szCs w:val="20"/>
          <w:color w:val="auto"/>
        </w:rPr>
      </w:pPr>
    </w:p>
    <w:p>
      <w:pPr>
        <w:ind w:right="180"/>
        <w:spacing w:after="0" w:line="292" w:lineRule="auto"/>
        <w:rPr>
          <w:sz w:val="20"/>
          <w:szCs w:val="20"/>
          <w:color w:val="auto"/>
        </w:rPr>
      </w:pPr>
      <w:r>
        <w:rPr>
          <w:rFonts w:ascii="Arial" w:cs="Arial" w:eastAsia="Arial" w:hAnsi="Arial"/>
          <w:sz w:val="18"/>
          <w:szCs w:val="18"/>
          <w:color w:val="auto"/>
        </w:rPr>
        <w:t>The following table summarizes the fair values and the presentation of our derivative financial instruments (defined and discussed individually below) in the accompanying consolidated balance sheets:</w:t>
      </w:r>
    </w:p>
    <w:p>
      <w:pPr>
        <w:spacing w:after="0" w:line="368" w:lineRule="exact"/>
        <w:rPr>
          <w:sz w:val="20"/>
          <w:szCs w:val="20"/>
          <w:color w:val="auto"/>
        </w:rPr>
      </w:pPr>
    </w:p>
    <w:tbl>
      <w:tblPr>
        <w:tblLayout w:type="fixed"/>
        <w:tblInd w:w="4120" w:type="dxa"/>
        <w:tblCellMar>
          <w:top w:w="0" w:type="dxa"/>
          <w:left w:w="0" w:type="dxa"/>
          <w:bottom w:w="0" w:type="dxa"/>
          <w:right w:w="0" w:type="dxa"/>
        </w:tblCellMar>
      </w:tblPr>
      <w:tr>
        <w:trPr>
          <w:trHeight w:val="162"/>
        </w:trPr>
        <w:tc>
          <w:tcPr>
            <w:tcW w:w="4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40" w:type="dxa"/>
            <w:vAlign w:val="bottom"/>
          </w:tcPr>
          <w:p>
            <w:pPr>
              <w:jc w:val="center"/>
              <w:ind w:right="8"/>
              <w:spacing w:after="0"/>
              <w:rPr>
                <w:sz w:val="20"/>
                <w:szCs w:val="20"/>
                <w:color w:val="auto"/>
              </w:rPr>
            </w:pPr>
            <w:r>
              <w:rPr>
                <w:rFonts w:ascii="Arial" w:cs="Arial" w:eastAsia="Arial" w:hAnsi="Arial"/>
                <w:sz w:val="14"/>
                <w:szCs w:val="14"/>
                <w:b w:val="1"/>
                <w:bCs w:val="1"/>
                <w:color w:val="auto"/>
              </w:rPr>
              <w:t>September 30,</w:t>
            </w:r>
          </w:p>
        </w:tc>
        <w:tc>
          <w:tcPr>
            <w:tcW w:w="1520" w:type="dxa"/>
            <w:vAlign w:val="bottom"/>
          </w:tcPr>
          <w:p>
            <w:pPr>
              <w:jc w:val="center"/>
              <w:spacing w:after="0"/>
              <w:rPr>
                <w:sz w:val="20"/>
                <w:szCs w:val="20"/>
                <w:color w:val="auto"/>
              </w:rPr>
            </w:pPr>
            <w:r>
              <w:rPr>
                <w:rFonts w:ascii="Arial" w:cs="Arial" w:eastAsia="Arial" w:hAnsi="Arial"/>
                <w:sz w:val="14"/>
                <w:szCs w:val="14"/>
                <w:b w:val="1"/>
                <w:bCs w:val="1"/>
                <w:color w:val="auto"/>
              </w:rPr>
              <w:t>December 31,</w:t>
            </w:r>
          </w:p>
        </w:tc>
      </w:tr>
      <w:tr>
        <w:trPr>
          <w:trHeight w:val="203"/>
        </w:trPr>
        <w:tc>
          <w:tcPr>
            <w:tcW w:w="4120" w:type="dxa"/>
            <w:vAlign w:val="bottom"/>
            <w:tcBorders>
              <w:bottom w:val="single" w:sz="8" w:color="auto"/>
            </w:tcBorders>
          </w:tcPr>
          <w:p>
            <w:pPr>
              <w:ind w:left="1260"/>
              <w:spacing w:after="0"/>
              <w:rPr>
                <w:sz w:val="20"/>
                <w:szCs w:val="20"/>
                <w:color w:val="auto"/>
              </w:rPr>
            </w:pPr>
            <w:r>
              <w:rPr>
                <w:rFonts w:ascii="Arial" w:cs="Arial" w:eastAsia="Arial" w:hAnsi="Arial"/>
                <w:sz w:val="14"/>
                <w:szCs w:val="14"/>
                <w:b w:val="1"/>
                <w:bCs w:val="1"/>
                <w:color w:val="auto"/>
              </w:rPr>
              <w:t>Balance Sheet Location</w:t>
            </w:r>
          </w:p>
        </w:tc>
        <w:tc>
          <w:tcPr>
            <w:tcW w:w="120" w:type="dxa"/>
            <w:vAlign w:val="bottom"/>
          </w:tcPr>
          <w:p>
            <w:pPr>
              <w:spacing w:after="0"/>
              <w:rPr>
                <w:sz w:val="17"/>
                <w:szCs w:val="17"/>
                <w:color w:val="auto"/>
              </w:rPr>
            </w:pPr>
          </w:p>
        </w:tc>
        <w:tc>
          <w:tcPr>
            <w:tcW w:w="1540" w:type="dxa"/>
            <w:vAlign w:val="bottom"/>
            <w:tcBorders>
              <w:bottom w:val="single" w:sz="8" w:color="auto"/>
            </w:tcBorders>
          </w:tcPr>
          <w:p>
            <w:pPr>
              <w:jc w:val="right"/>
              <w:ind w:right="568"/>
              <w:spacing w:after="0"/>
              <w:rPr>
                <w:sz w:val="20"/>
                <w:szCs w:val="20"/>
                <w:color w:val="auto"/>
              </w:rPr>
            </w:pPr>
            <w:r>
              <w:rPr>
                <w:rFonts w:ascii="Arial" w:cs="Arial" w:eastAsia="Arial" w:hAnsi="Arial"/>
                <w:sz w:val="14"/>
                <w:szCs w:val="14"/>
                <w:b w:val="1"/>
                <w:bCs w:val="1"/>
                <w:color w:val="auto"/>
              </w:rPr>
              <w:t>2017</w:t>
            </w:r>
          </w:p>
        </w:tc>
        <w:tc>
          <w:tcPr>
            <w:tcW w:w="1520" w:type="dxa"/>
            <w:vAlign w:val="bottom"/>
            <w:tcBorders>
              <w:bottom w:val="single" w:sz="8" w:color="auto"/>
            </w:tcBorders>
          </w:tcPr>
          <w:p>
            <w:pPr>
              <w:jc w:val="right"/>
              <w:ind w:right="508"/>
              <w:spacing w:after="0"/>
              <w:rPr>
                <w:sz w:val="20"/>
                <w:szCs w:val="20"/>
                <w:color w:val="auto"/>
              </w:rPr>
            </w:pPr>
            <w:r>
              <w:rPr>
                <w:rFonts w:ascii="Arial" w:cs="Arial" w:eastAsia="Arial" w:hAnsi="Arial"/>
                <w:sz w:val="14"/>
                <w:szCs w:val="14"/>
                <w:b w:val="1"/>
                <w:bCs w:val="1"/>
                <w:color w:val="auto"/>
              </w:rPr>
              <w:t>2016</w:t>
            </w:r>
          </w:p>
        </w:tc>
      </w:tr>
    </w:tbl>
    <w:p>
      <w:pPr>
        <w:spacing w:after="0" w:line="66" w:lineRule="exact"/>
        <w:rPr>
          <w:sz w:val="20"/>
          <w:szCs w:val="20"/>
          <w:color w:val="auto"/>
        </w:rPr>
      </w:pPr>
    </w:p>
    <w:p>
      <w:pPr>
        <w:ind w:left="9500"/>
        <w:spacing w:after="0"/>
        <w:rPr>
          <w:sz w:val="20"/>
          <w:szCs w:val="20"/>
          <w:color w:val="auto"/>
        </w:rPr>
      </w:pPr>
      <w:r>
        <w:rPr>
          <w:rFonts w:ascii="Arial" w:cs="Arial" w:eastAsia="Arial" w:hAnsi="Arial"/>
          <w:sz w:val="14"/>
          <w:szCs w:val="14"/>
          <w:b w:val="1"/>
          <w:bCs w:val="1"/>
          <w:color w:val="auto"/>
        </w:rPr>
        <w:t>(In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27305</wp:posOffset>
            </wp:positionV>
            <wp:extent cx="7246620" cy="17145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59" w:lineRule="exact"/>
        <w:rPr>
          <w:sz w:val="20"/>
          <w:szCs w:val="20"/>
          <w:color w:val="auto"/>
        </w:rPr>
      </w:pPr>
    </w:p>
    <w:p>
      <w:pPr>
        <w:ind w:left="40"/>
        <w:spacing w:after="0"/>
        <w:rPr>
          <w:sz w:val="20"/>
          <w:szCs w:val="20"/>
          <w:color w:val="auto"/>
        </w:rPr>
      </w:pPr>
      <w:r>
        <w:rPr>
          <w:rFonts w:ascii="Arial" w:cs="Arial" w:eastAsia="Arial" w:hAnsi="Arial"/>
          <w:sz w:val="16"/>
          <w:szCs w:val="16"/>
          <w:color w:val="auto"/>
        </w:rPr>
        <w:t>Derivative asset:</w:t>
      </w:r>
    </w:p>
    <w:p>
      <w:pPr>
        <w:spacing w:after="0" w:line="73" w:lineRule="exact"/>
        <w:rPr>
          <w:sz w:val="20"/>
          <w:szCs w:val="20"/>
          <w:color w:val="auto"/>
        </w:rPr>
      </w:pPr>
    </w:p>
    <w:p>
      <w:pPr>
        <w:ind w:left="380"/>
        <w:spacing w:after="0"/>
        <w:tabs>
          <w:tab w:leader="none" w:pos="4140" w:val="left"/>
          <w:tab w:leader="none" w:pos="8380" w:val="left"/>
          <w:tab w:leader="none" w:pos="9440" w:val="left"/>
          <w:tab w:leader="none" w:pos="9960" w:val="left"/>
          <w:tab w:leader="none" w:pos="11020" w:val="left"/>
        </w:tabs>
        <w:rPr>
          <w:sz w:val="20"/>
          <w:szCs w:val="20"/>
          <w:color w:val="auto"/>
        </w:rPr>
      </w:pPr>
      <w:r>
        <w:rPr>
          <w:rFonts w:ascii="Arial" w:cs="Arial" w:eastAsia="Arial" w:hAnsi="Arial"/>
          <w:sz w:val="16"/>
          <w:szCs w:val="16"/>
          <w:color w:val="auto"/>
        </w:rPr>
        <w:t>1.125% Call Option</w:t>
      </w:r>
      <w:r>
        <w:rPr>
          <w:sz w:val="20"/>
          <w:szCs w:val="20"/>
          <w:color w:val="auto"/>
        </w:rPr>
        <w:tab/>
      </w:r>
      <w:r>
        <w:rPr>
          <w:rFonts w:ascii="Arial" w:cs="Arial" w:eastAsia="Arial" w:hAnsi="Arial"/>
          <w:sz w:val="16"/>
          <w:szCs w:val="16"/>
          <w:color w:val="auto"/>
        </w:rPr>
        <w:t>Current assets: Derivative asset</w:t>
      </w:r>
      <w:r>
        <w:rPr>
          <w:sz w:val="20"/>
          <w:szCs w:val="20"/>
          <w:color w:val="auto"/>
        </w:rPr>
        <w:tab/>
      </w:r>
      <w:r>
        <w:rPr>
          <w:rFonts w:ascii="Arial" w:cs="Arial" w:eastAsia="Arial" w:hAnsi="Arial"/>
          <w:sz w:val="16"/>
          <w:szCs w:val="16"/>
          <w:color w:val="auto"/>
        </w:rPr>
        <w:t>$</w:t>
      </w:r>
      <w:r>
        <w:rPr>
          <w:sz w:val="20"/>
          <w:szCs w:val="20"/>
          <w:color w:val="auto"/>
        </w:rPr>
        <w:tab/>
      </w:r>
      <w:r>
        <w:rPr>
          <w:rFonts w:ascii="Arial" w:cs="Arial" w:eastAsia="Arial" w:hAnsi="Arial"/>
          <w:sz w:val="16"/>
          <w:szCs w:val="16"/>
          <w:color w:val="auto"/>
        </w:rPr>
        <w:t>425</w:t>
        <w:tab/>
        <w:t>$</w:t>
      </w:r>
      <w:r>
        <w:rPr>
          <w:sz w:val="20"/>
          <w:szCs w:val="20"/>
          <w:color w:val="auto"/>
        </w:rPr>
        <w:tab/>
      </w:r>
      <w:r>
        <w:rPr>
          <w:rFonts w:ascii="Arial" w:cs="Arial" w:eastAsia="Arial" w:hAnsi="Arial"/>
          <w:sz w:val="16"/>
          <w:szCs w:val="16"/>
          <w:color w:val="auto"/>
        </w:rPr>
        <w:t>267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19748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197485"/>
                    </a:xfrm>
                    <a:prstGeom prst="rect">
                      <a:avLst/>
                    </a:prstGeom>
                    <a:noFill/>
                  </pic:spPr>
                </pic:pic>
              </a:graphicData>
            </a:graphic>
          </wp:anchor>
        </w:drawing>
      </w:r>
    </w:p>
    <w:p>
      <w:pPr>
        <w:spacing w:after="0" w:line="107" w:lineRule="exact"/>
        <w:rPr>
          <w:sz w:val="20"/>
          <w:szCs w:val="20"/>
          <w:color w:val="auto"/>
        </w:rPr>
      </w:pPr>
    </w:p>
    <w:p>
      <w:pPr>
        <w:ind w:left="40"/>
        <w:spacing w:after="0"/>
        <w:rPr>
          <w:sz w:val="20"/>
          <w:szCs w:val="20"/>
          <w:color w:val="auto"/>
        </w:rPr>
      </w:pPr>
      <w:r>
        <w:rPr>
          <w:rFonts w:ascii="Arial" w:cs="Arial" w:eastAsia="Arial" w:hAnsi="Arial"/>
          <w:sz w:val="16"/>
          <w:szCs w:val="16"/>
          <w:color w:val="auto"/>
        </w:rPr>
        <w:t>Derivative liability:</w:t>
      </w:r>
    </w:p>
    <w:p>
      <w:pPr>
        <w:spacing w:after="0" w:line="73" w:lineRule="exact"/>
        <w:rPr>
          <w:sz w:val="20"/>
          <w:szCs w:val="20"/>
          <w:color w:val="auto"/>
        </w:rPr>
      </w:pPr>
    </w:p>
    <w:p>
      <w:pPr>
        <w:ind w:left="380"/>
        <w:spacing w:after="0"/>
        <w:tabs>
          <w:tab w:leader="none" w:pos="4140" w:val="left"/>
          <w:tab w:leader="none" w:pos="8380" w:val="left"/>
          <w:tab w:leader="none" w:pos="9440" w:val="left"/>
          <w:tab w:leader="none" w:pos="9960" w:val="left"/>
          <w:tab w:leader="none" w:pos="11020" w:val="left"/>
        </w:tabs>
        <w:rPr>
          <w:sz w:val="20"/>
          <w:szCs w:val="20"/>
          <w:color w:val="auto"/>
        </w:rPr>
      </w:pPr>
      <w:r>
        <w:rPr>
          <w:rFonts w:ascii="Arial" w:cs="Arial" w:eastAsia="Arial" w:hAnsi="Arial"/>
          <w:sz w:val="16"/>
          <w:szCs w:val="16"/>
          <w:color w:val="auto"/>
        </w:rPr>
        <w:t>1.125% Conversion Option</w:t>
      </w:r>
      <w:r>
        <w:rPr>
          <w:sz w:val="20"/>
          <w:szCs w:val="20"/>
          <w:color w:val="auto"/>
        </w:rPr>
        <w:tab/>
      </w:r>
      <w:r>
        <w:rPr>
          <w:rFonts w:ascii="Arial" w:cs="Arial" w:eastAsia="Arial" w:hAnsi="Arial"/>
          <w:sz w:val="16"/>
          <w:szCs w:val="16"/>
          <w:color w:val="auto"/>
        </w:rPr>
        <w:t>Current liabilities: Derivative liability</w:t>
      </w:r>
      <w:r>
        <w:rPr>
          <w:sz w:val="20"/>
          <w:szCs w:val="20"/>
          <w:color w:val="auto"/>
        </w:rPr>
        <w:tab/>
      </w:r>
      <w:r>
        <w:rPr>
          <w:rFonts w:ascii="Arial" w:cs="Arial" w:eastAsia="Arial" w:hAnsi="Arial"/>
          <w:sz w:val="16"/>
          <w:szCs w:val="16"/>
          <w:color w:val="auto"/>
        </w:rPr>
        <w:t>$</w:t>
      </w:r>
      <w:r>
        <w:rPr>
          <w:sz w:val="20"/>
          <w:szCs w:val="20"/>
          <w:color w:val="auto"/>
        </w:rPr>
        <w:tab/>
      </w:r>
      <w:r>
        <w:rPr>
          <w:rFonts w:ascii="Arial" w:cs="Arial" w:eastAsia="Arial" w:hAnsi="Arial"/>
          <w:sz w:val="16"/>
          <w:szCs w:val="16"/>
          <w:color w:val="auto"/>
        </w:rPr>
        <w:t>425</w:t>
        <w:tab/>
        <w:t>$</w:t>
      </w:r>
      <w:r>
        <w:rPr>
          <w:sz w:val="20"/>
          <w:szCs w:val="20"/>
          <w:color w:val="auto"/>
        </w:rPr>
        <w:tab/>
      </w:r>
      <w:r>
        <w:rPr>
          <w:rFonts w:ascii="Arial" w:cs="Arial" w:eastAsia="Arial" w:hAnsi="Arial"/>
          <w:sz w:val="16"/>
          <w:szCs w:val="16"/>
          <w:color w:val="auto"/>
        </w:rPr>
        <w:t>267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5313680</wp:posOffset>
            </wp:positionH>
            <wp:positionV relativeFrom="paragraph">
              <wp:posOffset>31750</wp:posOffset>
            </wp:positionV>
            <wp:extent cx="1938020" cy="260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938020" cy="26035"/>
                    </a:xfrm>
                    <a:prstGeom prst="rect">
                      <a:avLst/>
                    </a:prstGeom>
                    <a:noFill/>
                  </pic:spPr>
                </pic:pic>
              </a:graphicData>
            </a:graphic>
          </wp:anchor>
        </w:drawing>
      </w:r>
    </w:p>
    <w:p>
      <w:pPr>
        <w:spacing w:after="0" w:line="318" w:lineRule="exact"/>
        <w:rPr>
          <w:sz w:val="20"/>
          <w:szCs w:val="20"/>
          <w:color w:val="auto"/>
        </w:rPr>
      </w:pPr>
    </w:p>
    <w:p>
      <w:pPr>
        <w:jc w:val="both"/>
        <w:ind w:right="300"/>
        <w:spacing w:after="0" w:line="271" w:lineRule="auto"/>
        <w:rPr>
          <w:sz w:val="20"/>
          <w:szCs w:val="20"/>
          <w:color w:val="auto"/>
        </w:rPr>
      </w:pPr>
      <w:r>
        <w:rPr>
          <w:rFonts w:ascii="Arial" w:cs="Arial" w:eastAsia="Arial" w:hAnsi="Arial"/>
          <w:sz w:val="18"/>
          <w:szCs w:val="18"/>
          <w:color w:val="auto"/>
        </w:rPr>
        <w:t>Our derivative financial instruments do not qualify for hedge treatment; therefore, the change in fair value of these instruments is recognized immediately in our consolidated statements of operations, and reported in “Other income, net.” Gains and losses for our derivative financial instruments are presented individually in the accompanying consolidated statements of cash flows, “Supplemental cash flow information.”</w:t>
      </w:r>
    </w:p>
    <w:p>
      <w:pPr>
        <w:spacing w:after="0" w:line="217" w:lineRule="exact"/>
        <w:rPr>
          <w:sz w:val="20"/>
          <w:szCs w:val="20"/>
          <w:color w:val="auto"/>
        </w:rPr>
      </w:pPr>
    </w:p>
    <w:p>
      <w:pPr>
        <w:ind w:right="180"/>
        <w:spacing w:after="0" w:line="272" w:lineRule="auto"/>
        <w:rPr>
          <w:sz w:val="20"/>
          <w:szCs w:val="20"/>
          <w:color w:val="auto"/>
        </w:rPr>
      </w:pPr>
      <w:r>
        <w:rPr>
          <w:rFonts w:ascii="Arial" w:cs="Arial" w:eastAsia="Arial" w:hAnsi="Arial"/>
          <w:sz w:val="17"/>
          <w:szCs w:val="17"/>
          <w:i w:val="1"/>
          <w:iCs w:val="1"/>
          <w:color w:val="auto"/>
        </w:rPr>
        <w:t xml:space="preserve">1.125% Notes Call Spread Overlay. </w:t>
      </w:r>
      <w:r>
        <w:rPr>
          <w:rFonts w:ascii="Arial" w:cs="Arial" w:eastAsia="Arial" w:hAnsi="Arial"/>
          <w:sz w:val="17"/>
          <w:szCs w:val="17"/>
          <w:color w:val="auto"/>
        </w:rPr>
        <w:t>Concurrent with the issuance of the 1.125% Convertible Notes in 2013, we entered into privately</w:t>
      </w:r>
      <w:r>
        <w:rPr>
          <w:rFonts w:ascii="Arial" w:cs="Arial" w:eastAsia="Arial" w:hAnsi="Arial"/>
          <w:sz w:val="17"/>
          <w:szCs w:val="17"/>
          <w:i w:val="1"/>
          <w:iCs w:val="1"/>
          <w:color w:val="auto"/>
        </w:rPr>
        <w:t xml:space="preserve"> </w:t>
      </w:r>
      <w:r>
        <w:rPr>
          <w:rFonts w:ascii="Arial" w:cs="Arial" w:eastAsia="Arial" w:hAnsi="Arial"/>
          <w:sz w:val="17"/>
          <w:szCs w:val="17"/>
          <w:color w:val="auto"/>
        </w:rPr>
        <w:t>negotiated hedge transactions (collectively, the 1.125% Call Option) and warrant transactions (collectively, the 1.125% Warrants), with certain of the initial purchasers of the 1.125% Convertible Notes (the Counterparties). We refer to these transactions collectively as the Call Spread Overlay. Under the Call Spread Overlay, the cost of the 1.125% Call Option we purchased to cover the cash outlay upon conversion of the</w:t>
      </w:r>
    </w:p>
    <w:p>
      <w:pPr>
        <w:ind w:right="200"/>
        <w:spacing w:after="0" w:line="280" w:lineRule="auto"/>
        <w:rPr>
          <w:sz w:val="20"/>
          <w:szCs w:val="20"/>
          <w:color w:val="auto"/>
        </w:rPr>
      </w:pPr>
      <w:r>
        <w:rPr>
          <w:rFonts w:ascii="Arial" w:cs="Arial" w:eastAsia="Arial" w:hAnsi="Arial"/>
          <w:sz w:val="17"/>
          <w:szCs w:val="17"/>
          <w:color w:val="auto"/>
        </w:rPr>
        <w:t>1.125% Convertible Notes was reduced by proceeds from the sale of the 1.125% Warrants. Assuming full performance by the Counterparties (and 1.125% Warrants strike prices in excess of the conversion price of the 1.125% Convertible Notes), these transactions are intended to offset cash payments in excess of the principal amount of the 1.125% Convertible Notes due upon any conversion of such notes.</w:t>
      </w:r>
    </w:p>
    <w:p>
      <w:pPr>
        <w:spacing w:after="0" w:line="212" w:lineRule="exact"/>
        <w:rPr>
          <w:sz w:val="20"/>
          <w:szCs w:val="20"/>
          <w:color w:val="auto"/>
        </w:rPr>
      </w:pPr>
    </w:p>
    <w:p>
      <w:pPr>
        <w:ind w:right="180"/>
        <w:spacing w:after="0" w:line="271" w:lineRule="auto"/>
        <w:rPr>
          <w:sz w:val="20"/>
          <w:szCs w:val="20"/>
          <w:color w:val="auto"/>
        </w:rPr>
      </w:pPr>
      <w:r>
        <w:rPr>
          <w:rFonts w:ascii="Arial" w:cs="Arial" w:eastAsia="Arial" w:hAnsi="Arial"/>
          <w:sz w:val="18"/>
          <w:szCs w:val="18"/>
          <w:i w:val="1"/>
          <w:iCs w:val="1"/>
          <w:color w:val="auto"/>
        </w:rPr>
        <w:t xml:space="preserve">1.125% Call Option. </w:t>
      </w:r>
      <w:r>
        <w:rPr>
          <w:rFonts w:ascii="Arial" w:cs="Arial" w:eastAsia="Arial" w:hAnsi="Arial"/>
          <w:sz w:val="18"/>
          <w:szCs w:val="18"/>
          <w:color w:val="auto"/>
        </w:rPr>
        <w:t>The 1.125% Call Option, which is indexed to our common stock, is a derivative asset that requires mark-to-market</w:t>
      </w:r>
      <w:r>
        <w:rPr>
          <w:rFonts w:ascii="Arial" w:cs="Arial" w:eastAsia="Arial" w:hAnsi="Arial"/>
          <w:sz w:val="18"/>
          <w:szCs w:val="18"/>
          <w:i w:val="1"/>
          <w:iCs w:val="1"/>
          <w:color w:val="auto"/>
        </w:rPr>
        <w:t xml:space="preserve"> </w:t>
      </w:r>
      <w:r>
        <w:rPr>
          <w:rFonts w:ascii="Arial" w:cs="Arial" w:eastAsia="Arial" w:hAnsi="Arial"/>
          <w:sz w:val="18"/>
          <w:szCs w:val="18"/>
          <w:color w:val="auto"/>
        </w:rPr>
        <w:t>accounting treatment due to cash settlement features until the 1.125% Call Option settles or expires. For further discussion of the inputs used to determine the fair value of the 1.125% Call Option, refer to Note 4, “Fair Value Measurements.”</w:t>
      </w:r>
    </w:p>
    <w:p>
      <w:pPr>
        <w:spacing w:after="0" w:line="217" w:lineRule="exact"/>
        <w:rPr>
          <w:sz w:val="20"/>
          <w:szCs w:val="20"/>
          <w:color w:val="auto"/>
        </w:rPr>
      </w:pPr>
    </w:p>
    <w:p>
      <w:pPr>
        <w:ind w:right="280"/>
        <w:spacing w:after="0" w:line="264" w:lineRule="auto"/>
        <w:rPr>
          <w:sz w:val="20"/>
          <w:szCs w:val="20"/>
          <w:color w:val="auto"/>
        </w:rPr>
      </w:pPr>
      <w:r>
        <w:rPr>
          <w:rFonts w:ascii="Arial" w:cs="Arial" w:eastAsia="Arial" w:hAnsi="Arial"/>
          <w:sz w:val="18"/>
          <w:szCs w:val="18"/>
          <w:i w:val="1"/>
          <w:iCs w:val="1"/>
          <w:color w:val="auto"/>
        </w:rPr>
        <w:t xml:space="preserve">1.125% Conversion Option. </w:t>
      </w:r>
      <w:r>
        <w:rPr>
          <w:rFonts w:ascii="Arial" w:cs="Arial" w:eastAsia="Arial" w:hAnsi="Arial"/>
          <w:sz w:val="18"/>
          <w:szCs w:val="18"/>
          <w:color w:val="auto"/>
        </w:rPr>
        <w:t>The embedded cash conversion option within the 1.125% Convertible Notes is accounted for separately as a</w:t>
      </w:r>
      <w:r>
        <w:rPr>
          <w:rFonts w:ascii="Arial" w:cs="Arial" w:eastAsia="Arial" w:hAnsi="Arial"/>
          <w:sz w:val="18"/>
          <w:szCs w:val="18"/>
          <w:i w:val="1"/>
          <w:iCs w:val="1"/>
          <w:color w:val="auto"/>
        </w:rPr>
        <w:t xml:space="preserve"> </w:t>
      </w:r>
      <w:r>
        <w:rPr>
          <w:rFonts w:ascii="Arial" w:cs="Arial" w:eastAsia="Arial" w:hAnsi="Arial"/>
          <w:sz w:val="18"/>
          <w:szCs w:val="18"/>
          <w:color w:val="auto"/>
        </w:rPr>
        <w:t>derivative liability, with changes in fair value reported in our consolidated statements of operations until the cash conversion option settles or expires. For further discussion of the inputs used to determine the fair value of the 1.125% Conversion Option, refer to Note 4, “Fair Value Measurements.”</w:t>
      </w:r>
    </w:p>
    <w:p>
      <w:pPr>
        <w:spacing w:after="0" w:line="62" w:lineRule="exact"/>
        <w:rPr>
          <w:sz w:val="20"/>
          <w:szCs w:val="20"/>
          <w:color w:val="auto"/>
        </w:rPr>
      </w:pPr>
    </w:p>
    <w:p>
      <w:pPr>
        <w:jc w:val="both"/>
        <w:ind w:right="220"/>
        <w:spacing w:after="0" w:line="271" w:lineRule="auto"/>
        <w:rPr>
          <w:sz w:val="20"/>
          <w:szCs w:val="20"/>
          <w:color w:val="auto"/>
        </w:rPr>
      </w:pPr>
      <w:r>
        <w:rPr>
          <w:rFonts w:ascii="Arial" w:cs="Arial" w:eastAsia="Arial" w:hAnsi="Arial"/>
          <w:sz w:val="18"/>
          <w:szCs w:val="18"/>
          <w:color w:val="auto"/>
        </w:rPr>
        <w:t>As of September 30, 2017, the 1.125% Call Option and the 1.125% Conversion Option were classified as a current asset and current liability, respectively, because the 1.125% Convertible Notes may be converted within twelve months of September 30, 2017, as described in Note 7, “Debt.”</w:t>
      </w:r>
    </w:p>
    <w:p>
      <w:pPr>
        <w:spacing w:after="0" w:line="144" w:lineRule="exact"/>
        <w:rPr>
          <w:sz w:val="20"/>
          <w:szCs w:val="20"/>
          <w:color w:val="auto"/>
        </w:rPr>
      </w:pPr>
    </w:p>
    <w:p>
      <w:pPr>
        <w:spacing w:after="0"/>
        <w:rPr>
          <w:sz w:val="20"/>
          <w:szCs w:val="20"/>
          <w:color w:val="auto"/>
        </w:rPr>
      </w:pPr>
      <w:r>
        <w:rPr>
          <w:rFonts w:ascii="Arial" w:cs="Arial" w:eastAsia="Arial" w:hAnsi="Arial"/>
          <w:sz w:val="32"/>
          <w:szCs w:val="32"/>
          <w:b w:val="1"/>
          <w:bCs w:val="1"/>
          <w:color w:val="ACACAC"/>
        </w:rPr>
        <w:t>9. Stockholders' Equity</w:t>
      </w:r>
    </w:p>
    <w:p>
      <w:pPr>
        <w:spacing w:after="0" w:line="138" w:lineRule="exact"/>
        <w:rPr>
          <w:sz w:val="20"/>
          <w:szCs w:val="20"/>
          <w:color w:val="auto"/>
        </w:rPr>
      </w:pPr>
    </w:p>
    <w:p>
      <w:pPr>
        <w:ind w:right="340"/>
        <w:spacing w:after="0" w:line="271" w:lineRule="auto"/>
        <w:rPr>
          <w:sz w:val="20"/>
          <w:szCs w:val="20"/>
          <w:color w:val="auto"/>
        </w:rPr>
      </w:pPr>
      <w:r>
        <w:rPr>
          <w:rFonts w:ascii="Arial" w:cs="Arial" w:eastAsia="Arial" w:hAnsi="Arial"/>
          <w:sz w:val="18"/>
          <w:szCs w:val="18"/>
          <w:color w:val="auto"/>
        </w:rPr>
        <w:t>Stockholders’ equity decreased $220 million during the nine months ended September 30, 2017 compared with stockholders’ equity at December 31, 2016. The decrease was due primarily to the net loss of $250 million, partially offset by $29 million related to employee stock transactions in the nine months ended September 30, 2017.</w:t>
      </w:r>
    </w:p>
    <w:p>
      <w:pPr>
        <w:spacing w:after="0" w:line="29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Molina Healthcare, Inc. 2017 Form 10-Q | 21</w:t>
      </w:r>
    </w:p>
    <w:p>
      <w:pPr>
        <w:sectPr>
          <w:pgSz w:w="11900" w:h="16838" w:orient="portrait"/>
          <w:cols w:equalWidth="0" w:num="1">
            <w:col w:w="11420"/>
          </w:cols>
          <w:pgMar w:left="240" w:top="115" w:right="239" w:bottom="1440" w:gutter="0" w:footer="0" w:header="0"/>
        </w:sectPr>
      </w:pPr>
    </w:p>
    <w:bookmarkStart w:id="21" w:name="page22"/>
    <w:bookmarkEnd w:id="2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1.125% Warrants</w:t>
      </w:r>
    </w:p>
    <w:p>
      <w:pPr>
        <w:spacing w:after="0" w:line="225" w:lineRule="exact"/>
        <w:rPr>
          <w:sz w:val="20"/>
          <w:szCs w:val="20"/>
          <w:color w:val="auto"/>
        </w:rPr>
      </w:pPr>
    </w:p>
    <w:p>
      <w:pPr>
        <w:ind w:right="20"/>
        <w:spacing w:after="0" w:line="258" w:lineRule="auto"/>
        <w:rPr>
          <w:sz w:val="20"/>
          <w:szCs w:val="20"/>
          <w:color w:val="auto"/>
        </w:rPr>
      </w:pPr>
      <w:r>
        <w:rPr>
          <w:rFonts w:ascii="Arial" w:cs="Arial" w:eastAsia="Arial" w:hAnsi="Arial"/>
          <w:sz w:val="18"/>
          <w:szCs w:val="18"/>
          <w:color w:val="auto"/>
        </w:rPr>
        <w:t>In connection with the Call Spread Overlay transaction described in Note 8, “Derivatives,” in 2013, we issued 13,490,236 warrants with a strike price of $53.8475 per share. Under certain circumstances, beginning in April 2020, when the price of our common stock exceeds the strike price of the 1.125% Warrants, we will be obligated to issue shares of our common stock subject to a share delivery cap. The 1.125% Warrants could separately have a dilutive effect to the extent that the market value per share of our common stock exceeds the applicable strike price of the 1.125% Warrants. Refer to Note 3, “Net (Loss) Income per Share,” for dilution information for the periods presented. We will not receive any additional proceeds if the 1.125% Warrants are exercised.</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Incentive Plans</w:t>
      </w:r>
    </w:p>
    <w:p>
      <w:pPr>
        <w:spacing w:after="0" w:line="225" w:lineRule="exact"/>
        <w:rPr>
          <w:sz w:val="20"/>
          <w:szCs w:val="20"/>
          <w:color w:val="auto"/>
        </w:rPr>
      </w:pPr>
    </w:p>
    <w:p>
      <w:pPr>
        <w:ind w:right="340"/>
        <w:spacing w:after="0" w:line="292" w:lineRule="auto"/>
        <w:rPr>
          <w:sz w:val="20"/>
          <w:szCs w:val="20"/>
          <w:color w:val="auto"/>
        </w:rPr>
      </w:pPr>
      <w:r>
        <w:rPr>
          <w:rFonts w:ascii="Arial" w:cs="Arial" w:eastAsia="Arial" w:hAnsi="Arial"/>
          <w:sz w:val="18"/>
          <w:szCs w:val="18"/>
          <w:color w:val="auto"/>
        </w:rPr>
        <w:t>In connection with our equity incentive plans and employee stock purchase plan, approximately 702,000 shares of common stock vested or were purchased, net of shares used to settle employees’ income tax obligations, during the nine months ended September 30, 2017.</w:t>
      </w:r>
    </w:p>
    <w:p>
      <w:pPr>
        <w:spacing w:after="0" w:line="145" w:lineRule="exact"/>
        <w:rPr>
          <w:sz w:val="20"/>
          <w:szCs w:val="20"/>
          <w:color w:val="auto"/>
        </w:rPr>
      </w:pPr>
    </w:p>
    <w:p>
      <w:pPr>
        <w:ind w:right="160"/>
        <w:spacing w:after="0" w:line="271" w:lineRule="auto"/>
        <w:rPr>
          <w:sz w:val="20"/>
          <w:szCs w:val="20"/>
          <w:color w:val="auto"/>
        </w:rPr>
      </w:pPr>
      <w:r>
        <w:rPr>
          <w:rFonts w:ascii="Arial" w:cs="Arial" w:eastAsia="Arial" w:hAnsi="Arial"/>
          <w:sz w:val="18"/>
          <w:szCs w:val="18"/>
          <w:color w:val="auto"/>
        </w:rPr>
        <w:t>Except as noted below, we record share-based compensation as “General and administrative expenses” in the accompanying consolidated statements of operations. Restricted stock awards (RSAs), performance stock awards (PSAs) and performance stock units (PSUs) activity for the nine months ended September 30, 2017 is summarized below:</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54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20" w:type="dxa"/>
            <w:vAlign w:val="bottom"/>
          </w:tcPr>
          <w:p>
            <w:pPr>
              <w:jc w:val="center"/>
              <w:ind w:right="183"/>
              <w:spacing w:after="0"/>
              <w:rPr>
                <w:sz w:val="20"/>
                <w:szCs w:val="20"/>
                <w:color w:val="auto"/>
              </w:rPr>
            </w:pPr>
            <w:r>
              <w:rPr>
                <w:rFonts w:ascii="Arial" w:cs="Arial" w:eastAsia="Arial" w:hAnsi="Arial"/>
                <w:sz w:val="14"/>
                <w:szCs w:val="14"/>
                <w:b w:val="1"/>
                <w:bCs w:val="1"/>
                <w:color w:val="auto"/>
              </w:rPr>
              <w:t>Weighted</w:t>
            </w:r>
          </w:p>
        </w:tc>
      </w:tr>
      <w:tr>
        <w:trPr>
          <w:trHeight w:val="162"/>
        </w:trPr>
        <w:tc>
          <w:tcPr>
            <w:tcW w:w="354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20" w:type="dxa"/>
            <w:vAlign w:val="bottom"/>
          </w:tcPr>
          <w:p>
            <w:pPr>
              <w:jc w:val="center"/>
              <w:ind w:right="183"/>
              <w:spacing w:after="0"/>
              <w:rPr>
                <w:sz w:val="20"/>
                <w:szCs w:val="20"/>
                <w:color w:val="auto"/>
              </w:rPr>
            </w:pPr>
            <w:r>
              <w:rPr>
                <w:rFonts w:ascii="Arial" w:cs="Arial" w:eastAsia="Arial" w:hAnsi="Arial"/>
                <w:sz w:val="14"/>
                <w:szCs w:val="14"/>
                <w:b w:val="1"/>
                <w:bCs w:val="1"/>
                <w:color w:val="auto"/>
              </w:rPr>
              <w:t>Average</w:t>
            </w:r>
          </w:p>
        </w:tc>
      </w:tr>
      <w:tr>
        <w:trPr>
          <w:trHeight w:val="162"/>
        </w:trPr>
        <w:tc>
          <w:tcPr>
            <w:tcW w:w="3540" w:type="dxa"/>
            <w:vAlign w:val="bottom"/>
          </w:tcPr>
          <w:p>
            <w:pPr>
              <w:spacing w:after="0"/>
              <w:rPr>
                <w:sz w:val="14"/>
                <w:szCs w:val="14"/>
                <w:color w:val="auto"/>
              </w:rPr>
            </w:pPr>
          </w:p>
        </w:tc>
        <w:tc>
          <w:tcPr>
            <w:tcW w:w="1620" w:type="dxa"/>
            <w:vAlign w:val="bottom"/>
            <w:gridSpan w:val="2"/>
          </w:tcPr>
          <w:p>
            <w:pPr>
              <w:ind w:left="180"/>
              <w:spacing w:after="0"/>
              <w:rPr>
                <w:sz w:val="20"/>
                <w:szCs w:val="20"/>
                <w:color w:val="auto"/>
              </w:rPr>
            </w:pPr>
            <w:r>
              <w:rPr>
                <w:rFonts w:ascii="Arial" w:cs="Arial" w:eastAsia="Arial" w:hAnsi="Arial"/>
                <w:sz w:val="14"/>
                <w:szCs w:val="14"/>
                <w:b w:val="1"/>
                <w:bCs w:val="1"/>
                <w:color w:val="auto"/>
              </w:rPr>
              <w:t>Restricted Stock</w:t>
            </w:r>
          </w:p>
        </w:tc>
        <w:tc>
          <w:tcPr>
            <w:tcW w:w="1620" w:type="dxa"/>
            <w:vAlign w:val="bottom"/>
            <w:gridSpan w:val="2"/>
          </w:tcPr>
          <w:p>
            <w:pPr>
              <w:ind w:left="100"/>
              <w:spacing w:after="0"/>
              <w:rPr>
                <w:sz w:val="20"/>
                <w:szCs w:val="20"/>
                <w:color w:val="auto"/>
              </w:rPr>
            </w:pPr>
            <w:r>
              <w:rPr>
                <w:rFonts w:ascii="Arial" w:cs="Arial" w:eastAsia="Arial" w:hAnsi="Arial"/>
                <w:sz w:val="14"/>
                <w:szCs w:val="14"/>
                <w:b w:val="1"/>
                <w:bCs w:val="1"/>
                <w:color w:val="auto"/>
              </w:rPr>
              <w:t>Performance Stock</w:t>
            </w:r>
          </w:p>
        </w:tc>
        <w:tc>
          <w:tcPr>
            <w:tcW w:w="1580" w:type="dxa"/>
            <w:vAlign w:val="bottom"/>
            <w:gridSpan w:val="2"/>
          </w:tcPr>
          <w:p>
            <w:pPr>
              <w:ind w:left="80"/>
              <w:spacing w:after="0"/>
              <w:rPr>
                <w:sz w:val="20"/>
                <w:szCs w:val="20"/>
                <w:color w:val="auto"/>
              </w:rPr>
            </w:pPr>
            <w:r>
              <w:rPr>
                <w:rFonts w:ascii="Arial" w:cs="Arial" w:eastAsia="Arial" w:hAnsi="Arial"/>
                <w:sz w:val="14"/>
                <w:szCs w:val="14"/>
                <w:b w:val="1"/>
                <w:bCs w:val="1"/>
                <w:color w:val="auto"/>
              </w:rPr>
              <w:t>Performance Stock</w:t>
            </w:r>
          </w:p>
        </w:tc>
        <w:tc>
          <w:tcPr>
            <w:tcW w:w="1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20" w:type="dxa"/>
            <w:vAlign w:val="bottom"/>
          </w:tcPr>
          <w:p>
            <w:pPr>
              <w:jc w:val="center"/>
              <w:ind w:right="163"/>
              <w:spacing w:after="0"/>
              <w:rPr>
                <w:sz w:val="20"/>
                <w:szCs w:val="20"/>
                <w:color w:val="auto"/>
              </w:rPr>
            </w:pPr>
            <w:r>
              <w:rPr>
                <w:rFonts w:ascii="Arial" w:cs="Arial" w:eastAsia="Arial" w:hAnsi="Arial"/>
                <w:sz w:val="14"/>
                <w:szCs w:val="14"/>
                <w:b w:val="1"/>
                <w:bCs w:val="1"/>
                <w:color w:val="auto"/>
              </w:rPr>
              <w:t>Grant Date</w:t>
            </w:r>
          </w:p>
        </w:tc>
      </w:tr>
      <w:tr>
        <w:trPr>
          <w:trHeight w:val="203"/>
        </w:trPr>
        <w:tc>
          <w:tcPr>
            <w:tcW w:w="3540" w:type="dxa"/>
            <w:vAlign w:val="bottom"/>
            <w:tcBorders>
              <w:bottom w:val="single" w:sz="8" w:color="CCEEFF"/>
            </w:tcBorders>
          </w:tcPr>
          <w:p>
            <w:pPr>
              <w:spacing w:after="0"/>
              <w:rPr>
                <w:sz w:val="17"/>
                <w:szCs w:val="17"/>
                <w:color w:val="auto"/>
              </w:rPr>
            </w:pPr>
          </w:p>
        </w:tc>
        <w:tc>
          <w:tcPr>
            <w:tcW w:w="1500" w:type="dxa"/>
            <w:vAlign w:val="bottom"/>
            <w:tcBorders>
              <w:bottom w:val="single" w:sz="8" w:color="auto"/>
            </w:tcBorders>
          </w:tcPr>
          <w:p>
            <w:pPr>
              <w:jc w:val="right"/>
              <w:ind w:right="402"/>
              <w:spacing w:after="0"/>
              <w:rPr>
                <w:sz w:val="20"/>
                <w:szCs w:val="20"/>
                <w:color w:val="auto"/>
              </w:rPr>
            </w:pPr>
            <w:r>
              <w:rPr>
                <w:rFonts w:ascii="Arial" w:cs="Arial" w:eastAsia="Arial" w:hAnsi="Arial"/>
                <w:sz w:val="14"/>
                <w:szCs w:val="14"/>
                <w:b w:val="1"/>
                <w:bCs w:val="1"/>
                <w:color w:val="auto"/>
              </w:rPr>
              <w:t>Awards</w:t>
            </w:r>
          </w:p>
        </w:tc>
        <w:tc>
          <w:tcPr>
            <w:tcW w:w="120" w:type="dxa"/>
            <w:vAlign w:val="bottom"/>
            <w:tcBorders>
              <w:bottom w:val="single" w:sz="8" w:color="CCEEFF"/>
            </w:tcBorders>
          </w:tcPr>
          <w:p>
            <w:pPr>
              <w:spacing w:after="0"/>
              <w:rPr>
                <w:sz w:val="17"/>
                <w:szCs w:val="17"/>
                <w:color w:val="auto"/>
              </w:rPr>
            </w:pPr>
          </w:p>
        </w:tc>
        <w:tc>
          <w:tcPr>
            <w:tcW w:w="1500" w:type="dxa"/>
            <w:vAlign w:val="bottom"/>
            <w:tcBorders>
              <w:bottom w:val="single" w:sz="8" w:color="auto"/>
            </w:tcBorders>
          </w:tcPr>
          <w:p>
            <w:pPr>
              <w:jc w:val="right"/>
              <w:ind w:right="402"/>
              <w:spacing w:after="0"/>
              <w:rPr>
                <w:sz w:val="20"/>
                <w:szCs w:val="20"/>
                <w:color w:val="auto"/>
              </w:rPr>
            </w:pPr>
            <w:r>
              <w:rPr>
                <w:rFonts w:ascii="Arial" w:cs="Arial" w:eastAsia="Arial" w:hAnsi="Arial"/>
                <w:sz w:val="14"/>
                <w:szCs w:val="14"/>
                <w:b w:val="1"/>
                <w:bCs w:val="1"/>
                <w:color w:val="auto"/>
              </w:rPr>
              <w:t>Awards</w:t>
            </w:r>
          </w:p>
        </w:tc>
        <w:tc>
          <w:tcPr>
            <w:tcW w:w="120" w:type="dxa"/>
            <w:vAlign w:val="bottom"/>
            <w:tcBorders>
              <w:bottom w:val="single" w:sz="8" w:color="CCEEFF"/>
            </w:tcBorders>
          </w:tcPr>
          <w:p>
            <w:pPr>
              <w:spacing w:after="0"/>
              <w:rPr>
                <w:sz w:val="17"/>
                <w:szCs w:val="17"/>
                <w:color w:val="auto"/>
              </w:rPr>
            </w:pPr>
          </w:p>
        </w:tc>
        <w:tc>
          <w:tcPr>
            <w:tcW w:w="1480" w:type="dxa"/>
            <w:vAlign w:val="bottom"/>
            <w:tcBorders>
              <w:bottom w:val="single" w:sz="8" w:color="auto"/>
            </w:tcBorders>
          </w:tcPr>
          <w:p>
            <w:pPr>
              <w:jc w:val="right"/>
              <w:ind w:right="482"/>
              <w:spacing w:after="0"/>
              <w:rPr>
                <w:sz w:val="20"/>
                <w:szCs w:val="20"/>
                <w:color w:val="auto"/>
              </w:rPr>
            </w:pPr>
            <w:r>
              <w:rPr>
                <w:rFonts w:ascii="Arial" w:cs="Arial" w:eastAsia="Arial" w:hAnsi="Arial"/>
                <w:sz w:val="14"/>
                <w:szCs w:val="14"/>
                <w:b w:val="1"/>
                <w:bCs w:val="1"/>
                <w:color w:val="auto"/>
              </w:rPr>
              <w:t>Units</w:t>
            </w:r>
          </w:p>
        </w:tc>
        <w:tc>
          <w:tcPr>
            <w:tcW w:w="100" w:type="dxa"/>
            <w:vAlign w:val="bottom"/>
            <w:tcBorders>
              <w:bottom w:val="single" w:sz="8" w:color="CCEEFF"/>
            </w:tcBorders>
          </w:tcPr>
          <w:p>
            <w:pPr>
              <w:spacing w:after="0"/>
              <w:rPr>
                <w:sz w:val="17"/>
                <w:szCs w:val="17"/>
                <w:color w:val="auto"/>
              </w:rPr>
            </w:pPr>
          </w:p>
        </w:tc>
        <w:tc>
          <w:tcPr>
            <w:tcW w:w="1480" w:type="dxa"/>
            <w:vAlign w:val="bottom"/>
            <w:tcBorders>
              <w:bottom w:val="single" w:sz="8" w:color="auto"/>
            </w:tcBorders>
          </w:tcPr>
          <w:p>
            <w:pPr>
              <w:jc w:val="right"/>
              <w:ind w:right="480"/>
              <w:spacing w:after="0"/>
              <w:rPr>
                <w:sz w:val="20"/>
                <w:szCs w:val="20"/>
                <w:color w:val="auto"/>
              </w:rPr>
            </w:pPr>
            <w:r>
              <w:rPr>
                <w:rFonts w:ascii="Arial" w:cs="Arial" w:eastAsia="Arial" w:hAnsi="Arial"/>
                <w:sz w:val="14"/>
                <w:szCs w:val="14"/>
                <w:b w:val="1"/>
                <w:bCs w:val="1"/>
                <w:color w:val="auto"/>
              </w:rPr>
              <w:t>Total</w:t>
            </w:r>
          </w:p>
        </w:tc>
        <w:tc>
          <w:tcPr>
            <w:tcW w:w="10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center"/>
              <w:ind w:right="183"/>
              <w:spacing w:after="0"/>
              <w:rPr>
                <w:sz w:val="20"/>
                <w:szCs w:val="20"/>
                <w:color w:val="auto"/>
              </w:rPr>
            </w:pPr>
            <w:r>
              <w:rPr>
                <w:rFonts w:ascii="Arial" w:cs="Arial" w:eastAsia="Arial" w:hAnsi="Arial"/>
                <w:sz w:val="14"/>
                <w:szCs w:val="14"/>
                <w:b w:val="1"/>
                <w:bCs w:val="1"/>
                <w:color w:val="auto"/>
              </w:rPr>
              <w:t>Fair Value</w:t>
            </w:r>
          </w:p>
        </w:tc>
      </w:tr>
      <w:tr>
        <w:trPr>
          <w:trHeight w:val="251"/>
        </w:trPr>
        <w:tc>
          <w:tcPr>
            <w:tcW w:w="3540" w:type="dxa"/>
            <w:vAlign w:val="bottom"/>
            <w:shd w:val="clear" w:color="auto" w:fill="CCEEFF"/>
          </w:tcPr>
          <w:p>
            <w:pPr>
              <w:ind w:left="40"/>
              <w:spacing w:after="0"/>
              <w:rPr>
                <w:sz w:val="20"/>
                <w:szCs w:val="20"/>
                <w:color w:val="auto"/>
              </w:rPr>
            </w:pPr>
            <w:r>
              <w:rPr>
                <w:rFonts w:ascii="Arial" w:cs="Arial" w:eastAsia="Arial" w:hAnsi="Arial"/>
                <w:sz w:val="16"/>
                <w:szCs w:val="16"/>
                <w:color w:val="auto"/>
              </w:rPr>
              <w:t>Unvested balance, December 31, 2016</w:t>
            </w:r>
          </w:p>
        </w:tc>
        <w:tc>
          <w:tcPr>
            <w:tcW w:w="150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577,244</w:t>
            </w:r>
          </w:p>
        </w:tc>
        <w:tc>
          <w:tcPr>
            <w:tcW w:w="120" w:type="dxa"/>
            <w:vAlign w:val="bottom"/>
            <w:shd w:val="clear" w:color="auto" w:fill="CCEEFF"/>
          </w:tcPr>
          <w:p>
            <w:pPr>
              <w:spacing w:after="0"/>
              <w:rPr>
                <w:sz w:val="21"/>
                <w:szCs w:val="21"/>
                <w:color w:val="auto"/>
              </w:rPr>
            </w:pPr>
          </w:p>
        </w:tc>
        <w:tc>
          <w:tcPr>
            <w:tcW w:w="150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345,656</w:t>
            </w:r>
          </w:p>
        </w:tc>
        <w:tc>
          <w:tcPr>
            <w:tcW w:w="120" w:type="dxa"/>
            <w:vAlign w:val="bottom"/>
            <w:shd w:val="clear" w:color="auto" w:fill="CCEEFF"/>
          </w:tcPr>
          <w:p>
            <w:pPr>
              <w:spacing w:after="0"/>
              <w:rPr>
                <w:sz w:val="21"/>
                <w:szCs w:val="21"/>
                <w:color w:val="auto"/>
              </w:rPr>
            </w:pPr>
          </w:p>
        </w:tc>
        <w:tc>
          <w:tcPr>
            <w:tcW w:w="158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48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922,900</w:t>
            </w:r>
          </w:p>
        </w:tc>
        <w:tc>
          <w:tcPr>
            <w:tcW w:w="36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220" w:type="dxa"/>
            <w:vAlign w:val="bottom"/>
            <w:shd w:val="clear" w:color="auto" w:fill="CCEEFF"/>
          </w:tcPr>
          <w:p>
            <w:pPr>
              <w:jc w:val="right"/>
              <w:ind w:right="23"/>
              <w:spacing w:after="0"/>
              <w:rPr>
                <w:sz w:val="20"/>
                <w:szCs w:val="20"/>
                <w:color w:val="auto"/>
              </w:rPr>
            </w:pPr>
            <w:r>
              <w:rPr>
                <w:rFonts w:ascii="Arial" w:cs="Arial" w:eastAsia="Arial" w:hAnsi="Arial"/>
                <w:sz w:val="16"/>
                <w:szCs w:val="16"/>
                <w:color w:val="auto"/>
              </w:rPr>
              <w:t>58.15</w:t>
            </w:r>
          </w:p>
        </w:tc>
      </w:tr>
      <w:tr>
        <w:trPr>
          <w:trHeight w:val="262"/>
        </w:trPr>
        <w:tc>
          <w:tcPr>
            <w:tcW w:w="3540" w:type="dxa"/>
            <w:vAlign w:val="bottom"/>
          </w:tcPr>
          <w:p>
            <w:pPr>
              <w:ind w:left="40"/>
              <w:spacing w:after="0"/>
              <w:rPr>
                <w:sz w:val="20"/>
                <w:szCs w:val="20"/>
                <w:color w:val="auto"/>
              </w:rPr>
            </w:pPr>
            <w:r>
              <w:rPr>
                <w:rFonts w:ascii="Arial" w:cs="Arial" w:eastAsia="Arial" w:hAnsi="Arial"/>
                <w:sz w:val="16"/>
                <w:szCs w:val="16"/>
                <w:color w:val="auto"/>
              </w:rPr>
              <w:t>Granted</w:t>
            </w:r>
          </w:p>
        </w:tc>
        <w:tc>
          <w:tcPr>
            <w:tcW w:w="1500" w:type="dxa"/>
            <w:vAlign w:val="bottom"/>
          </w:tcPr>
          <w:p>
            <w:pPr>
              <w:jc w:val="right"/>
              <w:ind w:right="42"/>
              <w:spacing w:after="0"/>
              <w:rPr>
                <w:sz w:val="20"/>
                <w:szCs w:val="20"/>
                <w:color w:val="auto"/>
              </w:rPr>
            </w:pPr>
            <w:r>
              <w:rPr>
                <w:rFonts w:ascii="Arial" w:cs="Arial" w:eastAsia="Arial" w:hAnsi="Arial"/>
                <w:sz w:val="16"/>
                <w:szCs w:val="16"/>
                <w:color w:val="auto"/>
              </w:rPr>
              <w:t>386,273</w:t>
            </w:r>
          </w:p>
        </w:tc>
        <w:tc>
          <w:tcPr>
            <w:tcW w:w="120" w:type="dxa"/>
            <w:vAlign w:val="bottom"/>
          </w:tcPr>
          <w:p>
            <w:pPr>
              <w:spacing w:after="0"/>
              <w:rPr>
                <w:sz w:val="22"/>
                <w:szCs w:val="22"/>
                <w:color w:val="auto"/>
              </w:rPr>
            </w:pPr>
          </w:p>
        </w:tc>
        <w:tc>
          <w:tcPr>
            <w:tcW w:w="16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80" w:type="dxa"/>
            <w:vAlign w:val="bottom"/>
          </w:tcPr>
          <w:p>
            <w:pPr>
              <w:jc w:val="right"/>
              <w:ind w:right="22"/>
              <w:spacing w:after="0"/>
              <w:rPr>
                <w:sz w:val="20"/>
                <w:szCs w:val="20"/>
                <w:color w:val="auto"/>
              </w:rPr>
            </w:pPr>
            <w:r>
              <w:rPr>
                <w:rFonts w:ascii="Arial" w:cs="Arial" w:eastAsia="Arial" w:hAnsi="Arial"/>
                <w:sz w:val="16"/>
                <w:szCs w:val="16"/>
                <w:color w:val="auto"/>
              </w:rPr>
              <w:t>231,100</w:t>
            </w:r>
          </w:p>
        </w:tc>
        <w:tc>
          <w:tcPr>
            <w:tcW w:w="100" w:type="dxa"/>
            <w:vAlign w:val="bottom"/>
          </w:tcPr>
          <w:p>
            <w:pPr>
              <w:spacing w:after="0"/>
              <w:rPr>
                <w:sz w:val="22"/>
                <w:szCs w:val="22"/>
                <w:color w:val="auto"/>
              </w:rPr>
            </w:pPr>
          </w:p>
        </w:tc>
        <w:tc>
          <w:tcPr>
            <w:tcW w:w="1480" w:type="dxa"/>
            <w:vAlign w:val="bottom"/>
          </w:tcPr>
          <w:p>
            <w:pPr>
              <w:jc w:val="right"/>
              <w:ind w:right="20"/>
              <w:spacing w:after="0"/>
              <w:rPr>
                <w:sz w:val="20"/>
                <w:szCs w:val="20"/>
                <w:color w:val="auto"/>
              </w:rPr>
            </w:pPr>
            <w:r>
              <w:rPr>
                <w:rFonts w:ascii="Arial" w:cs="Arial" w:eastAsia="Arial" w:hAnsi="Arial"/>
                <w:sz w:val="16"/>
                <w:szCs w:val="16"/>
                <w:color w:val="auto"/>
              </w:rPr>
              <w:t>617,373</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220" w:type="dxa"/>
            <w:vAlign w:val="bottom"/>
          </w:tcPr>
          <w:p>
            <w:pPr>
              <w:jc w:val="right"/>
              <w:ind w:right="23"/>
              <w:spacing w:after="0"/>
              <w:rPr>
                <w:sz w:val="20"/>
                <w:szCs w:val="20"/>
                <w:color w:val="auto"/>
              </w:rPr>
            </w:pPr>
            <w:r>
              <w:rPr>
                <w:rFonts w:ascii="Arial" w:cs="Arial" w:eastAsia="Arial" w:hAnsi="Arial"/>
                <w:sz w:val="16"/>
                <w:szCs w:val="16"/>
                <w:color w:val="auto"/>
              </w:rPr>
              <w:t>57.16</w:t>
            </w:r>
          </w:p>
        </w:tc>
      </w:tr>
      <w:tr>
        <w:trPr>
          <w:trHeight w:val="278"/>
        </w:trPr>
        <w:tc>
          <w:tcPr>
            <w:tcW w:w="3540" w:type="dxa"/>
            <w:vAlign w:val="bottom"/>
            <w:shd w:val="clear" w:color="auto" w:fill="CCEEFF"/>
          </w:tcPr>
          <w:p>
            <w:pPr>
              <w:ind w:left="40"/>
              <w:spacing w:after="0"/>
              <w:rPr>
                <w:sz w:val="20"/>
                <w:szCs w:val="20"/>
                <w:color w:val="auto"/>
              </w:rPr>
            </w:pPr>
            <w:r>
              <w:rPr>
                <w:rFonts w:ascii="Arial" w:cs="Arial" w:eastAsia="Arial" w:hAnsi="Arial"/>
                <w:sz w:val="16"/>
                <w:szCs w:val="16"/>
                <w:color w:val="auto"/>
              </w:rPr>
              <w:t>Vested</w:t>
            </w:r>
          </w:p>
        </w:tc>
        <w:tc>
          <w:tcPr>
            <w:tcW w:w="1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(391,680)</w:t>
            </w:r>
          </w:p>
        </w:tc>
        <w:tc>
          <w:tcPr>
            <w:tcW w:w="120" w:type="dxa"/>
            <w:vAlign w:val="bottom"/>
            <w:shd w:val="clear" w:color="auto" w:fill="CCEEFF"/>
          </w:tcPr>
          <w:p>
            <w:pPr>
              <w:spacing w:after="0"/>
              <w:rPr>
                <w:sz w:val="24"/>
                <w:szCs w:val="24"/>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(260,894)</w:t>
            </w:r>
          </w:p>
        </w:tc>
        <w:tc>
          <w:tcPr>
            <w:tcW w:w="120" w:type="dxa"/>
            <w:vAlign w:val="bottom"/>
            <w:shd w:val="clear" w:color="auto" w:fill="CCEEFF"/>
          </w:tcPr>
          <w:p>
            <w:pPr>
              <w:spacing w:after="0"/>
              <w:rPr>
                <w:sz w:val="24"/>
                <w:szCs w:val="24"/>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(139,272)</w:t>
            </w:r>
          </w:p>
        </w:tc>
        <w:tc>
          <w:tcPr>
            <w:tcW w:w="100" w:type="dxa"/>
            <w:vAlign w:val="bottom"/>
            <w:shd w:val="clear" w:color="auto" w:fill="CCEEFF"/>
          </w:tcPr>
          <w:p>
            <w:pPr>
              <w:spacing w:after="0"/>
              <w:rPr>
                <w:sz w:val="24"/>
                <w:szCs w:val="24"/>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(791,846)</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23"/>
              <w:spacing w:after="0"/>
              <w:rPr>
                <w:sz w:val="20"/>
                <w:szCs w:val="20"/>
                <w:color w:val="auto"/>
              </w:rPr>
            </w:pPr>
            <w:r>
              <w:rPr>
                <w:rFonts w:ascii="Arial" w:cs="Arial" w:eastAsia="Arial" w:hAnsi="Arial"/>
                <w:sz w:val="16"/>
                <w:szCs w:val="16"/>
                <w:color w:val="auto"/>
              </w:rPr>
              <w:t>57.78</w:t>
            </w:r>
          </w:p>
        </w:tc>
      </w:tr>
      <w:tr>
        <w:trPr>
          <w:trHeight w:val="264"/>
        </w:trPr>
        <w:tc>
          <w:tcPr>
            <w:tcW w:w="3540" w:type="dxa"/>
            <w:vAlign w:val="bottom"/>
          </w:tcPr>
          <w:p>
            <w:pPr>
              <w:ind w:left="40"/>
              <w:spacing w:after="0"/>
              <w:rPr>
                <w:sz w:val="20"/>
                <w:szCs w:val="20"/>
                <w:color w:val="auto"/>
              </w:rPr>
            </w:pPr>
            <w:r>
              <w:rPr>
                <w:rFonts w:ascii="Arial" w:cs="Arial" w:eastAsia="Arial" w:hAnsi="Arial"/>
                <w:sz w:val="16"/>
                <w:szCs w:val="16"/>
                <w:color w:val="auto"/>
              </w:rPr>
              <w:t>Forfeited</w:t>
            </w:r>
          </w:p>
        </w:tc>
        <w:tc>
          <w:tcPr>
            <w:tcW w:w="1500" w:type="dxa"/>
            <w:vAlign w:val="bottom"/>
          </w:tcPr>
          <w:p>
            <w:pPr>
              <w:jc w:val="right"/>
              <w:spacing w:after="0"/>
              <w:rPr>
                <w:sz w:val="20"/>
                <w:szCs w:val="20"/>
                <w:color w:val="auto"/>
              </w:rPr>
            </w:pPr>
            <w:r>
              <w:rPr>
                <w:rFonts w:ascii="Arial" w:cs="Arial" w:eastAsia="Arial" w:hAnsi="Arial"/>
                <w:sz w:val="16"/>
                <w:szCs w:val="16"/>
                <w:color w:val="auto"/>
              </w:rPr>
              <w:t>(69,346)</w:t>
            </w:r>
          </w:p>
        </w:tc>
        <w:tc>
          <w:tcPr>
            <w:tcW w:w="120" w:type="dxa"/>
            <w:vAlign w:val="bottom"/>
          </w:tcPr>
          <w:p>
            <w:pPr>
              <w:spacing w:after="0"/>
              <w:rPr>
                <w:sz w:val="22"/>
                <w:szCs w:val="22"/>
                <w:color w:val="auto"/>
              </w:rPr>
            </w:pPr>
          </w:p>
        </w:tc>
        <w:tc>
          <w:tcPr>
            <w:tcW w:w="16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5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80" w:type="dxa"/>
            <w:vAlign w:val="bottom"/>
          </w:tcPr>
          <w:p>
            <w:pPr>
              <w:jc w:val="right"/>
              <w:spacing w:after="0"/>
              <w:rPr>
                <w:sz w:val="20"/>
                <w:szCs w:val="20"/>
                <w:color w:val="auto"/>
              </w:rPr>
            </w:pPr>
            <w:r>
              <w:rPr>
                <w:rFonts w:ascii="Arial" w:cs="Arial" w:eastAsia="Arial" w:hAnsi="Arial"/>
                <w:sz w:val="16"/>
                <w:szCs w:val="16"/>
                <w:color w:val="auto"/>
              </w:rPr>
              <w:t>(69,346)</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220" w:type="dxa"/>
            <w:vAlign w:val="bottom"/>
          </w:tcPr>
          <w:p>
            <w:pPr>
              <w:jc w:val="right"/>
              <w:ind w:right="23"/>
              <w:spacing w:after="0"/>
              <w:rPr>
                <w:sz w:val="20"/>
                <w:szCs w:val="20"/>
                <w:color w:val="auto"/>
              </w:rPr>
            </w:pPr>
            <w:r>
              <w:rPr>
                <w:rFonts w:ascii="Arial" w:cs="Arial" w:eastAsia="Arial" w:hAnsi="Arial"/>
                <w:sz w:val="16"/>
                <w:szCs w:val="16"/>
                <w:color w:val="auto"/>
              </w:rPr>
              <w:t>54.37</w:t>
            </w:r>
          </w:p>
        </w:tc>
      </w:tr>
      <w:tr>
        <w:trPr>
          <w:trHeight w:val="242"/>
        </w:trPr>
        <w:tc>
          <w:tcPr>
            <w:tcW w:w="35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Unvested balance, September 30, 2017</w:t>
            </w:r>
          </w:p>
        </w:tc>
        <w:tc>
          <w:tcPr>
            <w:tcW w:w="1500" w:type="dxa"/>
            <w:vAlign w:val="bottom"/>
            <w:tcBorders>
              <w:top w:val="single" w:sz="8" w:color="auto"/>
              <w:bottom w:val="single" w:sz="8" w:color="auto"/>
            </w:tcBorders>
            <w:shd w:val="clear" w:color="auto" w:fill="CCEEFF"/>
          </w:tcPr>
          <w:p>
            <w:pPr>
              <w:jc w:val="right"/>
              <w:ind w:right="42"/>
              <w:spacing w:after="0"/>
              <w:rPr>
                <w:sz w:val="20"/>
                <w:szCs w:val="20"/>
                <w:color w:val="auto"/>
              </w:rPr>
            </w:pPr>
            <w:r>
              <w:rPr>
                <w:rFonts w:ascii="Arial" w:cs="Arial" w:eastAsia="Arial" w:hAnsi="Arial"/>
                <w:sz w:val="16"/>
                <w:szCs w:val="16"/>
                <w:color w:val="auto"/>
              </w:rPr>
              <w:t>502,491</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500" w:type="dxa"/>
            <w:vAlign w:val="bottom"/>
            <w:tcBorders>
              <w:top w:val="single" w:sz="8" w:color="auto"/>
              <w:bottom w:val="single" w:sz="8" w:color="auto"/>
            </w:tcBorders>
            <w:shd w:val="clear" w:color="auto" w:fill="CCEEFF"/>
          </w:tcPr>
          <w:p>
            <w:pPr>
              <w:jc w:val="right"/>
              <w:ind w:right="42"/>
              <w:spacing w:after="0"/>
              <w:rPr>
                <w:sz w:val="20"/>
                <w:szCs w:val="20"/>
                <w:color w:val="auto"/>
              </w:rPr>
            </w:pPr>
            <w:r>
              <w:rPr>
                <w:rFonts w:ascii="Arial" w:cs="Arial" w:eastAsia="Arial" w:hAnsi="Arial"/>
                <w:sz w:val="16"/>
                <w:szCs w:val="16"/>
                <w:color w:val="auto"/>
              </w:rPr>
              <w:t>84,762</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80" w:type="dxa"/>
            <w:vAlign w:val="bottom"/>
            <w:tcBorders>
              <w:top w:val="single" w:sz="8" w:color="auto"/>
              <w:bottom w:val="single" w:sz="8" w:color="auto"/>
            </w:tcBorders>
            <w:shd w:val="clear" w:color="auto" w:fill="CCEEFF"/>
          </w:tcPr>
          <w:p>
            <w:pPr>
              <w:jc w:val="right"/>
              <w:ind w:right="22"/>
              <w:spacing w:after="0"/>
              <w:rPr>
                <w:sz w:val="20"/>
                <w:szCs w:val="20"/>
                <w:color w:val="auto"/>
              </w:rPr>
            </w:pPr>
            <w:r>
              <w:rPr>
                <w:rFonts w:ascii="Arial" w:cs="Arial" w:eastAsia="Arial" w:hAnsi="Arial"/>
                <w:sz w:val="16"/>
                <w:szCs w:val="16"/>
                <w:color w:val="auto"/>
              </w:rPr>
              <w:t>91,828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80" w:type="dxa"/>
            <w:vAlign w:val="bottom"/>
            <w:tcBorders>
              <w:top w:val="single" w:sz="8" w:color="auto"/>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679,081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CCEEFF"/>
              <w:bottom w:val="single" w:sz="8" w:color="CCEEFF"/>
            </w:tcBorders>
            <w:shd w:val="clear" w:color="auto" w:fill="CCEEFF"/>
          </w:tcPr>
          <w:p>
            <w:pPr>
              <w:spacing w:after="0"/>
              <w:rPr>
                <w:sz w:val="21"/>
                <w:szCs w:val="21"/>
                <w:color w:val="auto"/>
              </w:rPr>
            </w:pPr>
          </w:p>
        </w:tc>
        <w:tc>
          <w:tcPr>
            <w:tcW w:w="1220" w:type="dxa"/>
            <w:vAlign w:val="bottom"/>
            <w:tcBorders>
              <w:top w:val="single" w:sz="8" w:color="CCEEFF"/>
              <w:bottom w:val="single" w:sz="8" w:color="CCEEFF"/>
            </w:tcBorders>
            <w:shd w:val="clear" w:color="auto" w:fill="CCEEFF"/>
          </w:tcPr>
          <w:p>
            <w:pPr>
              <w:jc w:val="right"/>
              <w:ind w:right="23"/>
              <w:spacing w:after="0"/>
              <w:rPr>
                <w:sz w:val="20"/>
                <w:szCs w:val="20"/>
                <w:color w:val="auto"/>
              </w:rPr>
            </w:pPr>
            <w:r>
              <w:rPr>
                <w:rFonts w:ascii="Arial" w:cs="Arial" w:eastAsia="Arial" w:hAnsi="Arial"/>
                <w:sz w:val="16"/>
                <w:szCs w:val="16"/>
                <w:color w:val="auto"/>
              </w:rPr>
              <w:t>57.61</w:t>
            </w:r>
          </w:p>
        </w:tc>
      </w:tr>
      <w:tr>
        <w:trPr>
          <w:trHeight w:val="20"/>
        </w:trPr>
        <w:tc>
          <w:tcPr>
            <w:tcW w:w="354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r>
    </w:tbl>
    <w:p>
      <w:pPr>
        <w:spacing w:after="0" w:line="85" w:lineRule="exact"/>
        <w:rPr>
          <w:sz w:val="20"/>
          <w:szCs w:val="20"/>
          <w:color w:val="auto"/>
        </w:rPr>
      </w:pPr>
    </w:p>
    <w:p>
      <w:pPr>
        <w:ind w:right="20"/>
        <w:spacing w:after="0" w:line="271" w:lineRule="auto"/>
        <w:rPr>
          <w:sz w:val="20"/>
          <w:szCs w:val="20"/>
          <w:color w:val="auto"/>
        </w:rPr>
      </w:pPr>
      <w:r>
        <w:rPr>
          <w:rFonts w:ascii="Arial" w:cs="Arial" w:eastAsia="Arial" w:hAnsi="Arial"/>
          <w:sz w:val="18"/>
          <w:szCs w:val="18"/>
          <w:color w:val="auto"/>
        </w:rPr>
        <w:t>The total fair value of RSAs granted during the nine months ended September 30, 2017 and 2016 was $19 million and $18 million, respectively. The total fair value of RSAs which vested during the nine months ended September 30, 2017 and 2016 was $21 million and $22 million, respectively.</w:t>
      </w:r>
    </w:p>
    <w:p>
      <w:pPr>
        <w:spacing w:after="0" w:line="55" w:lineRule="exact"/>
        <w:rPr>
          <w:sz w:val="20"/>
          <w:szCs w:val="20"/>
          <w:color w:val="auto"/>
        </w:rPr>
      </w:pPr>
    </w:p>
    <w:p>
      <w:pPr>
        <w:ind w:right="100"/>
        <w:spacing w:after="0" w:line="271" w:lineRule="auto"/>
        <w:rPr>
          <w:sz w:val="20"/>
          <w:szCs w:val="20"/>
          <w:color w:val="auto"/>
        </w:rPr>
      </w:pPr>
      <w:r>
        <w:rPr>
          <w:rFonts w:ascii="Arial" w:cs="Arial" w:eastAsia="Arial" w:hAnsi="Arial"/>
          <w:sz w:val="18"/>
          <w:szCs w:val="18"/>
          <w:color w:val="auto"/>
        </w:rPr>
        <w:t>No PSAs were granted during the nine months ended September 30, 2017. The total fair value of PSAs granted during the nine months ended September 30, 2016 was $15 million. The total fair value of PSAs which vested during the nine months ended September 30, 2017 was $15 million. No PSAs vested during the nine months ended September 30, 2016.</w:t>
      </w:r>
    </w:p>
    <w:p>
      <w:pPr>
        <w:spacing w:after="0" w:line="55" w:lineRule="exact"/>
        <w:rPr>
          <w:sz w:val="20"/>
          <w:szCs w:val="20"/>
          <w:color w:val="auto"/>
        </w:rPr>
      </w:pPr>
    </w:p>
    <w:p>
      <w:pPr>
        <w:ind w:right="360"/>
        <w:spacing w:after="0" w:line="292" w:lineRule="auto"/>
        <w:rPr>
          <w:sz w:val="20"/>
          <w:szCs w:val="20"/>
          <w:color w:val="auto"/>
        </w:rPr>
      </w:pPr>
      <w:r>
        <w:rPr>
          <w:rFonts w:ascii="Arial" w:cs="Arial" w:eastAsia="Arial" w:hAnsi="Arial"/>
          <w:sz w:val="18"/>
          <w:szCs w:val="18"/>
          <w:color w:val="auto"/>
        </w:rPr>
        <w:t>The total fair value of PSUs granted during the nine months ended September 30, 2017 was $16 million. The total fair value of PSUs which vested during the nine months ended September 30, 2017 was $9 million. There were no PSUs granted or vested in 2016.</w:t>
      </w:r>
    </w:p>
    <w:p>
      <w:pPr>
        <w:spacing w:after="0" w:line="37" w:lineRule="exact"/>
        <w:rPr>
          <w:sz w:val="20"/>
          <w:szCs w:val="20"/>
          <w:color w:val="auto"/>
        </w:rPr>
      </w:pPr>
    </w:p>
    <w:p>
      <w:pPr>
        <w:ind w:right="60"/>
        <w:spacing w:after="0" w:line="258" w:lineRule="auto"/>
        <w:rPr>
          <w:sz w:val="20"/>
          <w:szCs w:val="20"/>
          <w:color w:val="auto"/>
        </w:rPr>
      </w:pPr>
      <w:r>
        <w:rPr>
          <w:rFonts w:ascii="Arial" w:cs="Arial" w:eastAsia="Arial" w:hAnsi="Arial"/>
          <w:sz w:val="18"/>
          <w:szCs w:val="18"/>
          <w:color w:val="auto"/>
        </w:rPr>
        <w:t>During the nine months ended September 30, 2017, the vesting of 133,957 RSAs, 153,574 PSAs and 139,272 PSUs was accelerated in connection with the termination of our former Chief Executive Officer (CEO) and former Chief Financial Officer (CFO) in May 2017. Share-based compensation expense of $38 million was recorded during the nine months ended September 30, 2017, of which $23 million was recorded to “Restructuring and separation costs” in the accompanying consolidated statements of operations. See Note 11, “Restructuring and Separation Costs” for further discussion. We recorded share-based compensation expense of $24 million in the nine months ended September 30, 2016.</w:t>
      </w:r>
    </w:p>
    <w:p>
      <w:pPr>
        <w:spacing w:after="0" w:line="69" w:lineRule="exact"/>
        <w:rPr>
          <w:sz w:val="20"/>
          <w:szCs w:val="20"/>
          <w:color w:val="auto"/>
        </w:rPr>
      </w:pPr>
    </w:p>
    <w:p>
      <w:pPr>
        <w:ind w:right="300"/>
        <w:spacing w:after="0" w:line="271" w:lineRule="auto"/>
        <w:rPr>
          <w:sz w:val="20"/>
          <w:szCs w:val="20"/>
          <w:color w:val="auto"/>
        </w:rPr>
      </w:pPr>
      <w:r>
        <w:rPr>
          <w:rFonts w:ascii="Arial" w:cs="Arial" w:eastAsia="Arial" w:hAnsi="Arial"/>
          <w:sz w:val="18"/>
          <w:szCs w:val="18"/>
          <w:color w:val="auto"/>
        </w:rPr>
        <w:t>As of September 30, 2017, there was $27 million of total unrecognized compensation expense related to unvested RSAs, PSAs, and PSUs, which we expect to recognize over a remaining weighted -average period of 2.2 years and 1.9 years, respectively. This unrecognized compensation cost assumes an estimated forfeiture rate of 4.5% for non-executive employees as of September 30, 2017.</w:t>
      </w:r>
    </w:p>
    <w:p>
      <w:pPr>
        <w:spacing w:after="0" w:line="200" w:lineRule="exact"/>
        <w:rPr>
          <w:sz w:val="20"/>
          <w:szCs w:val="20"/>
          <w:color w:val="auto"/>
        </w:rPr>
      </w:pPr>
    </w:p>
    <w:p>
      <w:pPr>
        <w:spacing w:after="0" w:line="20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Molina Healthcare, Inc. 2017 Form 10-Q | 22</w:t>
      </w:r>
    </w:p>
    <w:p>
      <w:pPr>
        <w:sectPr>
          <w:pgSz w:w="11900" w:h="16838" w:orient="portrait"/>
          <w:cols w:equalWidth="0" w:num="1">
            <w:col w:w="11420"/>
          </w:cols>
          <w:pgMar w:left="240" w:top="115" w:right="239" w:bottom="1440" w:gutter="0" w:footer="0" w:header="0"/>
        </w:sectPr>
      </w:pPr>
    </w:p>
    <w:bookmarkStart w:id="22" w:name="page23"/>
    <w:bookmarkEnd w:id="2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42" w:lineRule="exact"/>
        <w:rPr>
          <w:sz w:val="20"/>
          <w:szCs w:val="20"/>
          <w:color w:val="auto"/>
        </w:rPr>
      </w:pPr>
    </w:p>
    <w:p>
      <w:pPr>
        <w:spacing w:after="0"/>
        <w:rPr>
          <w:sz w:val="20"/>
          <w:szCs w:val="20"/>
          <w:color w:val="auto"/>
        </w:rPr>
      </w:pPr>
      <w:r>
        <w:rPr>
          <w:rFonts w:ascii="Arial" w:cs="Arial" w:eastAsia="Arial" w:hAnsi="Arial"/>
          <w:sz w:val="32"/>
          <w:szCs w:val="32"/>
          <w:b w:val="1"/>
          <w:bCs w:val="1"/>
          <w:color w:val="ACACAC"/>
        </w:rPr>
        <w:t>10. Impairment Losses</w:t>
      </w:r>
    </w:p>
    <w:p>
      <w:pPr>
        <w:spacing w:after="0" w:line="246"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Goodwill represents the excess of the purchase price over the fair value of net assets acquired in business combinations. Goodwill is not amortized, but is subject to an annual impairment test. We are required to test at least annually for impairment, or more frequently if adverse events or changes in circumstances indicate that the asset may be impaired. When testing goodwill for impairment, we may first assess qualitative factors, such as industry and market factors, cost factors, and changes in overall performance, to determine if it is more likely than not that the carrying value of a reporting unit exceeds its estimated fair value. If our qualitative assessment indicates that goodwill impairment is more likely than not, we perform additional quantitative analysis. We may also elect to skip the qualitative testing and proceed directly to the quantitative testing.</w:t>
      </w:r>
    </w:p>
    <w:p>
      <w:pPr>
        <w:spacing w:after="0" w:line="177" w:lineRule="exact"/>
        <w:rPr>
          <w:sz w:val="20"/>
          <w:szCs w:val="20"/>
          <w:color w:val="auto"/>
        </w:rPr>
      </w:pPr>
    </w:p>
    <w:p>
      <w:pPr>
        <w:ind w:right="180"/>
        <w:spacing w:after="0" w:line="260" w:lineRule="auto"/>
        <w:rPr>
          <w:sz w:val="20"/>
          <w:szCs w:val="20"/>
          <w:color w:val="auto"/>
        </w:rPr>
      </w:pPr>
      <w:r>
        <w:rPr>
          <w:rFonts w:ascii="Arial" w:cs="Arial" w:eastAsia="Arial" w:hAnsi="Arial"/>
          <w:sz w:val="18"/>
          <w:szCs w:val="18"/>
          <w:color w:val="auto"/>
        </w:rPr>
        <w:t>An impairment loss is measured as the excess of the carrying amount of the reporting unit, including goodwill, over the fair value of the reporting unit. We estimate the fair values of our reporting units using discounted cash flows. We apply our weighted average cost of capital (WACC) as the best estimate to discount future estimated cash flows to present value. The WACC is based on externally available data considering market participants’ cost of equity and debt, and capital structure. In addition, we apply a terminal growth rate that corresponds to the reporting unit’s long-term growth prospects.</w:t>
      </w:r>
    </w:p>
    <w:p>
      <w:pPr>
        <w:spacing w:after="0" w:line="175"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In the discounted cash flow analyses, we must make assumptions about a wide variety of internal and external factors, and consider the price that would be received to sell the reporting unit as a whole in an orderly transaction between market participants at the measurement date. Significant assumptions include financial projections of free cash flow (including significant assumptions about operations, capital requirements and income taxes), long-term growth rates for determining terminal value beyond the discretely forecasted periods, and discount rates.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Molina Medicaid Solutions Segment</w:t>
      </w:r>
    </w:p>
    <w:p>
      <w:pPr>
        <w:spacing w:after="0" w:line="225"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As described in Note 11, “Restructuring and Separation Costs,” in the third quarter of 2017 we wrote off certain costs capitalized at our Molina Medicaid Solutions segment that supported our Health Plans segment provider information management processes to be re-designed. Although the intercompany revenues recorded by Molina Medicaid Solutions under this arrangement were insignificant on a consolidated basis, the termination of such revenue resulted in a triggering event for an interim goodwill impairment analysis of this segment in the third quarter of 2017. In the Molina Medicaid Solutions’ discounted cash flow model, we incorporated significant estimates and assumptions related to future periods, such as intercompany business support opportunities and prospects for new Medicaid management information systems contracts. Because management has determined that Molina Medicaid Solutions will provide fewer future benefits for its support of the Health Plans segment, the test resulted in a fair value less than Molina Medicaid Solutions’ carrying amount; therefore, we recorded a goodwill impairment loss for the difference, or $28 million, in the third quarter of 2017.</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Segment</w:t>
      </w:r>
    </w:p>
    <w:p>
      <w:pPr>
        <w:spacing w:after="0" w:line="225" w:lineRule="exact"/>
        <w:rPr>
          <w:sz w:val="20"/>
          <w:szCs w:val="20"/>
          <w:color w:val="auto"/>
        </w:rPr>
      </w:pPr>
    </w:p>
    <w:p>
      <w:pPr>
        <w:jc w:val="both"/>
        <w:ind w:right="300"/>
        <w:spacing w:after="0" w:line="260" w:lineRule="auto"/>
        <w:rPr>
          <w:sz w:val="20"/>
          <w:szCs w:val="20"/>
          <w:color w:val="auto"/>
        </w:rPr>
      </w:pPr>
      <w:r>
        <w:rPr>
          <w:rFonts w:ascii="Arial" w:cs="Arial" w:eastAsia="Arial" w:hAnsi="Arial"/>
          <w:sz w:val="18"/>
          <w:szCs w:val="18"/>
          <w:color w:val="auto"/>
        </w:rPr>
        <w:t>In the course of developing the Restructuring Plan in the second quarter of 2017, we determined that future benefits to be derived from our Pathways subsidiary, including the integration of its operations with our Health Plans segment, would be less than previously anticipated. In addition, poorer than expected year-to-date operating results, as well as lower projections of operating results for periods in the near term at our Pathways subsidiary, led us to conclude that a triggering event for an interim impairment analysis had occurred in the second quarter of 2017.</w:t>
      </w:r>
    </w:p>
    <w:p>
      <w:pPr>
        <w:spacing w:after="0" w:line="175" w:lineRule="exact"/>
        <w:rPr>
          <w:sz w:val="20"/>
          <w:szCs w:val="20"/>
          <w:color w:val="auto"/>
        </w:rPr>
      </w:pPr>
    </w:p>
    <w:p>
      <w:pPr>
        <w:ind w:right="220"/>
        <w:spacing w:after="0" w:line="292" w:lineRule="auto"/>
        <w:rPr>
          <w:sz w:val="20"/>
          <w:szCs w:val="20"/>
          <w:color w:val="auto"/>
        </w:rPr>
      </w:pPr>
      <w:r>
        <w:rPr>
          <w:rFonts w:ascii="Arial" w:cs="Arial" w:eastAsia="Arial" w:hAnsi="Arial"/>
          <w:sz w:val="18"/>
          <w:szCs w:val="18"/>
          <w:color w:val="auto"/>
        </w:rPr>
        <w:t>In the third quarter of 2017, management determined that Pathways will not provide future benefits relating to the integration of its operations with the Health Plans segment to the extent previously expected. Therefore, we conducted an additional interim impairment analysis.</w:t>
      </w:r>
    </w:p>
    <w:p>
      <w:pPr>
        <w:spacing w:after="0" w:line="37" w:lineRule="exact"/>
        <w:rPr>
          <w:sz w:val="20"/>
          <w:szCs w:val="20"/>
          <w:color w:val="auto"/>
        </w:rPr>
      </w:pPr>
    </w:p>
    <w:p>
      <w:pPr>
        <w:ind w:right="380"/>
        <w:spacing w:after="0" w:line="264" w:lineRule="auto"/>
        <w:rPr>
          <w:sz w:val="20"/>
          <w:szCs w:val="20"/>
          <w:color w:val="auto"/>
        </w:rPr>
      </w:pPr>
      <w:r>
        <w:rPr>
          <w:rFonts w:ascii="Arial" w:cs="Arial" w:eastAsia="Arial" w:hAnsi="Arial"/>
          <w:sz w:val="18"/>
          <w:szCs w:val="18"/>
          <w:i w:val="1"/>
          <w:iCs w:val="1"/>
          <w:color w:val="auto"/>
        </w:rPr>
        <w:t xml:space="preserve">Intangible assets. </w:t>
      </w:r>
      <w:r>
        <w:rPr>
          <w:rFonts w:ascii="Arial" w:cs="Arial" w:eastAsia="Arial" w:hAnsi="Arial"/>
          <w:sz w:val="18"/>
          <w:szCs w:val="18"/>
          <w:color w:val="auto"/>
        </w:rPr>
        <w:t>In the second quarter of 2017, we evaluated Pathways’ finite-lived intangible assets (customer relationships and contract</w:t>
      </w:r>
      <w:r>
        <w:rPr>
          <w:rFonts w:ascii="Arial" w:cs="Arial" w:eastAsia="Arial" w:hAnsi="Arial"/>
          <w:sz w:val="18"/>
          <w:szCs w:val="18"/>
          <w:i w:val="1"/>
          <w:iCs w:val="1"/>
          <w:color w:val="auto"/>
        </w:rPr>
        <w:t xml:space="preserve"> </w:t>
      </w:r>
      <w:r>
        <w:rPr>
          <w:rFonts w:ascii="Arial" w:cs="Arial" w:eastAsia="Arial" w:hAnsi="Arial"/>
          <w:sz w:val="18"/>
          <w:szCs w:val="18"/>
          <w:color w:val="auto"/>
        </w:rPr>
        <w:t>licenses) for impairment, using undiscounted cash flows expected over the longest remaining useful life of the assets tested. Because the undiscounted cash flows over the remaining useful life were less than Pathways’ carrying amount, the intangible assets were impaired. We recorded an impairment loss for the carrying amount of the intangible assets, or $11 million, in the second quarter of 2017.</w:t>
      </w:r>
    </w:p>
    <w:p>
      <w:pPr>
        <w:spacing w:after="0" w:line="62" w:lineRule="exact"/>
        <w:rPr>
          <w:sz w:val="20"/>
          <w:szCs w:val="20"/>
          <w:color w:val="auto"/>
        </w:rPr>
      </w:pPr>
    </w:p>
    <w:p>
      <w:pPr>
        <w:ind w:right="40"/>
        <w:spacing w:after="0" w:line="260" w:lineRule="auto"/>
        <w:rPr>
          <w:sz w:val="20"/>
          <w:szCs w:val="20"/>
          <w:color w:val="auto"/>
        </w:rPr>
      </w:pPr>
      <w:r>
        <w:rPr>
          <w:rFonts w:ascii="Arial" w:cs="Arial" w:eastAsia="Arial" w:hAnsi="Arial"/>
          <w:sz w:val="18"/>
          <w:szCs w:val="18"/>
          <w:i w:val="1"/>
          <w:iCs w:val="1"/>
          <w:color w:val="auto"/>
        </w:rPr>
        <w:t xml:space="preserve">Goodwill. </w:t>
      </w:r>
      <w:r>
        <w:rPr>
          <w:rFonts w:ascii="Arial" w:cs="Arial" w:eastAsia="Arial" w:hAnsi="Arial"/>
          <w:sz w:val="18"/>
          <w:szCs w:val="18"/>
          <w:color w:val="auto"/>
        </w:rPr>
        <w:t>As noted above, we estimated Pathways’ fair value using discounted cash flows, incorporating significant estimates and assumptions</w:t>
      </w:r>
      <w:r>
        <w:rPr>
          <w:rFonts w:ascii="Arial" w:cs="Arial" w:eastAsia="Arial" w:hAnsi="Arial"/>
          <w:sz w:val="18"/>
          <w:szCs w:val="18"/>
          <w:i w:val="1"/>
          <w:iCs w:val="1"/>
          <w:color w:val="auto"/>
        </w:rPr>
        <w:t xml:space="preserve"> </w:t>
      </w:r>
      <w:r>
        <w:rPr>
          <w:rFonts w:ascii="Arial" w:cs="Arial" w:eastAsia="Arial" w:hAnsi="Arial"/>
          <w:sz w:val="18"/>
          <w:szCs w:val="18"/>
          <w:color w:val="auto"/>
        </w:rPr>
        <w:t>related to future periods. Such estimates included anticipated client census which drives service revenue; the likelihood of future benefits to be derived from Pathways (including integration with our health plans); current prospects relating to the behavioral services labor market which drives cost of service revenue; and anticipated capital expenditures. The tests in each of the three months ended June 30, 2017, and September 30, 2017, resulted in a fair value less than Pathways’ carrying amount; therefore, we recorded an</w:t>
      </w:r>
    </w:p>
    <w:p>
      <w:pPr>
        <w:spacing w:after="0" w:line="20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Molina Healthcare, Inc. 2017 Form 10-Q | 23</w:t>
      </w:r>
    </w:p>
    <w:p>
      <w:pPr>
        <w:sectPr>
          <w:pgSz w:w="11900" w:h="16838" w:orient="portrait"/>
          <w:cols w:equalWidth="0" w:num="1">
            <w:col w:w="11420"/>
          </w:cols>
          <w:pgMar w:left="240" w:top="115" w:right="239" w:bottom="1440" w:gutter="0" w:footer="0" w:header="0"/>
        </w:sectPr>
      </w:pPr>
    </w:p>
    <w:bookmarkStart w:id="23" w:name="page24"/>
    <w:bookmarkEnd w:id="2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61" w:lineRule="exact"/>
        <w:rPr>
          <w:sz w:val="20"/>
          <w:szCs w:val="20"/>
          <w:color w:val="auto"/>
        </w:rPr>
      </w:pPr>
    </w:p>
    <w:p>
      <w:pPr>
        <w:jc w:val="both"/>
        <w:ind w:right="260"/>
        <w:spacing w:after="0" w:line="271" w:lineRule="auto"/>
        <w:rPr>
          <w:sz w:val="20"/>
          <w:szCs w:val="20"/>
          <w:color w:val="auto"/>
        </w:rPr>
      </w:pPr>
      <w:r>
        <w:rPr>
          <w:rFonts w:ascii="Arial" w:cs="Arial" w:eastAsia="Arial" w:hAnsi="Arial"/>
          <w:sz w:val="18"/>
          <w:szCs w:val="18"/>
          <w:color w:val="auto"/>
        </w:rPr>
        <w:t>impairment loss for the difference. The Pathways goodwill impairment losses amounted to $101 million in the third quarter of 2017, and $59 million in the second quarter of 2017. In the second quarter of 2017, we also recorded a goodwill impairment loss of $2 million for a separate subsidiary in the Other segment that did not pass its impairment test.</w:t>
      </w:r>
    </w:p>
    <w:p>
      <w:pPr>
        <w:spacing w:after="0" w:line="55" w:lineRule="exact"/>
        <w:rPr>
          <w:sz w:val="20"/>
          <w:szCs w:val="20"/>
          <w:color w:val="auto"/>
        </w:rPr>
      </w:pPr>
    </w:p>
    <w:p>
      <w:pPr>
        <w:spacing w:after="0"/>
        <w:rPr>
          <w:sz w:val="20"/>
          <w:szCs w:val="20"/>
          <w:color w:val="auto"/>
        </w:rPr>
      </w:pPr>
      <w:r>
        <w:rPr>
          <w:rFonts w:ascii="Arial" w:cs="Arial" w:eastAsia="Arial" w:hAnsi="Arial"/>
          <w:sz w:val="18"/>
          <w:szCs w:val="18"/>
          <w:color w:val="auto"/>
        </w:rPr>
        <w:t>There were no impairments of intangible assets or goodwill during 2016.</w:t>
      </w:r>
    </w:p>
    <w:p>
      <w:pPr>
        <w:spacing w:after="0" w:line="117" w:lineRule="exact"/>
        <w:rPr>
          <w:sz w:val="20"/>
          <w:szCs w:val="20"/>
          <w:color w:val="auto"/>
        </w:rPr>
      </w:pPr>
    </w:p>
    <w:p>
      <w:pPr>
        <w:ind w:right="620"/>
        <w:spacing w:after="0" w:line="292" w:lineRule="auto"/>
        <w:rPr>
          <w:sz w:val="20"/>
          <w:szCs w:val="20"/>
          <w:color w:val="auto"/>
        </w:rPr>
      </w:pPr>
      <w:r>
        <w:rPr>
          <w:rFonts w:ascii="Arial" w:cs="Arial" w:eastAsia="Arial" w:hAnsi="Arial"/>
          <w:sz w:val="18"/>
          <w:szCs w:val="18"/>
          <w:color w:val="auto"/>
        </w:rPr>
        <w:t>The goodwill impairment losses are recorded to the segments as indicated in following table, and reported as “Impairment losses” in the accompanying consolidated statements of operations.</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5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Molina</w:t>
            </w:r>
          </w:p>
        </w:tc>
        <w:tc>
          <w:tcPr>
            <w:tcW w:w="3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2"/>
        </w:trPr>
        <w:tc>
          <w:tcPr>
            <w:tcW w:w="65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Medicaid</w:t>
            </w:r>
          </w:p>
        </w:tc>
        <w:tc>
          <w:tcPr>
            <w:tcW w:w="3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203"/>
        </w:trPr>
        <w:tc>
          <w:tcPr>
            <w:tcW w:w="652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Health Plans</w:t>
            </w:r>
          </w:p>
        </w:tc>
        <w:tc>
          <w:tcPr>
            <w:tcW w:w="18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4"/>
                <w:szCs w:val="14"/>
                <w:b w:val="1"/>
                <w:bCs w:val="1"/>
                <w:color w:val="auto"/>
              </w:rPr>
              <w:t>Solutions</w:t>
            </w:r>
          </w:p>
        </w:tc>
        <w:tc>
          <w:tcPr>
            <w:tcW w:w="3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Other</w:t>
            </w:r>
          </w:p>
        </w:tc>
        <w:tc>
          <w:tcPr>
            <w:tcW w:w="2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320"/>
              <w:spacing w:after="0"/>
              <w:rPr>
                <w:sz w:val="20"/>
                <w:szCs w:val="20"/>
                <w:color w:val="auto"/>
              </w:rPr>
            </w:pPr>
            <w:r>
              <w:rPr>
                <w:rFonts w:ascii="Arial" w:cs="Arial" w:eastAsia="Arial" w:hAnsi="Arial"/>
                <w:sz w:val="14"/>
                <w:szCs w:val="14"/>
                <w:b w:val="1"/>
                <w:bCs w:val="1"/>
                <w:color w:val="auto"/>
              </w:rPr>
              <w:t>Total</w:t>
            </w:r>
          </w:p>
        </w:tc>
      </w:tr>
      <w:tr>
        <w:trPr>
          <w:trHeight w:val="250"/>
        </w:trPr>
        <w:tc>
          <w:tcPr>
            <w:tcW w:w="65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millions)</w:t>
            </w:r>
          </w:p>
        </w:tc>
        <w:tc>
          <w:tcPr>
            <w:tcW w:w="7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spacing w:after="0"/>
              <w:rPr>
                <w:sz w:val="21"/>
                <w:szCs w:val="21"/>
                <w:color w:val="auto"/>
              </w:rPr>
            </w:pPr>
          </w:p>
        </w:tc>
      </w:tr>
      <w:tr>
        <w:trPr>
          <w:trHeight w:val="271"/>
        </w:trPr>
        <w:tc>
          <w:tcPr>
            <w:tcW w:w="6520" w:type="dxa"/>
            <w:vAlign w:val="bottom"/>
            <w:shd w:val="clear" w:color="auto" w:fill="CCEEFF"/>
          </w:tcPr>
          <w:p>
            <w:pPr>
              <w:ind w:left="40"/>
              <w:spacing w:after="0"/>
              <w:rPr>
                <w:sz w:val="20"/>
                <w:szCs w:val="20"/>
                <w:color w:val="auto"/>
              </w:rPr>
            </w:pPr>
            <w:r>
              <w:rPr>
                <w:rFonts w:ascii="Arial" w:cs="Arial" w:eastAsia="Arial" w:hAnsi="Arial"/>
                <w:sz w:val="16"/>
                <w:szCs w:val="16"/>
                <w:color w:val="auto"/>
              </w:rPr>
              <w:t>Historical goodwill</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445</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6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71</w:t>
            </w: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78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162</w:t>
            </w: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88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678</w:t>
            </w:r>
          </w:p>
        </w:tc>
      </w:tr>
      <w:tr>
        <w:trPr>
          <w:trHeight w:val="264"/>
        </w:trPr>
        <w:tc>
          <w:tcPr>
            <w:tcW w:w="6520" w:type="dxa"/>
            <w:vAlign w:val="bottom"/>
          </w:tcPr>
          <w:p>
            <w:pPr>
              <w:ind w:left="180"/>
              <w:spacing w:after="0"/>
              <w:rPr>
                <w:sz w:val="20"/>
                <w:szCs w:val="20"/>
                <w:color w:val="auto"/>
              </w:rPr>
            </w:pPr>
            <w:r>
              <w:rPr>
                <w:rFonts w:ascii="Arial" w:cs="Arial" w:eastAsia="Arial" w:hAnsi="Arial"/>
                <w:sz w:val="16"/>
                <w:szCs w:val="16"/>
                <w:color w:val="auto"/>
              </w:rPr>
              <w:t>Accumulated impairment losses at December 31, 2016</w:t>
            </w:r>
          </w:p>
        </w:tc>
        <w:tc>
          <w:tcPr>
            <w:tcW w:w="14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(58)</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22"/>
                <w:szCs w:val="22"/>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(58)</w:t>
            </w:r>
          </w:p>
        </w:tc>
      </w:tr>
      <w:tr>
        <w:trPr>
          <w:trHeight w:val="257"/>
        </w:trPr>
        <w:tc>
          <w:tcPr>
            <w:tcW w:w="652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Balance, December 31, 2016</w:t>
            </w:r>
          </w:p>
        </w:tc>
        <w:tc>
          <w:tcPr>
            <w:tcW w:w="140" w:type="dxa"/>
            <w:vAlign w:val="bottom"/>
            <w:tcBorders>
              <w:top w:val="single" w:sz="8" w:color="auto"/>
            </w:tcBorders>
            <w:shd w:val="clear" w:color="auto" w:fill="CCEEFF"/>
          </w:tcPr>
          <w:p>
            <w:pPr>
              <w:spacing w:after="0"/>
              <w:rPr>
                <w:sz w:val="22"/>
                <w:szCs w:val="22"/>
                <w:color w:val="auto"/>
              </w:rPr>
            </w:pPr>
          </w:p>
        </w:tc>
        <w:tc>
          <w:tcPr>
            <w:tcW w:w="1040" w:type="dxa"/>
            <w:vAlign w:val="bottom"/>
            <w:tcBorders>
              <w:top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387</w:t>
            </w:r>
          </w:p>
        </w:tc>
        <w:tc>
          <w:tcPr>
            <w:tcW w:w="100" w:type="dxa"/>
            <w:vAlign w:val="bottom"/>
            <w:tcBorders>
              <w:top w:val="single" w:sz="8" w:color="CCEEFF"/>
            </w:tcBorders>
            <w:shd w:val="clear" w:color="auto" w:fill="CCEEFF"/>
          </w:tcPr>
          <w:p>
            <w:pPr>
              <w:spacing w:after="0"/>
              <w:rPr>
                <w:sz w:val="22"/>
                <w:szCs w:val="22"/>
                <w:color w:val="auto"/>
              </w:rPr>
            </w:pPr>
          </w:p>
        </w:tc>
        <w:tc>
          <w:tcPr>
            <w:tcW w:w="180" w:type="dxa"/>
            <w:vAlign w:val="bottom"/>
            <w:tcBorders>
              <w:top w:val="single" w:sz="8" w:color="auto"/>
            </w:tcBorders>
            <w:shd w:val="clear" w:color="auto" w:fill="CCEEFF"/>
          </w:tcPr>
          <w:p>
            <w:pPr>
              <w:spacing w:after="0"/>
              <w:rPr>
                <w:sz w:val="22"/>
                <w:szCs w:val="22"/>
                <w:color w:val="auto"/>
              </w:rPr>
            </w:pPr>
          </w:p>
        </w:tc>
        <w:tc>
          <w:tcPr>
            <w:tcW w:w="960" w:type="dxa"/>
            <w:vAlign w:val="bottom"/>
            <w:tcBorders>
              <w:top w:val="single" w:sz="8" w:color="auto"/>
            </w:tcBorders>
            <w:shd w:val="clear" w:color="auto" w:fill="CCEEFF"/>
          </w:tcPr>
          <w:p>
            <w:pPr>
              <w:jc w:val="right"/>
              <w:ind w:right="42"/>
              <w:spacing w:after="0"/>
              <w:rPr>
                <w:sz w:val="20"/>
                <w:szCs w:val="20"/>
                <w:color w:val="auto"/>
              </w:rPr>
            </w:pPr>
            <w:r>
              <w:rPr>
                <w:rFonts w:ascii="Arial" w:cs="Arial" w:eastAsia="Arial" w:hAnsi="Arial"/>
                <w:sz w:val="16"/>
                <w:szCs w:val="16"/>
                <w:color w:val="auto"/>
              </w:rPr>
              <w:t>71</w:t>
            </w:r>
          </w:p>
        </w:tc>
        <w:tc>
          <w:tcPr>
            <w:tcW w:w="100" w:type="dxa"/>
            <w:vAlign w:val="bottom"/>
            <w:tcBorders>
              <w:top w:val="single" w:sz="8" w:color="CCEEFF"/>
            </w:tcBorders>
            <w:shd w:val="clear" w:color="auto" w:fill="CCEEFF"/>
          </w:tcPr>
          <w:p>
            <w:pPr>
              <w:spacing w:after="0"/>
              <w:rPr>
                <w:sz w:val="22"/>
                <w:szCs w:val="22"/>
                <w:color w:val="auto"/>
              </w:rPr>
            </w:pPr>
          </w:p>
        </w:tc>
        <w:tc>
          <w:tcPr>
            <w:tcW w:w="360" w:type="dxa"/>
            <w:vAlign w:val="bottom"/>
            <w:tcBorders>
              <w:top w:val="single" w:sz="8" w:color="auto"/>
            </w:tcBorders>
            <w:shd w:val="clear" w:color="auto" w:fill="CCEEFF"/>
          </w:tcPr>
          <w:p>
            <w:pPr>
              <w:spacing w:after="0"/>
              <w:rPr>
                <w:sz w:val="22"/>
                <w:szCs w:val="22"/>
                <w:color w:val="auto"/>
              </w:rPr>
            </w:pPr>
          </w:p>
        </w:tc>
        <w:tc>
          <w:tcPr>
            <w:tcW w:w="780" w:type="dxa"/>
            <w:vAlign w:val="bottom"/>
            <w:tcBorders>
              <w:top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162</w:t>
            </w:r>
          </w:p>
        </w:tc>
        <w:tc>
          <w:tcPr>
            <w:tcW w:w="100" w:type="dxa"/>
            <w:vAlign w:val="bottom"/>
            <w:tcBorders>
              <w:top w:val="single" w:sz="8" w:color="CCEEFF"/>
            </w:tcBorders>
            <w:shd w:val="clear" w:color="auto" w:fill="CCEEFF"/>
          </w:tcPr>
          <w:p>
            <w:pPr>
              <w:spacing w:after="0"/>
              <w:rPr>
                <w:sz w:val="22"/>
                <w:szCs w:val="22"/>
                <w:color w:val="auto"/>
              </w:rPr>
            </w:pPr>
          </w:p>
        </w:tc>
        <w:tc>
          <w:tcPr>
            <w:tcW w:w="260" w:type="dxa"/>
            <w:vAlign w:val="bottom"/>
            <w:tcBorders>
              <w:top w:val="single" w:sz="8" w:color="auto"/>
            </w:tcBorders>
            <w:shd w:val="clear" w:color="auto" w:fill="CCEEFF"/>
          </w:tcPr>
          <w:p>
            <w:pPr>
              <w:spacing w:after="0"/>
              <w:rPr>
                <w:sz w:val="22"/>
                <w:szCs w:val="22"/>
                <w:color w:val="auto"/>
              </w:rPr>
            </w:pPr>
          </w:p>
        </w:tc>
        <w:tc>
          <w:tcPr>
            <w:tcW w:w="880" w:type="dxa"/>
            <w:vAlign w:val="bottom"/>
            <w:tcBorders>
              <w:top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620</w:t>
            </w:r>
          </w:p>
        </w:tc>
      </w:tr>
      <w:tr>
        <w:trPr>
          <w:trHeight w:val="262"/>
        </w:trPr>
        <w:tc>
          <w:tcPr>
            <w:tcW w:w="6520" w:type="dxa"/>
            <w:vAlign w:val="bottom"/>
          </w:tcPr>
          <w:p>
            <w:pPr>
              <w:ind w:left="180"/>
              <w:spacing w:after="0"/>
              <w:rPr>
                <w:sz w:val="20"/>
                <w:szCs w:val="20"/>
                <w:color w:val="auto"/>
              </w:rPr>
            </w:pPr>
            <w:r>
              <w:rPr>
                <w:rFonts w:ascii="Arial" w:cs="Arial" w:eastAsia="Arial" w:hAnsi="Arial"/>
                <w:sz w:val="16"/>
                <w:szCs w:val="16"/>
                <w:color w:val="auto"/>
              </w:rPr>
              <w:t>Impairment losses, three months ended June 30, 2017</w:t>
            </w:r>
          </w:p>
        </w:tc>
        <w:tc>
          <w:tcPr>
            <w:tcW w:w="140" w:type="dxa"/>
            <w:vAlign w:val="bottom"/>
          </w:tcPr>
          <w:p>
            <w:pPr>
              <w:spacing w:after="0"/>
              <w:rPr>
                <w:sz w:val="22"/>
                <w:szCs w:val="22"/>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2"/>
                <w:szCs w:val="22"/>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22"/>
                <w:szCs w:val="22"/>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(61)</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(61)</w:t>
            </w:r>
          </w:p>
        </w:tc>
      </w:tr>
      <w:tr>
        <w:trPr>
          <w:trHeight w:val="271"/>
        </w:trPr>
        <w:tc>
          <w:tcPr>
            <w:tcW w:w="6520" w:type="dxa"/>
            <w:vAlign w:val="bottom"/>
            <w:shd w:val="clear" w:color="auto" w:fill="CCEEFF"/>
          </w:tcPr>
          <w:p>
            <w:pPr>
              <w:ind w:left="180"/>
              <w:spacing w:after="0"/>
              <w:rPr>
                <w:sz w:val="20"/>
                <w:szCs w:val="20"/>
                <w:color w:val="auto"/>
              </w:rPr>
            </w:pPr>
            <w:r>
              <w:rPr>
                <w:rFonts w:ascii="Arial" w:cs="Arial" w:eastAsia="Arial" w:hAnsi="Arial"/>
                <w:sz w:val="16"/>
                <w:szCs w:val="16"/>
                <w:color w:val="auto"/>
              </w:rPr>
              <w:t>Impairment losses, three months ended September 30, 2017</w:t>
            </w:r>
          </w:p>
        </w:tc>
        <w:tc>
          <w:tcPr>
            <w:tcW w:w="140" w:type="dxa"/>
            <w:vAlign w:val="bottom"/>
            <w:tcBorders>
              <w:bottom w:val="single" w:sz="8" w:color="auto"/>
            </w:tcBorders>
            <w:shd w:val="clear" w:color="auto" w:fill="CCEEFF"/>
          </w:tcPr>
          <w:p>
            <w:pPr>
              <w:spacing w:after="0"/>
              <w:rPr>
                <w:sz w:val="23"/>
                <w:szCs w:val="23"/>
                <w:color w:val="auto"/>
              </w:rPr>
            </w:pPr>
          </w:p>
        </w:tc>
        <w:tc>
          <w:tcPr>
            <w:tcW w:w="104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w:t>
            </w:r>
          </w:p>
        </w:tc>
        <w:tc>
          <w:tcPr>
            <w:tcW w:w="100" w:type="dxa"/>
            <w:vAlign w:val="bottom"/>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spacing w:after="0"/>
              <w:rPr>
                <w:sz w:val="23"/>
                <w:szCs w:val="23"/>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(101)</w:t>
            </w:r>
          </w:p>
        </w:tc>
        <w:tc>
          <w:tcPr>
            <w:tcW w:w="10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(129)</w:t>
            </w:r>
          </w:p>
        </w:tc>
      </w:tr>
      <w:tr>
        <w:trPr>
          <w:trHeight w:val="282"/>
        </w:trPr>
        <w:tc>
          <w:tcPr>
            <w:tcW w:w="6520" w:type="dxa"/>
            <w:vAlign w:val="bottom"/>
          </w:tcPr>
          <w:p>
            <w:pPr>
              <w:ind w:left="40"/>
              <w:spacing w:after="0"/>
              <w:rPr>
                <w:sz w:val="20"/>
                <w:szCs w:val="20"/>
                <w:color w:val="auto"/>
              </w:rPr>
            </w:pPr>
            <w:r>
              <w:rPr>
                <w:rFonts w:ascii="Arial" w:cs="Arial" w:eastAsia="Arial" w:hAnsi="Arial"/>
                <w:sz w:val="16"/>
                <w:szCs w:val="16"/>
                <w:color w:val="auto"/>
              </w:rPr>
              <w:t>Balance, September 30, 2017</w:t>
            </w: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40"/>
              <w:spacing w:after="0"/>
              <w:rPr>
                <w:sz w:val="20"/>
                <w:szCs w:val="20"/>
                <w:color w:val="auto"/>
              </w:rPr>
            </w:pPr>
            <w:r>
              <w:rPr>
                <w:rFonts w:ascii="Arial" w:cs="Arial" w:eastAsia="Arial" w:hAnsi="Arial"/>
                <w:sz w:val="16"/>
                <w:szCs w:val="16"/>
                <w:color w:val="auto"/>
              </w:rPr>
              <w:t>387</w:t>
            </w:r>
          </w:p>
        </w:tc>
        <w:tc>
          <w:tcPr>
            <w:tcW w:w="100" w:type="dxa"/>
            <w:vAlign w:val="bottom"/>
          </w:tcPr>
          <w:p>
            <w:pPr>
              <w:spacing w:after="0"/>
              <w:rPr>
                <w:sz w:val="24"/>
                <w:szCs w:val="24"/>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42"/>
              <w:spacing w:after="0"/>
              <w:rPr>
                <w:sz w:val="20"/>
                <w:szCs w:val="20"/>
                <w:color w:val="auto"/>
              </w:rPr>
            </w:pPr>
            <w:r>
              <w:rPr>
                <w:rFonts w:ascii="Arial" w:cs="Arial" w:eastAsia="Arial" w:hAnsi="Arial"/>
                <w:sz w:val="16"/>
                <w:szCs w:val="16"/>
                <w:color w:val="auto"/>
              </w:rPr>
              <w:t>43</w:t>
            </w:r>
          </w:p>
        </w:tc>
        <w:tc>
          <w:tcPr>
            <w:tcW w:w="100" w:type="dxa"/>
            <w:vAlign w:val="bottom"/>
          </w:tcPr>
          <w:p>
            <w:pPr>
              <w:spacing w:after="0"/>
              <w:rPr>
                <w:sz w:val="24"/>
                <w:szCs w:val="24"/>
                <w:color w:val="auto"/>
              </w:rPr>
            </w:pPr>
          </w:p>
        </w:tc>
        <w:tc>
          <w:tcPr>
            <w:tcW w:w="36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8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20"/>
              <w:spacing w:after="0"/>
              <w:rPr>
                <w:sz w:val="20"/>
                <w:szCs w:val="20"/>
                <w:color w:val="auto"/>
              </w:rPr>
            </w:pPr>
            <w:r>
              <w:rPr>
                <w:rFonts w:ascii="Arial" w:cs="Arial" w:eastAsia="Arial" w:hAnsi="Arial"/>
                <w:sz w:val="16"/>
                <w:szCs w:val="16"/>
                <w:color w:val="auto"/>
              </w:rPr>
              <w:t>430</w:t>
            </w:r>
          </w:p>
        </w:tc>
      </w:tr>
      <w:tr>
        <w:trPr>
          <w:trHeight w:val="224"/>
        </w:trPr>
        <w:tc>
          <w:tcPr>
            <w:tcW w:w="65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Accumulated impairment losses at September 30, 2017</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40" w:type="dxa"/>
            <w:vAlign w:val="bottom"/>
            <w:tcBorders>
              <w:top w:val="single" w:sz="8" w:color="auto"/>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58</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60" w:type="dxa"/>
            <w:vAlign w:val="bottom"/>
            <w:tcBorders>
              <w:top w:val="single" w:sz="8" w:color="auto"/>
              <w:bottom w:val="single" w:sz="8" w:color="auto"/>
            </w:tcBorders>
            <w:shd w:val="clear" w:color="auto" w:fill="CCEEFF"/>
          </w:tcPr>
          <w:p>
            <w:pPr>
              <w:jc w:val="right"/>
              <w:ind w:right="42"/>
              <w:spacing w:after="0"/>
              <w:rPr>
                <w:sz w:val="20"/>
                <w:szCs w:val="20"/>
                <w:color w:val="auto"/>
              </w:rPr>
            </w:pPr>
            <w:r>
              <w:rPr>
                <w:rFonts w:ascii="Arial" w:cs="Arial" w:eastAsia="Arial" w:hAnsi="Arial"/>
                <w:sz w:val="16"/>
                <w:szCs w:val="16"/>
                <w:color w:val="auto"/>
              </w:rPr>
              <w:t>28</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360" w:type="dxa"/>
            <w:vAlign w:val="bottom"/>
            <w:tcBorders>
              <w:top w:val="single" w:sz="8" w:color="auto"/>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780" w:type="dxa"/>
            <w:vAlign w:val="bottom"/>
            <w:tcBorders>
              <w:top w:val="single" w:sz="8" w:color="auto"/>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162</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880" w:type="dxa"/>
            <w:vAlign w:val="bottom"/>
            <w:tcBorders>
              <w:top w:val="single" w:sz="8" w:color="auto"/>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248</w:t>
            </w:r>
          </w:p>
        </w:tc>
      </w:tr>
      <w:tr>
        <w:trPr>
          <w:trHeight w:val="20"/>
        </w:trPr>
        <w:tc>
          <w:tcPr>
            <w:tcW w:w="65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390" w:lineRule="exact"/>
        <w:rPr>
          <w:sz w:val="20"/>
          <w:szCs w:val="20"/>
          <w:color w:val="auto"/>
        </w:rPr>
      </w:pPr>
    </w:p>
    <w:p>
      <w:pPr>
        <w:spacing w:after="0"/>
        <w:rPr>
          <w:sz w:val="20"/>
          <w:szCs w:val="20"/>
          <w:color w:val="auto"/>
        </w:rPr>
      </w:pPr>
      <w:r>
        <w:rPr>
          <w:rFonts w:ascii="Arial" w:cs="Arial" w:eastAsia="Arial" w:hAnsi="Arial"/>
          <w:sz w:val="32"/>
          <w:szCs w:val="32"/>
          <w:b w:val="1"/>
          <w:bCs w:val="1"/>
          <w:color w:val="ACACAC"/>
        </w:rPr>
        <w:t>11. Restructuring and Separation Costs</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color w:val="auto"/>
        </w:rPr>
        <w:t>Following a management-initiated, broad operational assessment in early 2017, designed to improve our profitability and expand our core</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color w:val="auto"/>
        </w:rPr>
        <w:t>Medicaid business, in June 2017, we accelerated the implementation of a comprehensive restructuring and profitability improvement plan (the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Restructuring Plan). Under the Restructuring Plan, we are taking the following actions:</w:t>
      </w:r>
    </w:p>
    <w:p>
      <w:pPr>
        <w:spacing w:after="0" w:line="203" w:lineRule="exact"/>
        <w:rPr>
          <w:sz w:val="20"/>
          <w:szCs w:val="20"/>
          <w:color w:val="auto"/>
        </w:rPr>
      </w:pPr>
    </w:p>
    <w:p>
      <w:pPr>
        <w:jc w:val="both"/>
        <w:ind w:left="660" w:hanging="328"/>
        <w:spacing w:after="0" w:line="271"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We have streamlined our organizational structure, including the elimination of redundant layers of management, the consolidation of regional support services, and other reductions to our workforce, to improve efficiency as well as the speed and quality of our decision-making.</w:t>
      </w:r>
    </w:p>
    <w:p>
      <w:pPr>
        <w:spacing w:after="0" w:line="163" w:lineRule="exact"/>
        <w:rPr>
          <w:rFonts w:ascii="Arial" w:cs="Arial" w:eastAsia="Arial" w:hAnsi="Arial"/>
          <w:sz w:val="18"/>
          <w:szCs w:val="18"/>
          <w:color w:val="auto"/>
        </w:rPr>
      </w:pPr>
    </w:p>
    <w:p>
      <w:pPr>
        <w:ind w:left="660" w:right="20" w:hanging="328"/>
        <w:spacing w:after="0" w:line="292"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We are re-designing core operating processes such as provider payment, utilization management, quality monitoring and improvement, and information technology to achieve more effective and cost efficient outcomes.</w:t>
      </w:r>
    </w:p>
    <w:p>
      <w:pPr>
        <w:spacing w:after="0" w:line="144"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We are remediating high cost provider contracts and building around high quality, cost-effective networks.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We are restructuring our existing direct delivery operations.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We are reviewing our vendor base to ensure that we are partnering with the lowest-cost, most-effective vendors.</w:t>
      </w:r>
    </w:p>
    <w:p>
      <w:pPr>
        <w:spacing w:after="0" w:line="117" w:lineRule="exact"/>
        <w:rPr>
          <w:rFonts w:ascii="Arial" w:cs="Arial" w:eastAsia="Arial" w:hAnsi="Arial"/>
          <w:sz w:val="18"/>
          <w:szCs w:val="18"/>
          <w:color w:val="auto"/>
        </w:rPr>
      </w:pPr>
    </w:p>
    <w:p>
      <w:pPr>
        <w:ind w:left="660" w:right="300" w:hanging="328"/>
        <w:spacing w:after="0" w:line="292"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Throughout this process, we are taking precautions to ensure that our actions do not impede our ability to continue to deliver quality health care, retain existing managed care contracts, and to secure new managed care contracts.</w:t>
      </w:r>
    </w:p>
    <w:p>
      <w:pPr>
        <w:spacing w:after="0" w:line="172" w:lineRule="exact"/>
        <w:rPr>
          <w:sz w:val="20"/>
          <w:szCs w:val="20"/>
          <w:color w:val="auto"/>
        </w:rPr>
      </w:pPr>
    </w:p>
    <w:p>
      <w:pPr>
        <w:ind w:right="520"/>
        <w:spacing w:after="0" w:line="292" w:lineRule="auto"/>
        <w:rPr>
          <w:sz w:val="20"/>
          <w:szCs w:val="20"/>
          <w:color w:val="auto"/>
        </w:rPr>
      </w:pPr>
      <w:r>
        <w:rPr>
          <w:rFonts w:ascii="Arial" w:cs="Arial" w:eastAsia="Arial" w:hAnsi="Arial"/>
          <w:sz w:val="18"/>
          <w:szCs w:val="18"/>
          <w:color w:val="auto"/>
        </w:rPr>
        <w:t>In addition to costs incurred under the Restructuring Plan, we have recorded costs associated with the separation of our former CEO and former CFO, described in further detail below.</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Expected Costs</w:t>
      </w:r>
    </w:p>
    <w:p>
      <w:pPr>
        <w:spacing w:after="0" w:line="225" w:lineRule="exact"/>
        <w:rPr>
          <w:sz w:val="20"/>
          <w:szCs w:val="20"/>
          <w:color w:val="auto"/>
        </w:rPr>
      </w:pPr>
    </w:p>
    <w:p>
      <w:pPr>
        <w:spacing w:after="0" w:line="258" w:lineRule="auto"/>
        <w:rPr>
          <w:sz w:val="20"/>
          <w:szCs w:val="20"/>
          <w:color w:val="auto"/>
        </w:rPr>
      </w:pPr>
      <w:r>
        <w:rPr>
          <w:rFonts w:ascii="Arial" w:cs="Arial" w:eastAsia="Arial" w:hAnsi="Arial"/>
          <w:sz w:val="18"/>
          <w:szCs w:val="18"/>
          <w:color w:val="auto"/>
        </w:rPr>
        <w:t>We estimate that total pre-tax costs associated with the restructuring plan will be approximately $70 million to $90 million in the fourth quarter of 2017, with an additional $20 million to $ 40 million to be incurred in 2018. Since the initiation of our Restructuring Plan in the second quarter of 2017, the range of total estimated costs have increased by approximately $50 million due primarily to non-cash write-offs of certain capitalized software in connection with the re-design of core processes. Such write-offs were not included in our initial total cost estimates, but as our evaluation of core operating processes proceeded in the third quarter, we determined that certain projects were inconsistent with our future operating goals and were therefore written off.</w:t>
      </w:r>
    </w:p>
    <w:p>
      <w:pPr>
        <w:spacing w:after="0" w:line="178" w:lineRule="exact"/>
        <w:rPr>
          <w:sz w:val="20"/>
          <w:szCs w:val="20"/>
          <w:color w:val="auto"/>
        </w:rPr>
      </w:pPr>
    </w:p>
    <w:p>
      <w:pPr>
        <w:ind w:right="20"/>
        <w:spacing w:after="0" w:line="271" w:lineRule="auto"/>
        <w:rPr>
          <w:sz w:val="20"/>
          <w:szCs w:val="20"/>
          <w:color w:val="auto"/>
        </w:rPr>
      </w:pPr>
      <w:r>
        <w:rPr>
          <w:rFonts w:ascii="Arial" w:cs="Arial" w:eastAsia="Arial" w:hAnsi="Arial"/>
          <w:sz w:val="18"/>
          <w:szCs w:val="18"/>
          <w:color w:val="auto"/>
        </w:rPr>
        <w:t>In addition, in the second quarter of 2017, we reported that we expected restructuring costs to relate only to the Health Plans and Other segments. In the third quarter of 2017, however, we wrote off certain costs capitalized at our Molina Medicaid Solutions segment that supported our Health Plans segment provider information management</w:t>
      </w:r>
    </w:p>
    <w:p>
      <w:pPr>
        <w:spacing w:after="0" w:line="29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Molina Healthcare, Inc. 2017 Form 10-Q | 24</w:t>
      </w:r>
    </w:p>
    <w:p>
      <w:pPr>
        <w:sectPr>
          <w:pgSz w:w="11900" w:h="16838" w:orient="portrait"/>
          <w:cols w:equalWidth="0" w:num="1">
            <w:col w:w="11420"/>
          </w:cols>
          <w:pgMar w:left="240" w:top="115" w:right="239" w:bottom="1440" w:gutter="0" w:footer="0" w:header="0"/>
        </w:sectPr>
      </w:pPr>
    </w:p>
    <w:bookmarkStart w:id="24" w:name="page25"/>
    <w:bookmarkEnd w:id="2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61" w:lineRule="exact"/>
        <w:rPr>
          <w:sz w:val="20"/>
          <w:szCs w:val="20"/>
          <w:color w:val="auto"/>
        </w:rPr>
      </w:pPr>
    </w:p>
    <w:p>
      <w:pPr>
        <w:ind w:right="300"/>
        <w:spacing w:after="0" w:line="292" w:lineRule="auto"/>
        <w:rPr>
          <w:sz w:val="20"/>
          <w:szCs w:val="20"/>
          <w:color w:val="auto"/>
        </w:rPr>
      </w:pPr>
      <w:r>
        <w:rPr>
          <w:rFonts w:ascii="Arial" w:cs="Arial" w:eastAsia="Arial" w:hAnsi="Arial"/>
          <w:sz w:val="18"/>
          <w:szCs w:val="18"/>
          <w:color w:val="auto"/>
        </w:rPr>
        <w:t>processes to be re-designed. In addition, we now expect to incur consulting fees in connection with the review of Molina Medicaid Solutions’ core operating processes.</w:t>
      </w:r>
    </w:p>
    <w:p>
      <w:pPr>
        <w:spacing w:after="0" w:line="145" w:lineRule="exact"/>
        <w:rPr>
          <w:sz w:val="20"/>
          <w:szCs w:val="20"/>
          <w:color w:val="auto"/>
        </w:rPr>
      </w:pPr>
    </w:p>
    <w:p>
      <w:pPr>
        <w:ind w:right="100"/>
        <w:spacing w:after="0" w:line="271" w:lineRule="auto"/>
        <w:rPr>
          <w:sz w:val="20"/>
          <w:szCs w:val="20"/>
          <w:color w:val="auto"/>
        </w:rPr>
      </w:pPr>
      <w:r>
        <w:rPr>
          <w:rFonts w:ascii="Arial" w:cs="Arial" w:eastAsia="Arial" w:hAnsi="Arial"/>
          <w:sz w:val="18"/>
          <w:szCs w:val="18"/>
          <w:color w:val="auto"/>
        </w:rPr>
        <w:t>The following table illustrates our estimates of the total costs, by segment and major type of cost, that we expect to incur under the Restructuring Plan, and includes costs incurred through September 30, 2017. We expect the Restructuring Plan to be completed by the end of 2018.</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5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60" w:type="dxa"/>
            <w:vAlign w:val="bottom"/>
            <w:gridSpan w:val="3"/>
          </w:tcPr>
          <w:p>
            <w:pPr>
              <w:jc w:val="center"/>
              <w:ind w:right="520"/>
              <w:spacing w:after="0"/>
              <w:rPr>
                <w:sz w:val="20"/>
                <w:szCs w:val="20"/>
                <w:color w:val="auto"/>
              </w:rPr>
            </w:pPr>
            <w:r>
              <w:rPr>
                <w:rFonts w:ascii="Arial" w:cs="Arial" w:eastAsia="Arial" w:hAnsi="Arial"/>
                <w:sz w:val="16"/>
                <w:szCs w:val="16"/>
                <w:b w:val="1"/>
                <w:bCs w:val="1"/>
                <w:color w:val="auto"/>
              </w:rPr>
              <w:t>Molina Medicaid</w:t>
            </w: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60" w:type="dxa"/>
            <w:vAlign w:val="bottom"/>
          </w:tcPr>
          <w:p>
            <w:pPr>
              <w:spacing w:after="0"/>
              <w:rPr>
                <w:sz w:val="16"/>
                <w:szCs w:val="16"/>
                <w:color w:val="auto"/>
              </w:rPr>
            </w:pPr>
          </w:p>
        </w:tc>
      </w:tr>
      <w:tr>
        <w:trPr>
          <w:trHeight w:val="232"/>
        </w:trPr>
        <w:tc>
          <w:tcPr>
            <w:tcW w:w="5620" w:type="dxa"/>
            <w:vAlign w:val="bottom"/>
            <w:gridSpan w:val="2"/>
          </w:tcPr>
          <w:p>
            <w:pPr>
              <w:ind w:left="40"/>
              <w:spacing w:after="0"/>
              <w:rPr>
                <w:sz w:val="20"/>
                <w:szCs w:val="20"/>
                <w:color w:val="auto"/>
              </w:rPr>
            </w:pPr>
            <w:r>
              <w:rPr>
                <w:rFonts w:ascii="Arial" w:cs="Arial" w:eastAsia="Arial" w:hAnsi="Arial"/>
                <w:sz w:val="16"/>
                <w:szCs w:val="16"/>
                <w:b w:val="1"/>
                <w:bCs w:val="1"/>
                <w:color w:val="auto"/>
              </w:rPr>
              <w:t>Estimated Costs Expected to be Incurred by Reportable Segment</w:t>
            </w:r>
          </w:p>
        </w:tc>
        <w:tc>
          <w:tcPr>
            <w:tcW w:w="1500" w:type="dxa"/>
            <w:vAlign w:val="bottom"/>
            <w:gridSpan w:val="2"/>
          </w:tcPr>
          <w:p>
            <w:pPr>
              <w:ind w:left="200"/>
              <w:spacing w:after="0"/>
              <w:rPr>
                <w:sz w:val="20"/>
                <w:szCs w:val="20"/>
                <w:color w:val="auto"/>
              </w:rPr>
            </w:pPr>
            <w:r>
              <w:rPr>
                <w:rFonts w:ascii="Arial" w:cs="Arial" w:eastAsia="Arial" w:hAnsi="Arial"/>
                <w:sz w:val="16"/>
                <w:szCs w:val="16"/>
                <w:b w:val="1"/>
                <w:bCs w:val="1"/>
                <w:color w:val="auto"/>
              </w:rPr>
              <w:t>Health Plans</w:t>
            </w:r>
          </w:p>
        </w:tc>
        <w:tc>
          <w:tcPr>
            <w:tcW w:w="1860" w:type="dxa"/>
            <w:vAlign w:val="bottom"/>
            <w:gridSpan w:val="3"/>
          </w:tcPr>
          <w:p>
            <w:pPr>
              <w:jc w:val="center"/>
              <w:ind w:right="520"/>
              <w:spacing w:after="0"/>
              <w:rPr>
                <w:sz w:val="20"/>
                <w:szCs w:val="20"/>
                <w:color w:val="auto"/>
              </w:rPr>
            </w:pPr>
            <w:r>
              <w:rPr>
                <w:rFonts w:ascii="Arial" w:cs="Arial" w:eastAsia="Arial" w:hAnsi="Arial"/>
                <w:sz w:val="16"/>
                <w:szCs w:val="16"/>
                <w:b w:val="1"/>
                <w:bCs w:val="1"/>
                <w:color w:val="auto"/>
              </w:rPr>
              <w:t>Solutions</w:t>
            </w:r>
          </w:p>
        </w:tc>
        <w:tc>
          <w:tcPr>
            <w:tcW w:w="1080" w:type="dxa"/>
            <w:vAlign w:val="bottom"/>
            <w:gridSpan w:val="2"/>
          </w:tcPr>
          <w:p>
            <w:pPr>
              <w:ind w:left="60"/>
              <w:spacing w:after="0"/>
              <w:rPr>
                <w:sz w:val="20"/>
                <w:szCs w:val="20"/>
                <w:color w:val="auto"/>
              </w:rPr>
            </w:pPr>
            <w:r>
              <w:rPr>
                <w:rFonts w:ascii="Arial" w:cs="Arial" w:eastAsia="Arial" w:hAnsi="Arial"/>
                <w:sz w:val="16"/>
                <w:szCs w:val="16"/>
                <w:b w:val="1"/>
                <w:bCs w:val="1"/>
                <w:color w:val="auto"/>
              </w:rPr>
              <w:t>Other</w:t>
            </w:r>
          </w:p>
        </w:tc>
        <w:tc>
          <w:tcPr>
            <w:tcW w:w="1360" w:type="dxa"/>
            <w:vAlign w:val="bottom"/>
          </w:tcPr>
          <w:p>
            <w:pPr>
              <w:jc w:val="right"/>
              <w:ind w:right="419"/>
              <w:spacing w:after="0"/>
              <w:rPr>
                <w:sz w:val="20"/>
                <w:szCs w:val="20"/>
                <w:color w:val="auto"/>
              </w:rPr>
            </w:pPr>
            <w:r>
              <w:rPr>
                <w:rFonts w:ascii="Arial" w:cs="Arial" w:eastAsia="Arial" w:hAnsi="Arial"/>
                <w:sz w:val="16"/>
                <w:szCs w:val="16"/>
                <w:b w:val="1"/>
                <w:bCs w:val="1"/>
                <w:color w:val="auto"/>
              </w:rPr>
              <w:t>Total</w:t>
            </w:r>
          </w:p>
        </w:tc>
      </w:tr>
      <w:tr>
        <w:trPr>
          <w:trHeight w:val="264"/>
        </w:trPr>
        <w:tc>
          <w:tcPr>
            <w:tcW w:w="550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380" w:type="dxa"/>
            <w:vAlign w:val="bottom"/>
            <w:tcBorders>
              <w:top w:val="single" w:sz="8" w:color="auto"/>
            </w:tcBorders>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1860" w:type="dxa"/>
            <w:vAlign w:val="bottom"/>
            <w:tcBorders>
              <w:top w:val="single" w:sz="8" w:color="auto"/>
            </w:tcBorders>
            <w:gridSpan w:val="3"/>
          </w:tcPr>
          <w:p>
            <w:pPr>
              <w:ind w:left="940"/>
              <w:spacing w:after="0"/>
              <w:rPr>
                <w:sz w:val="20"/>
                <w:szCs w:val="20"/>
                <w:color w:val="auto"/>
              </w:rPr>
            </w:pPr>
            <w:r>
              <w:rPr>
                <w:rFonts w:ascii="Arial" w:cs="Arial" w:eastAsia="Arial" w:hAnsi="Arial"/>
                <w:sz w:val="16"/>
                <w:szCs w:val="16"/>
                <w:b w:val="1"/>
                <w:bCs w:val="1"/>
                <w:color w:val="auto"/>
              </w:rPr>
              <w:t>(In millions)</w:t>
            </w:r>
          </w:p>
        </w:tc>
        <w:tc>
          <w:tcPr>
            <w:tcW w:w="960" w:type="dxa"/>
            <w:vAlign w:val="bottom"/>
            <w:tcBorders>
              <w:top w:val="single" w:sz="8" w:color="auto"/>
            </w:tcBorders>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1360" w:type="dxa"/>
            <w:vAlign w:val="bottom"/>
            <w:tcBorders>
              <w:top w:val="single" w:sz="8" w:color="auto"/>
            </w:tcBorders>
          </w:tcPr>
          <w:p>
            <w:pPr>
              <w:spacing w:after="0"/>
              <w:rPr>
                <w:sz w:val="22"/>
                <w:szCs w:val="22"/>
                <w:color w:val="auto"/>
              </w:rPr>
            </w:pPr>
          </w:p>
        </w:tc>
      </w:tr>
      <w:tr>
        <w:trPr>
          <w:trHeight w:val="274"/>
        </w:trPr>
        <w:tc>
          <w:tcPr>
            <w:tcW w:w="562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Termination benefits</w:t>
            </w:r>
          </w:p>
        </w:tc>
        <w:tc>
          <w:tcPr>
            <w:tcW w:w="1500" w:type="dxa"/>
            <w:vAlign w:val="bottom"/>
            <w:gridSpan w:val="2"/>
            <w:shd w:val="clear" w:color="auto" w:fill="CCEEFF"/>
          </w:tcPr>
          <w:p>
            <w:pPr>
              <w:ind w:left="580"/>
              <w:spacing w:after="0"/>
              <w:rPr>
                <w:sz w:val="20"/>
                <w:szCs w:val="20"/>
                <w:color w:val="auto"/>
              </w:rPr>
            </w:pPr>
            <w:r>
              <w:rPr>
                <w:rFonts w:ascii="Arial" w:cs="Arial" w:eastAsia="Arial" w:hAnsi="Arial"/>
                <w:sz w:val="16"/>
                <w:szCs w:val="16"/>
                <w:color w:val="auto"/>
              </w:rPr>
              <w:t>$30 to $35</w:t>
            </w:r>
          </w:p>
        </w:tc>
        <w:tc>
          <w:tcPr>
            <w:tcW w:w="1860" w:type="dxa"/>
            <w:vAlign w:val="bottom"/>
            <w:gridSpan w:val="3"/>
            <w:shd w:val="clear" w:color="auto" w:fill="CCEEFF"/>
          </w:tcPr>
          <w:p>
            <w:pPr>
              <w:ind w:left="1080"/>
              <w:spacing w:after="0"/>
              <w:rPr>
                <w:sz w:val="20"/>
                <w:szCs w:val="20"/>
                <w:color w:val="auto"/>
              </w:rPr>
            </w:pPr>
            <w:r>
              <w:rPr>
                <w:rFonts w:ascii="Arial" w:cs="Arial" w:eastAsia="Arial" w:hAnsi="Arial"/>
                <w:sz w:val="16"/>
                <w:szCs w:val="16"/>
                <w:color w:val="auto"/>
              </w:rPr>
              <w:t>—</w:t>
            </w: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$30 to $35</w:t>
            </w: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 to $70</w:t>
            </w:r>
          </w:p>
        </w:tc>
      </w:tr>
      <w:tr>
        <w:trPr>
          <w:trHeight w:val="264"/>
        </w:trPr>
        <w:tc>
          <w:tcPr>
            <w:tcW w:w="5620" w:type="dxa"/>
            <w:vAlign w:val="bottom"/>
            <w:tcBorders>
              <w:bottom w:val="single" w:sz="8" w:color="CCEEFF"/>
            </w:tcBorders>
            <w:gridSpan w:val="2"/>
          </w:tcPr>
          <w:p>
            <w:pPr>
              <w:ind w:left="40"/>
              <w:spacing w:after="0"/>
              <w:rPr>
                <w:sz w:val="20"/>
                <w:szCs w:val="20"/>
                <w:color w:val="auto"/>
              </w:rPr>
            </w:pPr>
            <w:r>
              <w:rPr>
                <w:rFonts w:ascii="Arial" w:cs="Arial" w:eastAsia="Arial" w:hAnsi="Arial"/>
                <w:sz w:val="16"/>
                <w:szCs w:val="16"/>
                <w:color w:val="auto"/>
              </w:rPr>
              <w:t>Other restructuring costs</w:t>
            </w:r>
          </w:p>
        </w:tc>
        <w:tc>
          <w:tcPr>
            <w:tcW w:w="1380" w:type="dxa"/>
            <w:vAlign w:val="bottom"/>
            <w:tcBorders>
              <w:bottom w:val="single" w:sz="8" w:color="auto"/>
            </w:tcBorders>
          </w:tcPr>
          <w:p>
            <w:pPr>
              <w:ind w:left="580"/>
              <w:spacing w:after="0"/>
              <w:rPr>
                <w:sz w:val="20"/>
                <w:szCs w:val="20"/>
                <w:color w:val="auto"/>
              </w:rPr>
            </w:pPr>
            <w:r>
              <w:rPr>
                <w:rFonts w:ascii="Arial" w:cs="Arial" w:eastAsia="Arial" w:hAnsi="Arial"/>
                <w:sz w:val="16"/>
                <w:szCs w:val="16"/>
                <w:color w:val="auto"/>
              </w:rPr>
              <w:t>$40 to $45</w:t>
            </w:r>
          </w:p>
        </w:tc>
        <w:tc>
          <w:tcPr>
            <w:tcW w:w="120" w:type="dxa"/>
            <w:vAlign w:val="bottom"/>
            <w:tcBorders>
              <w:bottom w:val="single" w:sz="8" w:color="CCEEFF"/>
            </w:tcBorders>
          </w:tcPr>
          <w:p>
            <w:pPr>
              <w:spacing w:after="0"/>
              <w:rPr>
                <w:sz w:val="22"/>
                <w:szCs w:val="22"/>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w:t>
            </w:r>
          </w:p>
        </w:tc>
        <w:tc>
          <w:tcPr>
            <w:tcW w:w="10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98"/>
              </w:rPr>
              <w:t>$110 to $115</w:t>
            </w:r>
          </w:p>
        </w:tc>
        <w:tc>
          <w:tcPr>
            <w:tcW w:w="120" w:type="dxa"/>
            <w:vAlign w:val="bottom"/>
            <w:tcBorders>
              <w:bottom w:val="single" w:sz="8" w:color="CCEEFF"/>
            </w:tcBorders>
          </w:tcPr>
          <w:p>
            <w:pPr>
              <w:spacing w:after="0"/>
              <w:rPr>
                <w:sz w:val="22"/>
                <w:szCs w:val="22"/>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$160 to $170</w:t>
            </w:r>
          </w:p>
        </w:tc>
      </w:tr>
      <w:tr>
        <w:trPr>
          <w:trHeight w:val="237"/>
        </w:trPr>
        <w:tc>
          <w:tcPr>
            <w:tcW w:w="55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500" w:type="dxa"/>
            <w:vAlign w:val="bottom"/>
            <w:gridSpan w:val="2"/>
            <w:shd w:val="clear" w:color="auto" w:fill="CCEEFF"/>
          </w:tcPr>
          <w:p>
            <w:pPr>
              <w:ind w:left="580"/>
              <w:spacing w:after="0"/>
              <w:rPr>
                <w:sz w:val="20"/>
                <w:szCs w:val="20"/>
                <w:color w:val="auto"/>
              </w:rPr>
            </w:pPr>
            <w:r>
              <w:rPr>
                <w:rFonts w:ascii="Arial" w:cs="Arial" w:eastAsia="Arial" w:hAnsi="Arial"/>
                <w:sz w:val="16"/>
                <w:szCs w:val="16"/>
                <w:color w:val="auto"/>
              </w:rPr>
              <w:t>$70 to $80</w:t>
            </w: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w:t>
            </w:r>
          </w:p>
        </w:tc>
        <w:tc>
          <w:tcPr>
            <w:tcW w:w="10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w w:val="98"/>
              </w:rPr>
              <w:t>$140 to $150</w:t>
            </w: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$220 to $240</w:t>
            </w:r>
          </w:p>
        </w:tc>
      </w:tr>
      <w:tr>
        <w:trPr>
          <w:trHeight w:val="20"/>
        </w:trPr>
        <w:tc>
          <w:tcPr>
            <w:tcW w:w="55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r>
    </w:tbl>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Costs Incurred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Restructuring Plan</w:t>
      </w:r>
    </w:p>
    <w:p>
      <w:pPr>
        <w:spacing w:after="0" w:line="225" w:lineRule="exact"/>
        <w:rPr>
          <w:sz w:val="20"/>
          <w:szCs w:val="20"/>
          <w:color w:val="auto"/>
        </w:rPr>
      </w:pPr>
    </w:p>
    <w:p>
      <w:pPr>
        <w:ind w:right="180"/>
        <w:spacing w:after="0" w:line="292" w:lineRule="auto"/>
        <w:rPr>
          <w:sz w:val="20"/>
          <w:szCs w:val="20"/>
          <w:color w:val="auto"/>
        </w:rPr>
      </w:pPr>
      <w:r>
        <w:rPr>
          <w:rFonts w:ascii="Arial" w:cs="Arial" w:eastAsia="Arial" w:hAnsi="Arial"/>
          <w:sz w:val="18"/>
          <w:szCs w:val="18"/>
          <w:color w:val="auto"/>
        </w:rPr>
        <w:t>Restructuring costs incurred to date consist primarily of termination benefits, write-offs of capitalized software due to the re-design of our core operating processes, restructuring of our direct delivery operations, and consulting fees.</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Separation Costs</w:t>
      </w:r>
    </w:p>
    <w:p>
      <w:pPr>
        <w:spacing w:after="0" w:line="225" w:lineRule="exact"/>
        <w:rPr>
          <w:sz w:val="20"/>
          <w:szCs w:val="20"/>
          <w:color w:val="auto"/>
        </w:rPr>
      </w:pPr>
    </w:p>
    <w:p>
      <w:pPr>
        <w:ind w:right="120"/>
        <w:spacing w:after="0" w:line="258" w:lineRule="auto"/>
        <w:rPr>
          <w:sz w:val="20"/>
          <w:szCs w:val="20"/>
          <w:color w:val="auto"/>
        </w:rPr>
      </w:pPr>
      <w:r>
        <w:rPr>
          <w:rFonts w:ascii="Arial" w:cs="Arial" w:eastAsia="Arial" w:hAnsi="Arial"/>
          <w:sz w:val="18"/>
          <w:szCs w:val="18"/>
          <w:color w:val="auto"/>
        </w:rPr>
        <w:t xml:space="preserve">On May 2, 2017, we terminated the employment of our former CEO and CFO without cause. Under their amended and restated employment agreements, they were each entitled to receive 400% of their base salary, a prorated termination bonus (150% of base salary for the former CEO and 125% of base salary for the former CFO), full vesting of equity compensation, and a cash payment for health and welfare benefits. We recorded separation costs of $35 million primarily related to these former executives under FASB ASC Topic 712, </w:t>
      </w:r>
      <w:r>
        <w:rPr>
          <w:rFonts w:ascii="Arial" w:cs="Arial" w:eastAsia="Arial" w:hAnsi="Arial"/>
          <w:sz w:val="18"/>
          <w:szCs w:val="18"/>
          <w:i w:val="1"/>
          <w:iCs w:val="1"/>
          <w:color w:val="auto"/>
        </w:rPr>
        <w:t>Nonretirement and</w:t>
      </w:r>
      <w:r>
        <w:rPr>
          <w:rFonts w:ascii="Arial" w:cs="Arial" w:eastAsia="Arial" w:hAnsi="Arial"/>
          <w:sz w:val="18"/>
          <w:szCs w:val="18"/>
          <w:color w:val="auto"/>
        </w:rPr>
        <w:t xml:space="preserve"> </w:t>
      </w:r>
      <w:r>
        <w:rPr>
          <w:rFonts w:ascii="Arial" w:cs="Arial" w:eastAsia="Arial" w:hAnsi="Arial"/>
          <w:sz w:val="18"/>
          <w:szCs w:val="18"/>
          <w:i w:val="1"/>
          <w:iCs w:val="1"/>
          <w:color w:val="auto"/>
        </w:rPr>
        <w:t>Postemployment Benefits</w:t>
      </w:r>
      <w:r>
        <w:rPr>
          <w:rFonts w:ascii="Arial" w:cs="Arial" w:eastAsia="Arial" w:hAnsi="Arial"/>
          <w:sz w:val="18"/>
          <w:szCs w:val="18"/>
          <w:color w:val="auto"/>
        </w:rPr>
        <w:t>. Of this total, $23 million related to the acceleration of their share-based compensation, as further discussed in Note</w:t>
      </w:r>
      <w:r>
        <w:rPr>
          <w:rFonts w:ascii="Arial" w:cs="Arial" w:eastAsia="Arial" w:hAnsi="Arial"/>
          <w:sz w:val="18"/>
          <w:szCs w:val="18"/>
          <w:i w:val="1"/>
          <w:iCs w:val="1"/>
          <w:color w:val="auto"/>
        </w:rPr>
        <w:t xml:space="preserve"> </w:t>
      </w:r>
      <w:r>
        <w:rPr>
          <w:rFonts w:ascii="Arial" w:cs="Arial" w:eastAsia="Arial" w:hAnsi="Arial"/>
          <w:sz w:val="18"/>
          <w:szCs w:val="18"/>
          <w:color w:val="auto"/>
        </w:rPr>
        <w:t>9, “Stockholders' Equity.” Employee separation costs were insignificant in 2016.</w:t>
      </w:r>
    </w:p>
    <w:p>
      <w:pPr>
        <w:spacing w:after="0" w:line="178" w:lineRule="exact"/>
        <w:rPr>
          <w:sz w:val="20"/>
          <w:szCs w:val="20"/>
          <w:color w:val="auto"/>
        </w:rPr>
      </w:pPr>
    </w:p>
    <w:p>
      <w:pPr>
        <w:ind w:right="240"/>
        <w:spacing w:after="0" w:line="271" w:lineRule="auto"/>
        <w:rPr>
          <w:sz w:val="20"/>
          <w:szCs w:val="20"/>
          <w:color w:val="auto"/>
        </w:rPr>
      </w:pPr>
      <w:r>
        <w:rPr>
          <w:rFonts w:ascii="Arial" w:cs="Arial" w:eastAsia="Arial" w:hAnsi="Arial"/>
          <w:sz w:val="18"/>
          <w:szCs w:val="18"/>
          <w:color w:val="auto"/>
        </w:rPr>
        <w:t>Restructuring and separation costs are reported in “Restructuring and separation costs” in the accompanying consolidated statements of operations. The following tables present the major types of such costs by segment. Long-lived assets include capitalized software, intangible assets and furniture, fixtures and equipment.</w:t>
      </w:r>
    </w:p>
    <w:p>
      <w:pPr>
        <w:spacing w:after="0" w:line="355"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264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spacing w:after="0"/>
              <w:rPr>
                <w:sz w:val="20"/>
                <w:szCs w:val="20"/>
                <w:color w:val="auto"/>
              </w:rPr>
            </w:pPr>
          </w:p>
        </w:tc>
        <w:tc>
          <w:tcPr>
            <w:tcW w:w="3320" w:type="dxa"/>
            <w:vAlign w:val="bottom"/>
            <w:tcBorders>
              <w:bottom w:val="single" w:sz="8" w:color="auto"/>
            </w:tcBorders>
            <w:gridSpan w:val="9"/>
          </w:tcPr>
          <w:p>
            <w:pPr>
              <w:jc w:val="center"/>
              <w:ind w:right="39"/>
              <w:spacing w:after="0"/>
              <w:rPr>
                <w:sz w:val="20"/>
                <w:szCs w:val="20"/>
                <w:color w:val="auto"/>
              </w:rPr>
            </w:pPr>
            <w:r>
              <w:rPr>
                <w:rFonts w:ascii="Arial" w:cs="Arial" w:eastAsia="Arial" w:hAnsi="Arial"/>
                <w:sz w:val="16"/>
                <w:szCs w:val="16"/>
                <w:b w:val="1"/>
                <w:bCs w:val="1"/>
                <w:color w:val="auto"/>
              </w:rPr>
              <w:t>Three Months Ended September 30, 2017</w:t>
            </w:r>
          </w:p>
        </w:tc>
        <w:tc>
          <w:tcPr>
            <w:tcW w:w="11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r>
      <w:tr>
        <w:trPr>
          <w:trHeight w:val="261"/>
        </w:trPr>
        <w:tc>
          <w:tcPr>
            <w:tcW w:w="26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4140" w:type="dxa"/>
            <w:vAlign w:val="bottom"/>
            <w:tcBorders>
              <w:bottom w:val="single" w:sz="8" w:color="auto"/>
            </w:tcBorders>
            <w:gridSpan w:val="7"/>
          </w:tcPr>
          <w:p>
            <w:pPr>
              <w:jc w:val="center"/>
              <w:ind w:right="59"/>
              <w:spacing w:after="0"/>
              <w:rPr>
                <w:sz w:val="20"/>
                <w:szCs w:val="20"/>
                <w:color w:val="auto"/>
              </w:rPr>
            </w:pPr>
            <w:r>
              <w:rPr>
                <w:rFonts w:ascii="Arial" w:cs="Arial" w:eastAsia="Arial" w:hAnsi="Arial"/>
                <w:sz w:val="16"/>
                <w:szCs w:val="16"/>
                <w:b w:val="1"/>
                <w:bCs w:val="1"/>
                <w:color w:val="auto"/>
              </w:rPr>
              <w:t>Other Restructuring Costs</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60" w:type="dxa"/>
            <w:vAlign w:val="bottom"/>
          </w:tcPr>
          <w:p>
            <w:pPr>
              <w:spacing w:after="0"/>
              <w:rPr>
                <w:sz w:val="22"/>
                <w:szCs w:val="22"/>
                <w:color w:val="auto"/>
              </w:rPr>
            </w:pPr>
          </w:p>
        </w:tc>
      </w:tr>
      <w:tr>
        <w:trPr>
          <w:trHeight w:val="196"/>
        </w:trPr>
        <w:tc>
          <w:tcPr>
            <w:tcW w:w="2640" w:type="dxa"/>
            <w:vAlign w:val="bottom"/>
          </w:tcPr>
          <w:p>
            <w:pPr>
              <w:spacing w:after="0"/>
              <w:rPr>
                <w:sz w:val="17"/>
                <w:szCs w:val="17"/>
                <w:color w:val="auto"/>
              </w:rPr>
            </w:pPr>
          </w:p>
        </w:tc>
        <w:tc>
          <w:tcPr>
            <w:tcW w:w="1520" w:type="dxa"/>
            <w:vAlign w:val="bottom"/>
            <w:gridSpan w:val="3"/>
          </w:tcPr>
          <w:p>
            <w:pPr>
              <w:ind w:left="40"/>
              <w:spacing w:after="0"/>
              <w:rPr>
                <w:sz w:val="20"/>
                <w:szCs w:val="20"/>
                <w:color w:val="auto"/>
              </w:rPr>
            </w:pPr>
            <w:r>
              <w:rPr>
                <w:rFonts w:ascii="Arial" w:cs="Arial" w:eastAsia="Arial" w:hAnsi="Arial"/>
                <w:sz w:val="16"/>
                <w:szCs w:val="16"/>
                <w:b w:val="1"/>
                <w:bCs w:val="1"/>
                <w:color w:val="auto"/>
              </w:rPr>
              <w:t>Separation Costs</w:t>
            </w:r>
          </w:p>
        </w:tc>
        <w:tc>
          <w:tcPr>
            <w:tcW w:w="180" w:type="dxa"/>
            <w:vAlign w:val="bottom"/>
          </w:tcPr>
          <w:p>
            <w:pPr>
              <w:spacing w:after="0"/>
              <w:rPr>
                <w:sz w:val="17"/>
                <w:szCs w:val="17"/>
                <w:color w:val="auto"/>
              </w:rPr>
            </w:pPr>
          </w:p>
        </w:tc>
        <w:tc>
          <w:tcPr>
            <w:tcW w:w="1100" w:type="dxa"/>
            <w:vAlign w:val="bottom"/>
          </w:tcPr>
          <w:p>
            <w:pPr>
              <w:jc w:val="center"/>
              <w:spacing w:after="0"/>
              <w:rPr>
                <w:sz w:val="20"/>
                <w:szCs w:val="20"/>
                <w:color w:val="auto"/>
              </w:rPr>
            </w:pPr>
            <w:r>
              <w:rPr>
                <w:rFonts w:ascii="Arial" w:cs="Arial" w:eastAsia="Arial" w:hAnsi="Arial"/>
                <w:sz w:val="16"/>
                <w:szCs w:val="16"/>
                <w:b w:val="1"/>
                <w:bCs w:val="1"/>
                <w:color w:val="auto"/>
              </w:rPr>
              <w:t>One-Time</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2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rPr>
              <w:t>Write-offs of</w:t>
            </w:r>
          </w:p>
        </w:tc>
        <w:tc>
          <w:tcPr>
            <w:tcW w:w="7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0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rPr>
              <w:t>Contract</w:t>
            </w:r>
          </w:p>
        </w:tc>
        <w:tc>
          <w:tcPr>
            <w:tcW w:w="30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189"/>
        </w:trPr>
        <w:tc>
          <w:tcPr>
            <w:tcW w:w="26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2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rPr>
              <w:t>- Former</w:t>
            </w:r>
          </w:p>
        </w:tc>
        <w:tc>
          <w:tcPr>
            <w:tcW w:w="180" w:type="dxa"/>
            <w:vAlign w:val="bottom"/>
          </w:tcPr>
          <w:p>
            <w:pPr>
              <w:spacing w:after="0"/>
              <w:rPr>
                <w:sz w:val="16"/>
                <w:szCs w:val="16"/>
                <w:color w:val="auto"/>
              </w:rPr>
            </w:pPr>
          </w:p>
        </w:tc>
        <w:tc>
          <w:tcPr>
            <w:tcW w:w="1100" w:type="dxa"/>
            <w:vAlign w:val="bottom"/>
          </w:tcPr>
          <w:p>
            <w:pPr>
              <w:jc w:val="center"/>
              <w:spacing w:after="0"/>
              <w:rPr>
                <w:sz w:val="20"/>
                <w:szCs w:val="20"/>
                <w:color w:val="auto"/>
              </w:rPr>
            </w:pPr>
            <w:r>
              <w:rPr>
                <w:rFonts w:ascii="Arial" w:cs="Arial" w:eastAsia="Arial" w:hAnsi="Arial"/>
                <w:sz w:val="16"/>
                <w:szCs w:val="16"/>
                <w:b w:val="1"/>
                <w:bCs w:val="1"/>
                <w:color w:val="auto"/>
                <w:w w:val="98"/>
              </w:rPr>
              <w:t>Termination</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2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rPr>
              <w:t>Long-lived</w:t>
            </w:r>
          </w:p>
        </w:tc>
        <w:tc>
          <w:tcPr>
            <w:tcW w:w="7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0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rPr>
              <w:t>Termination</w:t>
            </w:r>
          </w:p>
        </w:tc>
        <w:tc>
          <w:tcPr>
            <w:tcW w:w="300" w:type="dxa"/>
            <w:vAlign w:val="bottom"/>
          </w:tcPr>
          <w:p>
            <w:pPr>
              <w:spacing w:after="0"/>
              <w:rPr>
                <w:sz w:val="16"/>
                <w:szCs w:val="16"/>
                <w:color w:val="auto"/>
              </w:rPr>
            </w:pPr>
          </w:p>
        </w:tc>
        <w:tc>
          <w:tcPr>
            <w:tcW w:w="1060" w:type="dxa"/>
            <w:vAlign w:val="bottom"/>
          </w:tcPr>
          <w:p>
            <w:pPr>
              <w:spacing w:after="0"/>
              <w:rPr>
                <w:sz w:val="16"/>
                <w:szCs w:val="16"/>
                <w:color w:val="auto"/>
              </w:rPr>
            </w:pPr>
          </w:p>
        </w:tc>
      </w:tr>
      <w:tr>
        <w:trPr>
          <w:trHeight w:val="232"/>
        </w:trPr>
        <w:tc>
          <w:tcPr>
            <w:tcW w:w="264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gridSpan w:val="2"/>
          </w:tcPr>
          <w:p>
            <w:pPr>
              <w:jc w:val="center"/>
              <w:ind w:right="320"/>
              <w:spacing w:after="0"/>
              <w:rPr>
                <w:sz w:val="20"/>
                <w:szCs w:val="20"/>
                <w:color w:val="auto"/>
              </w:rPr>
            </w:pPr>
            <w:r>
              <w:rPr>
                <w:rFonts w:ascii="Arial" w:cs="Arial" w:eastAsia="Arial" w:hAnsi="Arial"/>
                <w:sz w:val="16"/>
                <w:szCs w:val="16"/>
                <w:b w:val="1"/>
                <w:bCs w:val="1"/>
                <w:color w:val="auto"/>
              </w:rPr>
              <w:t>Executives</w:t>
            </w:r>
          </w:p>
        </w:tc>
        <w:tc>
          <w:tcPr>
            <w:tcW w:w="18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8"/>
              </w:rPr>
              <w:t>Benefits</w:t>
            </w:r>
          </w:p>
        </w:tc>
        <w:tc>
          <w:tcPr>
            <w:tcW w:w="1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6"/>
                <w:szCs w:val="16"/>
                <w:b w:val="1"/>
                <w:bCs w:val="1"/>
                <w:color w:val="auto"/>
                <w:w w:val="99"/>
              </w:rPr>
              <w:t>Assets</w:t>
            </w:r>
          </w:p>
        </w:tc>
        <w:tc>
          <w:tcPr>
            <w:tcW w:w="1460" w:type="dxa"/>
            <w:vAlign w:val="bottom"/>
            <w:tcBorders>
              <w:bottom w:val="single" w:sz="8" w:color="auto"/>
            </w:tcBorders>
            <w:gridSpan w:val="3"/>
          </w:tcPr>
          <w:p>
            <w:pPr>
              <w:jc w:val="center"/>
              <w:ind w:right="120"/>
              <w:spacing w:after="0"/>
              <w:rPr>
                <w:sz w:val="20"/>
                <w:szCs w:val="20"/>
                <w:color w:val="auto"/>
              </w:rPr>
            </w:pPr>
            <w:r>
              <w:rPr>
                <w:rFonts w:ascii="Arial" w:cs="Arial" w:eastAsia="Arial" w:hAnsi="Arial"/>
                <w:sz w:val="16"/>
                <w:szCs w:val="16"/>
                <w:b w:val="1"/>
                <w:bCs w:val="1"/>
                <w:color w:val="auto"/>
              </w:rPr>
              <w:t>Consulting Fees</w:t>
            </w:r>
          </w:p>
        </w:tc>
        <w:tc>
          <w:tcPr>
            <w:tcW w:w="18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6"/>
                <w:szCs w:val="16"/>
                <w:b w:val="1"/>
                <w:bCs w:val="1"/>
                <w:color w:val="auto"/>
              </w:rPr>
              <w:t>Costs</w:t>
            </w:r>
          </w:p>
        </w:tc>
        <w:tc>
          <w:tcPr>
            <w:tcW w:w="3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Total</w:t>
            </w:r>
          </w:p>
        </w:tc>
      </w:tr>
      <w:tr>
        <w:trPr>
          <w:trHeight w:val="246"/>
        </w:trPr>
        <w:tc>
          <w:tcPr>
            <w:tcW w:w="26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040" w:type="dxa"/>
            <w:vAlign w:val="bottom"/>
            <w:gridSpan w:val="3"/>
          </w:tcPr>
          <w:p>
            <w:pPr>
              <w:jc w:val="center"/>
              <w:ind w:left="359"/>
              <w:spacing w:after="0"/>
              <w:rPr>
                <w:sz w:val="20"/>
                <w:szCs w:val="20"/>
                <w:color w:val="auto"/>
              </w:rPr>
            </w:pPr>
            <w:r>
              <w:rPr>
                <w:rFonts w:ascii="Arial" w:cs="Arial" w:eastAsia="Arial" w:hAnsi="Arial"/>
                <w:sz w:val="16"/>
                <w:szCs w:val="16"/>
                <w:b w:val="1"/>
                <w:bCs w:val="1"/>
                <w:color w:val="auto"/>
              </w:rPr>
              <w:t>(In millions)</w:t>
            </w:r>
          </w:p>
        </w:tc>
        <w:tc>
          <w:tcPr>
            <w:tcW w:w="6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spacing w:after="0"/>
              <w:rPr>
                <w:sz w:val="21"/>
                <w:szCs w:val="21"/>
                <w:color w:val="auto"/>
              </w:rPr>
            </w:pPr>
          </w:p>
        </w:tc>
      </w:tr>
      <w:tr>
        <w:trPr>
          <w:trHeight w:val="270"/>
        </w:trPr>
        <w:tc>
          <w:tcPr>
            <w:tcW w:w="2640" w:type="dxa"/>
            <w:vAlign w:val="bottom"/>
          </w:tcPr>
          <w:p>
            <w:pPr>
              <w:ind w:left="40"/>
              <w:spacing w:after="0"/>
              <w:rPr>
                <w:sz w:val="20"/>
                <w:szCs w:val="20"/>
                <w:color w:val="auto"/>
              </w:rPr>
            </w:pPr>
            <w:r>
              <w:rPr>
                <w:rFonts w:ascii="Arial" w:cs="Arial" w:eastAsia="Arial" w:hAnsi="Arial"/>
                <w:sz w:val="16"/>
                <w:szCs w:val="16"/>
                <w:color w:val="auto"/>
              </w:rPr>
              <w:t>Health Plans</w:t>
            </w:r>
          </w:p>
        </w:tc>
        <w:tc>
          <w:tcPr>
            <w:tcW w:w="200" w:type="dxa"/>
            <w:vAlign w:val="bottom"/>
          </w:tcPr>
          <w:p>
            <w:pPr>
              <w:ind w:left="20"/>
              <w:spacing w:after="0"/>
              <w:rPr>
                <w:sz w:val="20"/>
                <w:szCs w:val="20"/>
                <w:color w:val="auto"/>
              </w:rPr>
            </w:pPr>
            <w:r>
              <w:rPr>
                <w:rFonts w:ascii="Arial" w:cs="Arial" w:eastAsia="Arial" w:hAnsi="Arial"/>
                <w:sz w:val="16"/>
                <w:szCs w:val="16"/>
                <w:color w:val="auto"/>
              </w:rPr>
              <w:t>$</w:t>
            </w:r>
          </w:p>
        </w:tc>
        <w:tc>
          <w:tcPr>
            <w:tcW w:w="13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27</w:t>
            </w:r>
          </w:p>
        </w:tc>
        <w:tc>
          <w:tcPr>
            <w:tcW w:w="360" w:type="dxa"/>
            <w:vAlign w:val="bottom"/>
            <w:gridSpan w:val="3"/>
          </w:tcPr>
          <w:p>
            <w:pPr>
              <w:jc w:val="right"/>
              <w:spacing w:after="0"/>
              <w:rPr>
                <w:sz w:val="20"/>
                <w:szCs w:val="20"/>
                <w:color w:val="auto"/>
              </w:rPr>
            </w:pPr>
            <w:r>
              <w:rPr>
                <w:rFonts w:ascii="Arial" w:cs="Arial" w:eastAsia="Arial" w:hAnsi="Arial"/>
                <w:sz w:val="16"/>
                <w:szCs w:val="16"/>
                <w:color w:val="auto"/>
              </w:rPr>
              <w:t>$</w:t>
            </w: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6</w:t>
            </w:r>
          </w:p>
        </w:tc>
        <w:tc>
          <w:tcPr>
            <w:tcW w:w="120" w:type="dxa"/>
            <w:vAlign w:val="bottom"/>
          </w:tcPr>
          <w:p>
            <w:pPr>
              <w:spacing w:after="0"/>
              <w:rPr>
                <w:sz w:val="23"/>
                <w:szCs w:val="23"/>
                <w:color w:val="auto"/>
              </w:rPr>
            </w:pPr>
          </w:p>
        </w:tc>
        <w:tc>
          <w:tcPr>
            <w:tcW w:w="720" w:type="dxa"/>
            <w:vAlign w:val="bottom"/>
          </w:tcPr>
          <w:p>
            <w:pPr>
              <w:jc w:val="right"/>
              <w:ind w:right="539"/>
              <w:spacing w:after="0"/>
              <w:rPr>
                <w:sz w:val="20"/>
                <w:szCs w:val="20"/>
                <w:color w:val="auto"/>
              </w:rPr>
            </w:pPr>
            <w:r>
              <w:rPr>
                <w:rFonts w:ascii="Arial" w:cs="Arial" w:eastAsia="Arial" w:hAnsi="Arial"/>
                <w:sz w:val="16"/>
                <w:szCs w:val="16"/>
                <w:color w:val="auto"/>
                <w:w w:val="89"/>
              </w:rPr>
              <w:t>$</w:t>
            </w:r>
          </w:p>
        </w:tc>
        <w:tc>
          <w:tcPr>
            <w:tcW w:w="7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3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33</w:t>
            </w:r>
          </w:p>
        </w:tc>
      </w:tr>
      <w:tr>
        <w:trPr>
          <w:trHeight w:val="278"/>
        </w:trPr>
        <w:tc>
          <w:tcPr>
            <w:tcW w:w="2640" w:type="dxa"/>
            <w:vAlign w:val="bottom"/>
            <w:shd w:val="clear" w:color="auto" w:fill="CCEEFF"/>
          </w:tcPr>
          <w:p>
            <w:pPr>
              <w:ind w:left="40"/>
              <w:spacing w:after="0"/>
              <w:rPr>
                <w:sz w:val="20"/>
                <w:szCs w:val="20"/>
                <w:color w:val="auto"/>
              </w:rPr>
            </w:pPr>
            <w:r>
              <w:rPr>
                <w:rFonts w:ascii="Arial" w:cs="Arial" w:eastAsia="Arial" w:hAnsi="Arial"/>
                <w:sz w:val="16"/>
                <w:szCs w:val="16"/>
                <w:color w:val="auto"/>
              </w:rPr>
              <w:t>Molina Medicaid Solutions</w:t>
            </w:r>
          </w:p>
        </w:tc>
        <w:tc>
          <w:tcPr>
            <w:tcW w:w="200" w:type="dxa"/>
            <w:vAlign w:val="bottom"/>
            <w:shd w:val="clear" w:color="auto" w:fill="CCEEFF"/>
          </w:tcPr>
          <w:p>
            <w:pPr>
              <w:spacing w:after="0"/>
              <w:rPr>
                <w:sz w:val="24"/>
                <w:szCs w:val="24"/>
                <w:color w:val="auto"/>
              </w:rPr>
            </w:pPr>
          </w:p>
        </w:tc>
        <w:tc>
          <w:tcPr>
            <w:tcW w:w="132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24"/>
                <w:szCs w:val="2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8</w:t>
            </w:r>
          </w:p>
        </w:tc>
        <w:tc>
          <w:tcPr>
            <w:tcW w:w="120" w:type="dxa"/>
            <w:vAlign w:val="bottom"/>
            <w:shd w:val="clear" w:color="auto" w:fill="CCEEFF"/>
          </w:tcPr>
          <w:p>
            <w:pPr>
              <w:spacing w:after="0"/>
              <w:rPr>
                <w:sz w:val="24"/>
                <w:szCs w:val="24"/>
                <w:color w:val="auto"/>
              </w:rPr>
            </w:pPr>
          </w:p>
        </w:tc>
        <w:tc>
          <w:tcPr>
            <w:tcW w:w="720" w:type="dxa"/>
            <w:vAlign w:val="bottom"/>
            <w:shd w:val="clear" w:color="auto" w:fill="CCEEFF"/>
          </w:tcPr>
          <w:p>
            <w:pPr>
              <w:spacing w:after="0"/>
              <w:rPr>
                <w:sz w:val="24"/>
                <w:szCs w:val="24"/>
                <w:color w:val="auto"/>
              </w:rPr>
            </w:pPr>
          </w:p>
        </w:tc>
        <w:tc>
          <w:tcPr>
            <w:tcW w:w="7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24"/>
                <w:szCs w:val="24"/>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0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8</w:t>
            </w:r>
          </w:p>
        </w:tc>
      </w:tr>
      <w:tr>
        <w:trPr>
          <w:trHeight w:val="264"/>
        </w:trPr>
        <w:tc>
          <w:tcPr>
            <w:tcW w:w="264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Other</w:t>
            </w:r>
          </w:p>
        </w:tc>
        <w:tc>
          <w:tcPr>
            <w:tcW w:w="20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w:t>
            </w:r>
          </w:p>
        </w:tc>
        <w:tc>
          <w:tcPr>
            <w:tcW w:w="10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35</w:t>
            </w:r>
          </w:p>
        </w:tc>
        <w:tc>
          <w:tcPr>
            <w:tcW w:w="120" w:type="dxa"/>
            <w:vAlign w:val="bottom"/>
            <w:tcBorders>
              <w:bottom w:val="single" w:sz="8" w:color="CCEEFF"/>
            </w:tcBorders>
          </w:tcPr>
          <w:p>
            <w:pPr>
              <w:spacing w:after="0"/>
              <w:rPr>
                <w:sz w:val="22"/>
                <w:szCs w:val="22"/>
                <w:color w:val="auto"/>
              </w:rPr>
            </w:pPr>
          </w:p>
        </w:tc>
        <w:tc>
          <w:tcPr>
            <w:tcW w:w="72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16</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w:t>
            </w:r>
          </w:p>
        </w:tc>
        <w:tc>
          <w:tcPr>
            <w:tcW w:w="12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77</w:t>
            </w:r>
          </w:p>
        </w:tc>
      </w:tr>
      <w:tr>
        <w:trPr>
          <w:trHeight w:val="237"/>
        </w:trPr>
        <w:tc>
          <w:tcPr>
            <w:tcW w:w="264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50</w:t>
            </w:r>
          </w:p>
        </w:tc>
        <w:tc>
          <w:tcPr>
            <w:tcW w:w="100" w:type="dxa"/>
            <w:vAlign w:val="bottom"/>
            <w:tcBorders>
              <w:bottom w:val="single" w:sz="8" w:color="auto"/>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49</w:t>
            </w:r>
          </w:p>
        </w:tc>
        <w:tc>
          <w:tcPr>
            <w:tcW w:w="12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auto"/>
            </w:tcBorders>
            <w:shd w:val="clear" w:color="auto" w:fill="CCEEFF"/>
          </w:tcPr>
          <w:p>
            <w:pPr>
              <w:jc w:val="right"/>
              <w:ind w:right="539"/>
              <w:spacing w:after="0"/>
              <w:rPr>
                <w:sz w:val="20"/>
                <w:szCs w:val="20"/>
                <w:color w:val="auto"/>
              </w:rPr>
            </w:pPr>
            <w:r>
              <w:rPr>
                <w:rFonts w:ascii="Arial" w:cs="Arial" w:eastAsia="Arial" w:hAnsi="Arial"/>
                <w:sz w:val="16"/>
                <w:szCs w:val="16"/>
                <w:color w:val="auto"/>
                <w:w w:val="89"/>
              </w:rPr>
              <w:t>$</w:t>
            </w:r>
          </w:p>
        </w:tc>
        <w:tc>
          <w:tcPr>
            <w:tcW w:w="6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16</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3</w:t>
            </w: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118</w:t>
            </w:r>
          </w:p>
        </w:tc>
      </w:tr>
      <w:tr>
        <w:trPr>
          <w:trHeight w:val="20"/>
        </w:trPr>
        <w:tc>
          <w:tcPr>
            <w:tcW w:w="26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r>
        <w:trPr>
          <w:trHeight w:val="604"/>
        </w:trPr>
        <w:tc>
          <w:tcPr>
            <w:tcW w:w="264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3140" w:type="dxa"/>
            <w:vAlign w:val="bottom"/>
            <w:tcBorders>
              <w:bottom w:val="single" w:sz="8" w:color="auto"/>
            </w:tcBorders>
            <w:gridSpan w:val="8"/>
          </w:tcPr>
          <w:p>
            <w:pPr>
              <w:jc w:val="center"/>
              <w:spacing w:after="0"/>
              <w:rPr>
                <w:sz w:val="20"/>
                <w:szCs w:val="20"/>
                <w:color w:val="auto"/>
              </w:rPr>
            </w:pPr>
            <w:r>
              <w:rPr>
                <w:rFonts w:ascii="Arial" w:cs="Arial" w:eastAsia="Arial" w:hAnsi="Arial"/>
                <w:sz w:val="16"/>
                <w:szCs w:val="16"/>
                <w:b w:val="1"/>
                <w:bCs w:val="1"/>
                <w:color w:val="auto"/>
              </w:rPr>
              <w:t>Nine Months Ended September 30, 2017</w:t>
            </w:r>
          </w:p>
        </w:tc>
        <w:tc>
          <w:tcPr>
            <w:tcW w:w="18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r>
      <w:tr>
        <w:trPr>
          <w:trHeight w:val="261"/>
        </w:trPr>
        <w:tc>
          <w:tcPr>
            <w:tcW w:w="26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4140" w:type="dxa"/>
            <w:vAlign w:val="bottom"/>
            <w:tcBorders>
              <w:bottom w:val="single" w:sz="8" w:color="auto"/>
            </w:tcBorders>
            <w:gridSpan w:val="7"/>
          </w:tcPr>
          <w:p>
            <w:pPr>
              <w:jc w:val="center"/>
              <w:ind w:right="59"/>
              <w:spacing w:after="0"/>
              <w:rPr>
                <w:sz w:val="20"/>
                <w:szCs w:val="20"/>
                <w:color w:val="auto"/>
              </w:rPr>
            </w:pPr>
            <w:r>
              <w:rPr>
                <w:rFonts w:ascii="Arial" w:cs="Arial" w:eastAsia="Arial" w:hAnsi="Arial"/>
                <w:sz w:val="16"/>
                <w:szCs w:val="16"/>
                <w:b w:val="1"/>
                <w:bCs w:val="1"/>
                <w:color w:val="auto"/>
              </w:rPr>
              <w:t>Other Restructuring Costs</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60" w:type="dxa"/>
            <w:vAlign w:val="bottom"/>
          </w:tcPr>
          <w:p>
            <w:pPr>
              <w:spacing w:after="0"/>
              <w:rPr>
                <w:sz w:val="22"/>
                <w:szCs w:val="22"/>
                <w:color w:val="auto"/>
              </w:rPr>
            </w:pPr>
          </w:p>
        </w:tc>
      </w:tr>
      <w:tr>
        <w:trPr>
          <w:trHeight w:val="196"/>
        </w:trPr>
        <w:tc>
          <w:tcPr>
            <w:tcW w:w="2640" w:type="dxa"/>
            <w:vAlign w:val="bottom"/>
          </w:tcPr>
          <w:p>
            <w:pPr>
              <w:spacing w:after="0"/>
              <w:rPr>
                <w:sz w:val="17"/>
                <w:szCs w:val="17"/>
                <w:color w:val="auto"/>
              </w:rPr>
            </w:pPr>
          </w:p>
        </w:tc>
        <w:tc>
          <w:tcPr>
            <w:tcW w:w="1520" w:type="dxa"/>
            <w:vAlign w:val="bottom"/>
            <w:gridSpan w:val="3"/>
          </w:tcPr>
          <w:p>
            <w:pPr>
              <w:ind w:left="40"/>
              <w:spacing w:after="0"/>
              <w:rPr>
                <w:sz w:val="20"/>
                <w:szCs w:val="20"/>
                <w:color w:val="auto"/>
              </w:rPr>
            </w:pPr>
            <w:r>
              <w:rPr>
                <w:rFonts w:ascii="Arial" w:cs="Arial" w:eastAsia="Arial" w:hAnsi="Arial"/>
                <w:sz w:val="16"/>
                <w:szCs w:val="16"/>
                <w:b w:val="1"/>
                <w:bCs w:val="1"/>
                <w:color w:val="auto"/>
              </w:rPr>
              <w:t>Separation Costs</w:t>
            </w:r>
          </w:p>
        </w:tc>
        <w:tc>
          <w:tcPr>
            <w:tcW w:w="180" w:type="dxa"/>
            <w:vAlign w:val="bottom"/>
          </w:tcPr>
          <w:p>
            <w:pPr>
              <w:spacing w:after="0"/>
              <w:rPr>
                <w:sz w:val="17"/>
                <w:szCs w:val="17"/>
                <w:color w:val="auto"/>
              </w:rPr>
            </w:pPr>
          </w:p>
        </w:tc>
        <w:tc>
          <w:tcPr>
            <w:tcW w:w="1100" w:type="dxa"/>
            <w:vAlign w:val="bottom"/>
          </w:tcPr>
          <w:p>
            <w:pPr>
              <w:jc w:val="center"/>
              <w:spacing w:after="0"/>
              <w:rPr>
                <w:sz w:val="20"/>
                <w:szCs w:val="20"/>
                <w:color w:val="auto"/>
              </w:rPr>
            </w:pPr>
            <w:r>
              <w:rPr>
                <w:rFonts w:ascii="Arial" w:cs="Arial" w:eastAsia="Arial" w:hAnsi="Arial"/>
                <w:sz w:val="16"/>
                <w:szCs w:val="16"/>
                <w:b w:val="1"/>
                <w:bCs w:val="1"/>
                <w:color w:val="auto"/>
              </w:rPr>
              <w:t>One-Time</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2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rPr>
              <w:t>Write-offs of</w:t>
            </w:r>
          </w:p>
        </w:tc>
        <w:tc>
          <w:tcPr>
            <w:tcW w:w="7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0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rPr>
              <w:t>Contract</w:t>
            </w:r>
          </w:p>
        </w:tc>
        <w:tc>
          <w:tcPr>
            <w:tcW w:w="30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189"/>
        </w:trPr>
        <w:tc>
          <w:tcPr>
            <w:tcW w:w="26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2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rPr>
              <w:t>- Former</w:t>
            </w:r>
          </w:p>
        </w:tc>
        <w:tc>
          <w:tcPr>
            <w:tcW w:w="180" w:type="dxa"/>
            <w:vAlign w:val="bottom"/>
          </w:tcPr>
          <w:p>
            <w:pPr>
              <w:spacing w:after="0"/>
              <w:rPr>
                <w:sz w:val="16"/>
                <w:szCs w:val="16"/>
                <w:color w:val="auto"/>
              </w:rPr>
            </w:pPr>
          </w:p>
        </w:tc>
        <w:tc>
          <w:tcPr>
            <w:tcW w:w="1100" w:type="dxa"/>
            <w:vAlign w:val="bottom"/>
          </w:tcPr>
          <w:p>
            <w:pPr>
              <w:jc w:val="center"/>
              <w:spacing w:after="0"/>
              <w:rPr>
                <w:sz w:val="20"/>
                <w:szCs w:val="20"/>
                <w:color w:val="auto"/>
              </w:rPr>
            </w:pPr>
            <w:r>
              <w:rPr>
                <w:rFonts w:ascii="Arial" w:cs="Arial" w:eastAsia="Arial" w:hAnsi="Arial"/>
                <w:sz w:val="16"/>
                <w:szCs w:val="16"/>
                <w:b w:val="1"/>
                <w:bCs w:val="1"/>
                <w:color w:val="auto"/>
                <w:w w:val="98"/>
              </w:rPr>
              <w:t>Termination</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2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rPr>
              <w:t>Long-lived</w:t>
            </w:r>
          </w:p>
        </w:tc>
        <w:tc>
          <w:tcPr>
            <w:tcW w:w="7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0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rPr>
              <w:t>Termination</w:t>
            </w:r>
          </w:p>
        </w:tc>
        <w:tc>
          <w:tcPr>
            <w:tcW w:w="300" w:type="dxa"/>
            <w:vAlign w:val="bottom"/>
          </w:tcPr>
          <w:p>
            <w:pPr>
              <w:spacing w:after="0"/>
              <w:rPr>
                <w:sz w:val="16"/>
                <w:szCs w:val="16"/>
                <w:color w:val="auto"/>
              </w:rPr>
            </w:pPr>
          </w:p>
        </w:tc>
        <w:tc>
          <w:tcPr>
            <w:tcW w:w="1060" w:type="dxa"/>
            <w:vAlign w:val="bottom"/>
          </w:tcPr>
          <w:p>
            <w:pPr>
              <w:spacing w:after="0"/>
              <w:rPr>
                <w:sz w:val="16"/>
                <w:szCs w:val="16"/>
                <w:color w:val="auto"/>
              </w:rPr>
            </w:pPr>
          </w:p>
        </w:tc>
      </w:tr>
      <w:tr>
        <w:trPr>
          <w:trHeight w:val="232"/>
        </w:trPr>
        <w:tc>
          <w:tcPr>
            <w:tcW w:w="264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gridSpan w:val="2"/>
          </w:tcPr>
          <w:p>
            <w:pPr>
              <w:jc w:val="center"/>
              <w:ind w:right="320"/>
              <w:spacing w:after="0"/>
              <w:rPr>
                <w:sz w:val="20"/>
                <w:szCs w:val="20"/>
                <w:color w:val="auto"/>
              </w:rPr>
            </w:pPr>
            <w:r>
              <w:rPr>
                <w:rFonts w:ascii="Arial" w:cs="Arial" w:eastAsia="Arial" w:hAnsi="Arial"/>
                <w:sz w:val="16"/>
                <w:szCs w:val="16"/>
                <w:b w:val="1"/>
                <w:bCs w:val="1"/>
                <w:color w:val="auto"/>
              </w:rPr>
              <w:t>Executives</w:t>
            </w:r>
          </w:p>
        </w:tc>
        <w:tc>
          <w:tcPr>
            <w:tcW w:w="18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8"/>
              </w:rPr>
              <w:t>Benefits</w:t>
            </w:r>
          </w:p>
        </w:tc>
        <w:tc>
          <w:tcPr>
            <w:tcW w:w="1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6"/>
                <w:szCs w:val="16"/>
                <w:b w:val="1"/>
                <w:bCs w:val="1"/>
                <w:color w:val="auto"/>
                <w:w w:val="99"/>
              </w:rPr>
              <w:t>Assets</w:t>
            </w:r>
          </w:p>
        </w:tc>
        <w:tc>
          <w:tcPr>
            <w:tcW w:w="1460" w:type="dxa"/>
            <w:vAlign w:val="bottom"/>
            <w:tcBorders>
              <w:bottom w:val="single" w:sz="8" w:color="auto"/>
            </w:tcBorders>
            <w:gridSpan w:val="3"/>
          </w:tcPr>
          <w:p>
            <w:pPr>
              <w:jc w:val="center"/>
              <w:ind w:right="120"/>
              <w:spacing w:after="0"/>
              <w:rPr>
                <w:sz w:val="20"/>
                <w:szCs w:val="20"/>
                <w:color w:val="auto"/>
              </w:rPr>
            </w:pPr>
            <w:r>
              <w:rPr>
                <w:rFonts w:ascii="Arial" w:cs="Arial" w:eastAsia="Arial" w:hAnsi="Arial"/>
                <w:sz w:val="16"/>
                <w:szCs w:val="16"/>
                <w:b w:val="1"/>
                <w:bCs w:val="1"/>
                <w:color w:val="auto"/>
              </w:rPr>
              <w:t>Consulting Fees</w:t>
            </w:r>
          </w:p>
        </w:tc>
        <w:tc>
          <w:tcPr>
            <w:tcW w:w="18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6"/>
                <w:szCs w:val="16"/>
                <w:b w:val="1"/>
                <w:bCs w:val="1"/>
                <w:color w:val="auto"/>
              </w:rPr>
              <w:t>Costs</w:t>
            </w:r>
          </w:p>
        </w:tc>
        <w:tc>
          <w:tcPr>
            <w:tcW w:w="3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Total</w:t>
            </w:r>
          </w:p>
        </w:tc>
      </w:tr>
      <w:tr>
        <w:trPr>
          <w:trHeight w:val="246"/>
        </w:trPr>
        <w:tc>
          <w:tcPr>
            <w:tcW w:w="26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040" w:type="dxa"/>
            <w:vAlign w:val="bottom"/>
            <w:gridSpan w:val="3"/>
          </w:tcPr>
          <w:p>
            <w:pPr>
              <w:jc w:val="center"/>
              <w:ind w:left="359"/>
              <w:spacing w:after="0"/>
              <w:rPr>
                <w:sz w:val="20"/>
                <w:szCs w:val="20"/>
                <w:color w:val="auto"/>
              </w:rPr>
            </w:pPr>
            <w:r>
              <w:rPr>
                <w:rFonts w:ascii="Arial" w:cs="Arial" w:eastAsia="Arial" w:hAnsi="Arial"/>
                <w:sz w:val="16"/>
                <w:szCs w:val="16"/>
                <w:b w:val="1"/>
                <w:bCs w:val="1"/>
                <w:color w:val="auto"/>
              </w:rPr>
              <w:t>(In millions)</w:t>
            </w:r>
          </w:p>
        </w:tc>
        <w:tc>
          <w:tcPr>
            <w:tcW w:w="6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spacing w:after="0"/>
              <w:rPr>
                <w:sz w:val="21"/>
                <w:szCs w:val="21"/>
                <w:color w:val="auto"/>
              </w:rPr>
            </w:pPr>
          </w:p>
        </w:tc>
      </w:tr>
      <w:tr>
        <w:trPr>
          <w:trHeight w:val="270"/>
        </w:trPr>
        <w:tc>
          <w:tcPr>
            <w:tcW w:w="2640" w:type="dxa"/>
            <w:vAlign w:val="bottom"/>
          </w:tcPr>
          <w:p>
            <w:pPr>
              <w:ind w:left="40"/>
              <w:spacing w:after="0"/>
              <w:rPr>
                <w:sz w:val="20"/>
                <w:szCs w:val="20"/>
                <w:color w:val="auto"/>
              </w:rPr>
            </w:pPr>
            <w:r>
              <w:rPr>
                <w:rFonts w:ascii="Arial" w:cs="Arial" w:eastAsia="Arial" w:hAnsi="Arial"/>
                <w:sz w:val="16"/>
                <w:szCs w:val="16"/>
                <w:color w:val="auto"/>
              </w:rPr>
              <w:t>Health Plans</w:t>
            </w:r>
          </w:p>
        </w:tc>
        <w:tc>
          <w:tcPr>
            <w:tcW w:w="200" w:type="dxa"/>
            <w:vAlign w:val="bottom"/>
          </w:tcPr>
          <w:p>
            <w:pPr>
              <w:ind w:left="20"/>
              <w:spacing w:after="0"/>
              <w:rPr>
                <w:sz w:val="20"/>
                <w:szCs w:val="20"/>
                <w:color w:val="auto"/>
              </w:rPr>
            </w:pPr>
            <w:r>
              <w:rPr>
                <w:rFonts w:ascii="Arial" w:cs="Arial" w:eastAsia="Arial" w:hAnsi="Arial"/>
                <w:sz w:val="16"/>
                <w:szCs w:val="16"/>
                <w:color w:val="auto"/>
              </w:rPr>
              <w:t>$</w:t>
            </w:r>
          </w:p>
        </w:tc>
        <w:tc>
          <w:tcPr>
            <w:tcW w:w="13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27</w:t>
            </w:r>
          </w:p>
        </w:tc>
        <w:tc>
          <w:tcPr>
            <w:tcW w:w="360" w:type="dxa"/>
            <w:vAlign w:val="bottom"/>
            <w:gridSpan w:val="3"/>
          </w:tcPr>
          <w:p>
            <w:pPr>
              <w:jc w:val="right"/>
              <w:spacing w:after="0"/>
              <w:rPr>
                <w:sz w:val="20"/>
                <w:szCs w:val="20"/>
                <w:color w:val="auto"/>
              </w:rPr>
            </w:pPr>
            <w:r>
              <w:rPr>
                <w:rFonts w:ascii="Arial" w:cs="Arial" w:eastAsia="Arial" w:hAnsi="Arial"/>
                <w:sz w:val="16"/>
                <w:szCs w:val="16"/>
                <w:color w:val="auto"/>
              </w:rPr>
              <w:t>$</w:t>
            </w: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6</w:t>
            </w:r>
          </w:p>
        </w:tc>
        <w:tc>
          <w:tcPr>
            <w:tcW w:w="120" w:type="dxa"/>
            <w:vAlign w:val="bottom"/>
          </w:tcPr>
          <w:p>
            <w:pPr>
              <w:spacing w:after="0"/>
              <w:rPr>
                <w:sz w:val="23"/>
                <w:szCs w:val="23"/>
                <w:color w:val="auto"/>
              </w:rPr>
            </w:pPr>
          </w:p>
        </w:tc>
        <w:tc>
          <w:tcPr>
            <w:tcW w:w="720" w:type="dxa"/>
            <w:vAlign w:val="bottom"/>
          </w:tcPr>
          <w:p>
            <w:pPr>
              <w:jc w:val="right"/>
              <w:ind w:right="539"/>
              <w:spacing w:after="0"/>
              <w:rPr>
                <w:sz w:val="20"/>
                <w:szCs w:val="20"/>
                <w:color w:val="auto"/>
              </w:rPr>
            </w:pPr>
            <w:r>
              <w:rPr>
                <w:rFonts w:ascii="Arial" w:cs="Arial" w:eastAsia="Arial" w:hAnsi="Arial"/>
                <w:sz w:val="16"/>
                <w:szCs w:val="16"/>
                <w:color w:val="auto"/>
                <w:w w:val="89"/>
              </w:rPr>
              <w:t>$</w:t>
            </w:r>
          </w:p>
        </w:tc>
        <w:tc>
          <w:tcPr>
            <w:tcW w:w="7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3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33</w:t>
            </w:r>
          </w:p>
        </w:tc>
      </w:tr>
      <w:tr>
        <w:trPr>
          <w:trHeight w:val="278"/>
        </w:trPr>
        <w:tc>
          <w:tcPr>
            <w:tcW w:w="2640" w:type="dxa"/>
            <w:vAlign w:val="bottom"/>
            <w:shd w:val="clear" w:color="auto" w:fill="CCEEFF"/>
          </w:tcPr>
          <w:p>
            <w:pPr>
              <w:ind w:left="40"/>
              <w:spacing w:after="0"/>
              <w:rPr>
                <w:sz w:val="20"/>
                <w:szCs w:val="20"/>
                <w:color w:val="auto"/>
              </w:rPr>
            </w:pPr>
            <w:r>
              <w:rPr>
                <w:rFonts w:ascii="Arial" w:cs="Arial" w:eastAsia="Arial" w:hAnsi="Arial"/>
                <w:sz w:val="16"/>
                <w:szCs w:val="16"/>
                <w:color w:val="auto"/>
              </w:rPr>
              <w:t>Molina Medicaid Solutions</w:t>
            </w:r>
          </w:p>
        </w:tc>
        <w:tc>
          <w:tcPr>
            <w:tcW w:w="200" w:type="dxa"/>
            <w:vAlign w:val="bottom"/>
            <w:shd w:val="clear" w:color="auto" w:fill="CCEEFF"/>
          </w:tcPr>
          <w:p>
            <w:pPr>
              <w:spacing w:after="0"/>
              <w:rPr>
                <w:sz w:val="24"/>
                <w:szCs w:val="24"/>
                <w:color w:val="auto"/>
              </w:rPr>
            </w:pPr>
          </w:p>
        </w:tc>
        <w:tc>
          <w:tcPr>
            <w:tcW w:w="132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24"/>
                <w:szCs w:val="2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8</w:t>
            </w:r>
          </w:p>
        </w:tc>
        <w:tc>
          <w:tcPr>
            <w:tcW w:w="120" w:type="dxa"/>
            <w:vAlign w:val="bottom"/>
            <w:shd w:val="clear" w:color="auto" w:fill="CCEEFF"/>
          </w:tcPr>
          <w:p>
            <w:pPr>
              <w:spacing w:after="0"/>
              <w:rPr>
                <w:sz w:val="24"/>
                <w:szCs w:val="24"/>
                <w:color w:val="auto"/>
              </w:rPr>
            </w:pPr>
          </w:p>
        </w:tc>
        <w:tc>
          <w:tcPr>
            <w:tcW w:w="720" w:type="dxa"/>
            <w:vAlign w:val="bottom"/>
            <w:shd w:val="clear" w:color="auto" w:fill="CCEEFF"/>
          </w:tcPr>
          <w:p>
            <w:pPr>
              <w:spacing w:after="0"/>
              <w:rPr>
                <w:sz w:val="24"/>
                <w:szCs w:val="24"/>
                <w:color w:val="auto"/>
              </w:rPr>
            </w:pPr>
          </w:p>
        </w:tc>
        <w:tc>
          <w:tcPr>
            <w:tcW w:w="7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24"/>
                <w:szCs w:val="24"/>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0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8</w:t>
            </w:r>
          </w:p>
        </w:tc>
      </w:tr>
      <w:tr>
        <w:trPr>
          <w:trHeight w:val="264"/>
        </w:trPr>
        <w:tc>
          <w:tcPr>
            <w:tcW w:w="264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Other</w:t>
            </w:r>
          </w:p>
        </w:tc>
        <w:tc>
          <w:tcPr>
            <w:tcW w:w="20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35</w:t>
            </w: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w:t>
            </w:r>
          </w:p>
        </w:tc>
        <w:tc>
          <w:tcPr>
            <w:tcW w:w="10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35</w:t>
            </w:r>
          </w:p>
        </w:tc>
        <w:tc>
          <w:tcPr>
            <w:tcW w:w="120" w:type="dxa"/>
            <w:vAlign w:val="bottom"/>
            <w:tcBorders>
              <w:bottom w:val="single" w:sz="8" w:color="CCEEFF"/>
            </w:tcBorders>
          </w:tcPr>
          <w:p>
            <w:pPr>
              <w:spacing w:after="0"/>
              <w:rPr>
                <w:sz w:val="22"/>
                <w:szCs w:val="22"/>
                <w:color w:val="auto"/>
              </w:rPr>
            </w:pPr>
          </w:p>
        </w:tc>
        <w:tc>
          <w:tcPr>
            <w:tcW w:w="72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24</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w:t>
            </w:r>
          </w:p>
        </w:tc>
        <w:tc>
          <w:tcPr>
            <w:tcW w:w="12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120</w:t>
            </w:r>
          </w:p>
        </w:tc>
      </w:tr>
      <w:tr>
        <w:trPr>
          <w:trHeight w:val="237"/>
        </w:trPr>
        <w:tc>
          <w:tcPr>
            <w:tcW w:w="2640" w:type="dxa"/>
            <w:vAlign w:val="bottom"/>
            <w:shd w:val="clear" w:color="auto" w:fill="CCEEFF"/>
          </w:tcPr>
          <w:p>
            <w:pPr>
              <w:spacing w:after="0"/>
              <w:rPr>
                <w:sz w:val="20"/>
                <w:szCs w:val="20"/>
                <w:color w:val="auto"/>
              </w:rPr>
            </w:pPr>
          </w:p>
        </w:tc>
        <w:tc>
          <w:tcPr>
            <w:tcW w:w="20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35</w:t>
            </w: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w:t>
            </w:r>
          </w:p>
        </w:tc>
        <w:tc>
          <w:tcPr>
            <w:tcW w:w="36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49</w:t>
            </w:r>
          </w:p>
        </w:tc>
        <w:tc>
          <w:tcPr>
            <w:tcW w:w="120" w:type="dxa"/>
            <w:vAlign w:val="bottom"/>
            <w:shd w:val="clear" w:color="auto" w:fill="CCEEFF"/>
          </w:tcPr>
          <w:p>
            <w:pPr>
              <w:spacing w:after="0"/>
              <w:rPr>
                <w:sz w:val="20"/>
                <w:szCs w:val="20"/>
                <w:color w:val="auto"/>
              </w:rPr>
            </w:pPr>
          </w:p>
        </w:tc>
        <w:tc>
          <w:tcPr>
            <w:tcW w:w="720" w:type="dxa"/>
            <w:vAlign w:val="bottom"/>
            <w:shd w:val="clear" w:color="auto" w:fill="CCEEFF"/>
          </w:tcPr>
          <w:p>
            <w:pPr>
              <w:jc w:val="right"/>
              <w:ind w:right="539"/>
              <w:spacing w:after="0"/>
              <w:rPr>
                <w:sz w:val="20"/>
                <w:szCs w:val="20"/>
                <w:color w:val="auto"/>
              </w:rPr>
            </w:pPr>
            <w:r>
              <w:rPr>
                <w:rFonts w:ascii="Arial" w:cs="Arial" w:eastAsia="Arial" w:hAnsi="Arial"/>
                <w:sz w:val="16"/>
                <w:szCs w:val="16"/>
                <w:color w:val="auto"/>
                <w:w w:val="89"/>
              </w:rPr>
              <w:t>$</w:t>
            </w:r>
          </w:p>
        </w:tc>
        <w:tc>
          <w:tcPr>
            <w:tcW w:w="6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24</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w:t>
            </w:r>
          </w:p>
        </w:tc>
        <w:tc>
          <w:tcPr>
            <w:tcW w:w="120" w:type="dxa"/>
            <w:vAlign w:val="bottom"/>
            <w:shd w:val="clear" w:color="auto" w:fill="CCEEFF"/>
          </w:tcPr>
          <w:p>
            <w:pPr>
              <w:spacing w:after="0"/>
              <w:rPr>
                <w:sz w:val="20"/>
                <w:szCs w:val="20"/>
                <w:color w:val="auto"/>
              </w:rPr>
            </w:pPr>
          </w:p>
        </w:tc>
        <w:tc>
          <w:tcPr>
            <w:tcW w:w="3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0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161</w:t>
            </w:r>
          </w:p>
        </w:tc>
      </w:tr>
      <w:tr>
        <w:trPr>
          <w:trHeight w:val="20"/>
        </w:trPr>
        <w:tc>
          <w:tcPr>
            <w:tcW w:w="26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15" w:right="239" w:bottom="1440" w:gutter="0" w:footer="0" w:header="0"/>
        </w:sectPr>
      </w:pPr>
    </w:p>
    <w:p>
      <w:pPr>
        <w:spacing w:after="0" w:line="128" w:lineRule="exact"/>
        <w:rPr>
          <w:sz w:val="20"/>
          <w:szCs w:val="20"/>
          <w:color w:val="auto"/>
        </w:rPr>
      </w:pPr>
    </w:p>
    <w:p>
      <w:pPr>
        <w:ind w:left="7860"/>
        <w:spacing w:after="0"/>
        <w:rPr>
          <w:sz w:val="20"/>
          <w:szCs w:val="20"/>
          <w:color w:val="auto"/>
        </w:rPr>
      </w:pPr>
      <w:r>
        <w:rPr>
          <w:rFonts w:ascii="Arial" w:cs="Arial" w:eastAsia="Arial" w:hAnsi="Arial"/>
          <w:sz w:val="18"/>
          <w:szCs w:val="18"/>
          <w:color w:val="auto"/>
        </w:rPr>
        <w:t>Molina Healthcare, Inc. 2017 Form 10-Q | 25</w:t>
      </w:r>
    </w:p>
    <w:p>
      <w:pPr>
        <w:sectPr>
          <w:pgSz w:w="11900" w:h="16838" w:orient="portrait"/>
          <w:cols w:equalWidth="0" w:num="1">
            <w:col w:w="11420"/>
          </w:cols>
          <w:pgMar w:left="240" w:top="115" w:right="239" w:bottom="1440" w:gutter="0" w:footer="0" w:header="0"/>
          <w:type w:val="continuous"/>
        </w:sectPr>
      </w:pPr>
    </w:p>
    <w:bookmarkStart w:id="25" w:name="page26"/>
    <w:bookmarkEnd w:id="2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Reconciliation of Liability</w:t>
      </w:r>
    </w:p>
    <w:p>
      <w:pPr>
        <w:spacing w:after="0" w:line="225" w:lineRule="exact"/>
        <w:rPr>
          <w:sz w:val="20"/>
          <w:szCs w:val="20"/>
          <w:color w:val="auto"/>
        </w:rPr>
      </w:pPr>
    </w:p>
    <w:p>
      <w:pPr>
        <w:ind w:right="80"/>
        <w:spacing w:after="0" w:line="271" w:lineRule="auto"/>
        <w:rPr>
          <w:sz w:val="20"/>
          <w:szCs w:val="20"/>
          <w:color w:val="auto"/>
        </w:rPr>
      </w:pPr>
      <w:r>
        <w:rPr>
          <w:rFonts w:ascii="Arial" w:cs="Arial" w:eastAsia="Arial" w:hAnsi="Arial"/>
          <w:sz w:val="18"/>
          <w:szCs w:val="18"/>
          <w:color w:val="auto"/>
        </w:rPr>
        <w:t>For those restructuring and separation costs that require cash settlement (primarily separation costs, termination benefits and consulting fees), the following table presents a roll-forward of the accrued liability, which is reported in “Accounts payable and accrued liabilities” in the accompanying consolidated balance sheets:</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51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8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rPr>
              <w:t>One-Time</w:t>
            </w:r>
          </w:p>
        </w:tc>
        <w:tc>
          <w:tcPr>
            <w:tcW w:w="160" w:type="dxa"/>
            <w:vAlign w:val="bottom"/>
          </w:tcPr>
          <w:p>
            <w:pPr>
              <w:spacing w:after="0"/>
              <w:rPr>
                <w:sz w:val="16"/>
                <w:szCs w:val="16"/>
                <w:color w:val="auto"/>
              </w:rPr>
            </w:pPr>
          </w:p>
        </w:tc>
        <w:tc>
          <w:tcPr>
            <w:tcW w:w="142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rPr>
              <w:t>Other</w:t>
            </w:r>
          </w:p>
        </w:tc>
        <w:tc>
          <w:tcPr>
            <w:tcW w:w="34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189"/>
        </w:trPr>
        <w:tc>
          <w:tcPr>
            <w:tcW w:w="5160" w:type="dxa"/>
            <w:vAlign w:val="bottom"/>
          </w:tcPr>
          <w:p>
            <w:pPr>
              <w:spacing w:after="0"/>
              <w:rPr>
                <w:sz w:val="16"/>
                <w:szCs w:val="16"/>
                <w:color w:val="auto"/>
              </w:rPr>
            </w:pPr>
          </w:p>
        </w:tc>
        <w:tc>
          <w:tcPr>
            <w:tcW w:w="1620" w:type="dxa"/>
            <w:vAlign w:val="bottom"/>
            <w:gridSpan w:val="3"/>
          </w:tcPr>
          <w:p>
            <w:pPr>
              <w:ind w:left="40"/>
              <w:spacing w:after="0"/>
              <w:rPr>
                <w:sz w:val="20"/>
                <w:szCs w:val="20"/>
                <w:color w:val="auto"/>
              </w:rPr>
            </w:pPr>
            <w:r>
              <w:rPr>
                <w:rFonts w:ascii="Arial" w:cs="Arial" w:eastAsia="Arial" w:hAnsi="Arial"/>
                <w:sz w:val="16"/>
                <w:szCs w:val="16"/>
                <w:b w:val="1"/>
                <w:bCs w:val="1"/>
                <w:color w:val="auto"/>
              </w:rPr>
              <w:t>Separation Costs -</w:t>
            </w:r>
          </w:p>
        </w:tc>
        <w:tc>
          <w:tcPr>
            <w:tcW w:w="200" w:type="dxa"/>
            <w:vAlign w:val="bottom"/>
          </w:tcPr>
          <w:p>
            <w:pPr>
              <w:spacing w:after="0"/>
              <w:rPr>
                <w:sz w:val="16"/>
                <w:szCs w:val="16"/>
                <w:color w:val="auto"/>
              </w:rPr>
            </w:pPr>
          </w:p>
        </w:tc>
        <w:tc>
          <w:tcPr>
            <w:tcW w:w="138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rPr>
              <w:t>Termination</w:t>
            </w:r>
          </w:p>
        </w:tc>
        <w:tc>
          <w:tcPr>
            <w:tcW w:w="160" w:type="dxa"/>
            <w:vAlign w:val="bottom"/>
          </w:tcPr>
          <w:p>
            <w:pPr>
              <w:spacing w:after="0"/>
              <w:rPr>
                <w:sz w:val="16"/>
                <w:szCs w:val="16"/>
                <w:color w:val="auto"/>
              </w:rPr>
            </w:pPr>
          </w:p>
        </w:tc>
        <w:tc>
          <w:tcPr>
            <w:tcW w:w="142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rPr>
              <w:t>Restructuring</w:t>
            </w:r>
          </w:p>
        </w:tc>
        <w:tc>
          <w:tcPr>
            <w:tcW w:w="34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232"/>
        </w:trPr>
        <w:tc>
          <w:tcPr>
            <w:tcW w:w="5160" w:type="dxa"/>
            <w:vAlign w:val="bottom"/>
          </w:tcPr>
          <w:p>
            <w:pPr>
              <w:spacing w:after="0"/>
              <w:rPr>
                <w:sz w:val="20"/>
                <w:szCs w:val="20"/>
                <w:color w:val="auto"/>
              </w:rPr>
            </w:pPr>
          </w:p>
        </w:tc>
        <w:tc>
          <w:tcPr>
            <w:tcW w:w="1620" w:type="dxa"/>
            <w:vAlign w:val="bottom"/>
            <w:tcBorders>
              <w:bottom w:val="single" w:sz="8" w:color="auto"/>
            </w:tcBorders>
            <w:gridSpan w:val="3"/>
          </w:tcPr>
          <w:p>
            <w:pPr>
              <w:ind w:left="20"/>
              <w:spacing w:after="0"/>
              <w:rPr>
                <w:sz w:val="20"/>
                <w:szCs w:val="20"/>
                <w:color w:val="auto"/>
              </w:rPr>
            </w:pPr>
            <w:r>
              <w:rPr>
                <w:rFonts w:ascii="Arial" w:cs="Arial" w:eastAsia="Arial" w:hAnsi="Arial"/>
                <w:sz w:val="16"/>
                <w:szCs w:val="16"/>
                <w:b w:val="1"/>
                <w:bCs w:val="1"/>
                <w:color w:val="auto"/>
              </w:rPr>
              <w:t>Former Executives</w:t>
            </w:r>
          </w:p>
        </w:tc>
        <w:tc>
          <w:tcPr>
            <w:tcW w:w="20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gridSpan w:val="2"/>
          </w:tcPr>
          <w:p>
            <w:pPr>
              <w:jc w:val="center"/>
              <w:ind w:right="300"/>
              <w:spacing w:after="0"/>
              <w:rPr>
                <w:sz w:val="20"/>
                <w:szCs w:val="20"/>
                <w:color w:val="auto"/>
              </w:rPr>
            </w:pPr>
            <w:r>
              <w:rPr>
                <w:rFonts w:ascii="Arial" w:cs="Arial" w:eastAsia="Arial" w:hAnsi="Arial"/>
                <w:sz w:val="16"/>
                <w:szCs w:val="16"/>
                <w:b w:val="1"/>
                <w:bCs w:val="1"/>
                <w:color w:val="auto"/>
              </w:rPr>
              <w:t>Benefits</w:t>
            </w:r>
          </w:p>
        </w:tc>
        <w:tc>
          <w:tcPr>
            <w:tcW w:w="16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6"/>
                <w:szCs w:val="16"/>
                <w:b w:val="1"/>
                <w:bCs w:val="1"/>
                <w:color w:val="auto"/>
                <w:w w:val="98"/>
              </w:rPr>
              <w:t>Costs</w:t>
            </w:r>
          </w:p>
        </w:tc>
        <w:tc>
          <w:tcPr>
            <w:tcW w:w="3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Total</w:t>
            </w:r>
          </w:p>
        </w:tc>
      </w:tr>
      <w:tr>
        <w:trPr>
          <w:trHeight w:val="250"/>
        </w:trPr>
        <w:tc>
          <w:tcPr>
            <w:tcW w:w="51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960" w:type="dxa"/>
            <w:vAlign w:val="bottom"/>
            <w:gridSpan w:val="5"/>
          </w:tcPr>
          <w:p>
            <w:pPr>
              <w:ind w:left="860"/>
              <w:spacing w:after="0"/>
              <w:rPr>
                <w:sz w:val="20"/>
                <w:szCs w:val="20"/>
                <w:color w:val="auto"/>
              </w:rPr>
            </w:pPr>
            <w:r>
              <w:rPr>
                <w:rFonts w:ascii="Arial" w:cs="Arial" w:eastAsia="Arial" w:hAnsi="Arial"/>
                <w:sz w:val="16"/>
                <w:szCs w:val="16"/>
                <w:b w:val="1"/>
                <w:bCs w:val="1"/>
                <w:color w:val="auto"/>
              </w:rPr>
              <w:t>(In millions)</w:t>
            </w: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r>
      <w:tr>
        <w:trPr>
          <w:trHeight w:val="274"/>
        </w:trPr>
        <w:tc>
          <w:tcPr>
            <w:tcW w:w="5160" w:type="dxa"/>
            <w:vAlign w:val="bottom"/>
            <w:shd w:val="clear" w:color="auto" w:fill="CCEEFF"/>
          </w:tcPr>
          <w:p>
            <w:pPr>
              <w:ind w:left="40"/>
              <w:spacing w:after="0"/>
              <w:rPr>
                <w:sz w:val="20"/>
                <w:szCs w:val="20"/>
                <w:color w:val="auto"/>
              </w:rPr>
            </w:pPr>
            <w:r>
              <w:rPr>
                <w:rFonts w:ascii="Arial" w:cs="Arial" w:eastAsia="Arial" w:hAnsi="Arial"/>
                <w:sz w:val="16"/>
                <w:szCs w:val="16"/>
                <w:color w:val="auto"/>
              </w:rPr>
              <w:t>Accrued as of December 31, 2016</w:t>
            </w:r>
          </w:p>
        </w:tc>
        <w:tc>
          <w:tcPr>
            <w:tcW w:w="66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8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2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1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62"/>
        </w:trPr>
        <w:tc>
          <w:tcPr>
            <w:tcW w:w="5160" w:type="dxa"/>
            <w:vAlign w:val="bottom"/>
          </w:tcPr>
          <w:p>
            <w:pPr>
              <w:ind w:left="180"/>
              <w:spacing w:after="0"/>
              <w:rPr>
                <w:sz w:val="20"/>
                <w:szCs w:val="20"/>
                <w:color w:val="auto"/>
              </w:rPr>
            </w:pPr>
            <w:r>
              <w:rPr>
                <w:rFonts w:ascii="Arial" w:cs="Arial" w:eastAsia="Arial" w:hAnsi="Arial"/>
                <w:sz w:val="16"/>
                <w:szCs w:val="16"/>
                <w:color w:val="auto"/>
              </w:rPr>
              <w:t>Charges</w:t>
            </w:r>
          </w:p>
        </w:tc>
        <w:tc>
          <w:tcPr>
            <w:tcW w:w="660" w:type="dxa"/>
            <w:vAlign w:val="bottom"/>
          </w:tcPr>
          <w:p>
            <w:pPr>
              <w:spacing w:after="0"/>
              <w:rPr>
                <w:sz w:val="22"/>
                <w:szCs w:val="22"/>
                <w:color w:val="auto"/>
              </w:rPr>
            </w:pPr>
          </w:p>
        </w:tc>
        <w:tc>
          <w:tcPr>
            <w:tcW w:w="840" w:type="dxa"/>
            <w:vAlign w:val="bottom"/>
          </w:tcPr>
          <w:p>
            <w:pPr>
              <w:jc w:val="right"/>
              <w:ind w:right="39"/>
              <w:spacing w:after="0"/>
              <w:rPr>
                <w:sz w:val="20"/>
                <w:szCs w:val="20"/>
                <w:color w:val="auto"/>
              </w:rPr>
            </w:pPr>
            <w:r>
              <w:rPr>
                <w:rFonts w:ascii="Arial" w:cs="Arial" w:eastAsia="Arial" w:hAnsi="Arial"/>
                <w:sz w:val="16"/>
                <w:szCs w:val="16"/>
                <w:color w:val="auto"/>
              </w:rPr>
              <w:t>12</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80" w:type="dxa"/>
            <w:vAlign w:val="bottom"/>
          </w:tcPr>
          <w:p>
            <w:pPr>
              <w:jc w:val="right"/>
              <w:ind w:right="19"/>
              <w:spacing w:after="0"/>
              <w:rPr>
                <w:sz w:val="20"/>
                <w:szCs w:val="20"/>
                <w:color w:val="auto"/>
              </w:rPr>
            </w:pPr>
            <w:r>
              <w:rPr>
                <w:rFonts w:ascii="Arial" w:cs="Arial" w:eastAsia="Arial" w:hAnsi="Arial"/>
                <w:sz w:val="16"/>
                <w:szCs w:val="16"/>
                <w:color w:val="auto"/>
              </w:rPr>
              <w:t>50</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20" w:type="dxa"/>
            <w:vAlign w:val="bottom"/>
          </w:tcPr>
          <w:p>
            <w:pPr>
              <w:jc w:val="right"/>
              <w:ind w:right="19"/>
              <w:spacing w:after="0"/>
              <w:rPr>
                <w:sz w:val="20"/>
                <w:szCs w:val="20"/>
                <w:color w:val="auto"/>
              </w:rPr>
            </w:pPr>
            <w:r>
              <w:rPr>
                <w:rFonts w:ascii="Arial" w:cs="Arial" w:eastAsia="Arial" w:hAnsi="Arial"/>
                <w:sz w:val="16"/>
                <w:szCs w:val="16"/>
                <w:color w:val="auto"/>
              </w:rPr>
              <w:t>27</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89</w:t>
            </w:r>
          </w:p>
        </w:tc>
      </w:tr>
      <w:tr>
        <w:trPr>
          <w:trHeight w:val="271"/>
        </w:trPr>
        <w:tc>
          <w:tcPr>
            <w:tcW w:w="5160" w:type="dxa"/>
            <w:vAlign w:val="bottom"/>
            <w:shd w:val="clear" w:color="auto" w:fill="CCEEFF"/>
          </w:tcPr>
          <w:p>
            <w:pPr>
              <w:ind w:left="180"/>
              <w:spacing w:after="0"/>
              <w:rPr>
                <w:sz w:val="20"/>
                <w:szCs w:val="20"/>
                <w:color w:val="auto"/>
              </w:rPr>
            </w:pPr>
            <w:r>
              <w:rPr>
                <w:rFonts w:ascii="Arial" w:cs="Arial" w:eastAsia="Arial" w:hAnsi="Arial"/>
                <w:sz w:val="16"/>
                <w:szCs w:val="16"/>
                <w:color w:val="auto"/>
              </w:rPr>
              <w:t>Cash payments</w:t>
            </w:r>
          </w:p>
        </w:tc>
        <w:tc>
          <w:tcPr>
            <w:tcW w:w="660" w:type="dxa"/>
            <w:vAlign w:val="bottom"/>
            <w:tcBorders>
              <w:bottom w:val="single" w:sz="8" w:color="auto"/>
            </w:tcBorders>
            <w:shd w:val="clear" w:color="auto" w:fill="CCEEFF"/>
          </w:tcPr>
          <w:p>
            <w:pPr>
              <w:spacing w:after="0"/>
              <w:rPr>
                <w:sz w:val="23"/>
                <w:szCs w:val="23"/>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2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w:t>
            </w:r>
          </w:p>
        </w:tc>
        <w:tc>
          <w:tcPr>
            <w:tcW w:w="10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w:t>
            </w:r>
          </w:p>
        </w:tc>
        <w:tc>
          <w:tcPr>
            <w:tcW w:w="100" w:type="dxa"/>
            <w:vAlign w:val="bottom"/>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w:t>
            </w:r>
          </w:p>
        </w:tc>
      </w:tr>
      <w:tr>
        <w:trPr>
          <w:trHeight w:val="242"/>
        </w:trPr>
        <w:tc>
          <w:tcPr>
            <w:tcW w:w="5160" w:type="dxa"/>
            <w:vAlign w:val="bottom"/>
          </w:tcPr>
          <w:p>
            <w:pPr>
              <w:ind w:left="40"/>
              <w:spacing w:after="0"/>
              <w:rPr>
                <w:sz w:val="20"/>
                <w:szCs w:val="20"/>
                <w:color w:val="auto"/>
              </w:rPr>
            </w:pPr>
            <w:r>
              <w:rPr>
                <w:rFonts w:ascii="Arial" w:cs="Arial" w:eastAsia="Arial" w:hAnsi="Arial"/>
                <w:sz w:val="16"/>
                <w:szCs w:val="16"/>
                <w:color w:val="auto"/>
              </w:rPr>
              <w:t>Accrued as of September 30, 2017</w:t>
            </w:r>
          </w:p>
        </w:tc>
        <w:tc>
          <w:tcPr>
            <w:tcW w:w="66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11</w:t>
            </w:r>
          </w:p>
        </w:tc>
        <w:tc>
          <w:tcPr>
            <w:tcW w:w="120" w:type="dxa"/>
            <w:vAlign w:val="bottom"/>
          </w:tcPr>
          <w:p>
            <w:pPr>
              <w:spacing w:after="0"/>
              <w:rPr>
                <w:sz w:val="21"/>
                <w:szCs w:val="21"/>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41</w:t>
            </w:r>
          </w:p>
        </w:tc>
        <w:tc>
          <w:tcPr>
            <w:tcW w:w="100" w:type="dxa"/>
            <w:vAlign w:val="bottom"/>
          </w:tcPr>
          <w:p>
            <w:pPr>
              <w:spacing w:after="0"/>
              <w:rPr>
                <w:sz w:val="21"/>
                <w:szCs w:val="21"/>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13</w:t>
            </w:r>
          </w:p>
        </w:tc>
        <w:tc>
          <w:tcPr>
            <w:tcW w:w="100" w:type="dxa"/>
            <w:vAlign w:val="bottom"/>
          </w:tcPr>
          <w:p>
            <w:pPr>
              <w:spacing w:after="0"/>
              <w:rPr>
                <w:sz w:val="21"/>
                <w:szCs w:val="21"/>
                <w:color w:val="auto"/>
              </w:rPr>
            </w:pPr>
          </w:p>
        </w:tc>
        <w:tc>
          <w:tcPr>
            <w:tcW w:w="34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65</w:t>
            </w:r>
          </w:p>
        </w:tc>
      </w:tr>
      <w:tr>
        <w:trPr>
          <w:trHeight w:val="20"/>
        </w:trPr>
        <w:tc>
          <w:tcPr>
            <w:tcW w:w="516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rFonts w:ascii="Arial" w:cs="Arial" w:eastAsia="Arial" w:hAnsi="Arial"/>
          <w:sz w:val="32"/>
          <w:szCs w:val="32"/>
          <w:b w:val="1"/>
          <w:bCs w:val="1"/>
          <w:color w:val="ACACAC"/>
        </w:rPr>
        <w:t>12. Segment Information</w:t>
      </w:r>
    </w:p>
    <w:p>
      <w:pPr>
        <w:spacing w:after="0" w:line="138" w:lineRule="exact"/>
        <w:rPr>
          <w:sz w:val="20"/>
          <w:szCs w:val="20"/>
          <w:color w:val="auto"/>
        </w:rPr>
      </w:pPr>
    </w:p>
    <w:p>
      <w:pPr>
        <w:ind w:right="340"/>
        <w:spacing w:after="0" w:line="271" w:lineRule="auto"/>
        <w:rPr>
          <w:sz w:val="20"/>
          <w:szCs w:val="20"/>
          <w:color w:val="auto"/>
        </w:rPr>
      </w:pPr>
      <w:r>
        <w:rPr>
          <w:rFonts w:ascii="Arial" w:cs="Arial" w:eastAsia="Arial" w:hAnsi="Arial"/>
          <w:sz w:val="18"/>
          <w:szCs w:val="18"/>
          <w:color w:val="auto"/>
        </w:rPr>
        <w:t>We have three reportable segments. These segments consist of our Health Plans segment, which constitutes the vast majority of our operations; our Molina Medicaid Solutions segment; and our Other segment. Our reportable segments are consistent with how we currently manage the business and view the markets we serve.</w:t>
      </w:r>
    </w:p>
    <w:p>
      <w:pPr>
        <w:spacing w:after="0" w:line="55" w:lineRule="exact"/>
        <w:rPr>
          <w:sz w:val="20"/>
          <w:szCs w:val="20"/>
          <w:color w:val="auto"/>
        </w:rPr>
      </w:pPr>
    </w:p>
    <w:p>
      <w:pPr>
        <w:ind w:right="380"/>
        <w:spacing w:after="0" w:line="292" w:lineRule="auto"/>
        <w:rPr>
          <w:sz w:val="20"/>
          <w:szCs w:val="20"/>
          <w:color w:val="auto"/>
        </w:rPr>
      </w:pPr>
      <w:r>
        <w:rPr>
          <w:rFonts w:ascii="Arial" w:cs="Arial" w:eastAsia="Arial" w:hAnsi="Arial"/>
          <w:sz w:val="18"/>
          <w:szCs w:val="18"/>
          <w:color w:val="auto"/>
        </w:rPr>
        <w:t>Gross margin is the appropriate earnings measure for our reportable segments, based on how our chief operating decision maker currently reviews results, assesses performance, and allocates resources.</w:t>
      </w:r>
    </w:p>
    <w:p>
      <w:pPr>
        <w:spacing w:after="0" w:line="37" w:lineRule="exact"/>
        <w:rPr>
          <w:sz w:val="20"/>
          <w:szCs w:val="20"/>
          <w:color w:val="auto"/>
        </w:rPr>
      </w:pPr>
    </w:p>
    <w:p>
      <w:pPr>
        <w:ind w:right="140"/>
        <w:spacing w:after="0" w:line="260" w:lineRule="auto"/>
        <w:rPr>
          <w:sz w:val="20"/>
          <w:szCs w:val="20"/>
          <w:color w:val="auto"/>
        </w:rPr>
      </w:pPr>
      <w:r>
        <w:rPr>
          <w:rFonts w:ascii="Arial" w:cs="Arial" w:eastAsia="Arial" w:hAnsi="Arial"/>
          <w:sz w:val="18"/>
          <w:szCs w:val="18"/>
          <w:color w:val="auto"/>
        </w:rPr>
        <w:t>Gross margin for our Health Plans segment is referred to as “Medical margin,” and for our Molina Medicaid Solutions and Other segments, as “Service margin.” Medical margin represents the amount earned by the Health Plans segment after medical costs are deducted from premium revenue. The medical care ratio represents medical care costs as a percentage of premium revenue, and is one of the key metrics used to assess the performance of the Health Plans segment. Therefore, the underlying medical margin is the most important measure of earnings reviewed by the chief operating decision maker. The service margin is equal to service revenue minus cost of service revenue.</w:t>
      </w:r>
    </w:p>
    <w:p>
      <w:pPr>
        <w:spacing w:after="0" w:line="20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Molina Healthcare, Inc. 2017 Form 10-Q | 26</w:t>
      </w:r>
    </w:p>
    <w:p>
      <w:pPr>
        <w:sectPr>
          <w:pgSz w:w="11900" w:h="16838" w:orient="portrait"/>
          <w:cols w:equalWidth="0" w:num="1">
            <w:col w:w="11420"/>
          </w:cols>
          <w:pgMar w:left="240" w:top="115" w:right="239" w:bottom="1440" w:gutter="0" w:footer="0" w:header="0"/>
        </w:sectPr>
      </w:pPr>
    </w:p>
    <w:bookmarkStart w:id="26" w:name="page27"/>
    <w:bookmarkEnd w:id="2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60" w:type="dxa"/>
            <w:vAlign w:val="bottom"/>
          </w:tcPr>
          <w:p>
            <w:pPr>
              <w:jc w:val="right"/>
              <w:ind w:right="140"/>
              <w:spacing w:after="0"/>
              <w:rPr>
                <w:sz w:val="20"/>
                <w:szCs w:val="20"/>
                <w:color w:val="auto"/>
              </w:rPr>
            </w:pPr>
            <w:r>
              <w:rPr>
                <w:rFonts w:ascii="Arial" w:cs="Arial" w:eastAsia="Arial" w:hAnsi="Arial"/>
                <w:sz w:val="14"/>
                <w:szCs w:val="14"/>
                <w:b w:val="1"/>
                <w:bCs w:val="1"/>
                <w:color w:val="auto"/>
              </w:rPr>
              <w:t>Molina Medicaid</w:t>
            </w:r>
          </w:p>
        </w:tc>
        <w:tc>
          <w:tcPr>
            <w:tcW w:w="5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80" w:type="dxa"/>
            <w:vAlign w:val="bottom"/>
          </w:tcPr>
          <w:p>
            <w:pPr>
              <w:spacing w:after="0"/>
              <w:rPr>
                <w:sz w:val="14"/>
                <w:szCs w:val="14"/>
                <w:color w:val="auto"/>
              </w:rPr>
            </w:pPr>
          </w:p>
        </w:tc>
      </w:tr>
      <w:tr>
        <w:trPr>
          <w:trHeight w:val="203"/>
        </w:trPr>
        <w:tc>
          <w:tcPr>
            <w:tcW w:w="516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ind w:right="279"/>
              <w:spacing w:after="0"/>
              <w:rPr>
                <w:sz w:val="20"/>
                <w:szCs w:val="20"/>
                <w:color w:val="auto"/>
              </w:rPr>
            </w:pPr>
            <w:r>
              <w:rPr>
                <w:rFonts w:ascii="Arial" w:cs="Arial" w:eastAsia="Arial" w:hAnsi="Arial"/>
                <w:sz w:val="14"/>
                <w:szCs w:val="14"/>
                <w:b w:val="1"/>
                <w:bCs w:val="1"/>
                <w:color w:val="auto"/>
              </w:rPr>
              <w:t>Health Plans</w:t>
            </w:r>
          </w:p>
        </w:tc>
        <w:tc>
          <w:tcPr>
            <w:tcW w:w="24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ind w:right="360"/>
              <w:spacing w:after="0"/>
              <w:rPr>
                <w:sz w:val="20"/>
                <w:szCs w:val="20"/>
                <w:color w:val="auto"/>
              </w:rPr>
            </w:pPr>
            <w:r>
              <w:rPr>
                <w:rFonts w:ascii="Arial" w:cs="Arial" w:eastAsia="Arial" w:hAnsi="Arial"/>
                <w:sz w:val="14"/>
                <w:szCs w:val="14"/>
                <w:b w:val="1"/>
                <w:bCs w:val="1"/>
                <w:color w:val="auto"/>
              </w:rPr>
              <w:t>Solutions</w:t>
            </w:r>
          </w:p>
        </w:tc>
        <w:tc>
          <w:tcPr>
            <w:tcW w:w="50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499"/>
              <w:spacing w:after="0"/>
              <w:rPr>
                <w:sz w:val="20"/>
                <w:szCs w:val="20"/>
                <w:color w:val="auto"/>
              </w:rPr>
            </w:pPr>
            <w:r>
              <w:rPr>
                <w:rFonts w:ascii="Arial" w:cs="Arial" w:eastAsia="Arial" w:hAnsi="Arial"/>
                <w:sz w:val="14"/>
                <w:szCs w:val="14"/>
                <w:b w:val="1"/>
                <w:bCs w:val="1"/>
                <w:color w:val="auto"/>
              </w:rPr>
              <w:t>Other</w:t>
            </w:r>
          </w:p>
        </w:tc>
        <w:tc>
          <w:tcPr>
            <w:tcW w:w="26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ind w:right="199"/>
              <w:spacing w:after="0"/>
              <w:rPr>
                <w:sz w:val="20"/>
                <w:szCs w:val="20"/>
                <w:color w:val="auto"/>
              </w:rPr>
            </w:pPr>
            <w:r>
              <w:rPr>
                <w:rFonts w:ascii="Arial" w:cs="Arial" w:eastAsia="Arial" w:hAnsi="Arial"/>
                <w:sz w:val="14"/>
                <w:szCs w:val="14"/>
                <w:b w:val="1"/>
                <w:bCs w:val="1"/>
                <w:color w:val="auto"/>
              </w:rPr>
              <w:t>Consolidated</w:t>
            </w:r>
          </w:p>
        </w:tc>
      </w:tr>
      <w:tr>
        <w:trPr>
          <w:trHeight w:val="250"/>
        </w:trPr>
        <w:tc>
          <w:tcPr>
            <w:tcW w:w="51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860" w:type="dxa"/>
            <w:vAlign w:val="bottom"/>
            <w:gridSpan w:val="2"/>
          </w:tcPr>
          <w:p>
            <w:pPr>
              <w:jc w:val="right"/>
              <w:ind w:right="19"/>
              <w:spacing w:after="0"/>
              <w:rPr>
                <w:sz w:val="20"/>
                <w:szCs w:val="20"/>
                <w:color w:val="auto"/>
              </w:rPr>
            </w:pPr>
            <w:r>
              <w:rPr>
                <w:rFonts w:ascii="Arial" w:cs="Arial" w:eastAsia="Arial" w:hAnsi="Arial"/>
                <w:sz w:val="14"/>
                <w:szCs w:val="14"/>
                <w:b w:val="1"/>
                <w:bCs w:val="1"/>
                <w:color w:val="auto"/>
              </w:rPr>
              <w:t>(In millions)</w:t>
            </w:r>
          </w:p>
        </w:tc>
        <w:tc>
          <w:tcPr>
            <w:tcW w:w="10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80" w:type="dxa"/>
            <w:vAlign w:val="bottom"/>
          </w:tcPr>
          <w:p>
            <w:pPr>
              <w:spacing w:after="0"/>
              <w:rPr>
                <w:sz w:val="21"/>
                <w:szCs w:val="21"/>
                <w:color w:val="auto"/>
              </w:rPr>
            </w:pPr>
          </w:p>
        </w:tc>
      </w:tr>
      <w:tr>
        <w:trPr>
          <w:trHeight w:val="271"/>
        </w:trPr>
        <w:tc>
          <w:tcPr>
            <w:tcW w:w="5160" w:type="dxa"/>
            <w:vAlign w:val="bottom"/>
            <w:shd w:val="clear" w:color="auto" w:fill="CCEEFF"/>
          </w:tcPr>
          <w:p>
            <w:pPr>
              <w:ind w:left="40"/>
              <w:spacing w:after="0"/>
              <w:rPr>
                <w:sz w:val="20"/>
                <w:szCs w:val="20"/>
                <w:color w:val="auto"/>
              </w:rPr>
            </w:pPr>
            <w:r>
              <w:rPr>
                <w:rFonts w:ascii="Arial" w:cs="Arial" w:eastAsia="Arial" w:hAnsi="Arial"/>
                <w:sz w:val="16"/>
                <w:szCs w:val="16"/>
                <w:b w:val="1"/>
                <w:bCs w:val="1"/>
                <w:color w:val="auto"/>
              </w:rPr>
              <w:t>Three Months Ended September 30, 2017</w:t>
            </w:r>
          </w:p>
        </w:tc>
        <w:tc>
          <w:tcPr>
            <w:tcW w:w="220" w:type="dxa"/>
            <w:vAlign w:val="bottom"/>
            <w:shd w:val="clear" w:color="auto" w:fill="CCEEFF"/>
          </w:tcPr>
          <w:p>
            <w:pPr>
              <w:spacing w:after="0"/>
              <w:rPr>
                <w:sz w:val="23"/>
                <w:szCs w:val="23"/>
                <w:color w:val="auto"/>
              </w:rPr>
            </w:pPr>
          </w:p>
        </w:tc>
        <w:tc>
          <w:tcPr>
            <w:tcW w:w="13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360" w:type="dxa"/>
            <w:vAlign w:val="bottom"/>
            <w:shd w:val="clear" w:color="auto" w:fill="CCEEFF"/>
          </w:tcPr>
          <w:p>
            <w:pPr>
              <w:spacing w:after="0"/>
              <w:rPr>
                <w:sz w:val="23"/>
                <w:szCs w:val="23"/>
                <w:color w:val="auto"/>
              </w:rPr>
            </w:pPr>
          </w:p>
        </w:tc>
        <w:tc>
          <w:tcPr>
            <w:tcW w:w="500" w:type="dxa"/>
            <w:vAlign w:val="bottom"/>
            <w:shd w:val="clear" w:color="auto" w:fill="CCEEFF"/>
          </w:tcPr>
          <w:p>
            <w:pPr>
              <w:spacing w:after="0"/>
              <w:rPr>
                <w:sz w:val="23"/>
                <w:szCs w:val="23"/>
                <w:color w:val="auto"/>
              </w:rPr>
            </w:pPr>
          </w:p>
        </w:tc>
        <w:tc>
          <w:tcPr>
            <w:tcW w:w="108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280" w:type="dxa"/>
            <w:vAlign w:val="bottom"/>
            <w:shd w:val="clear" w:color="auto" w:fill="CCEEFF"/>
          </w:tcPr>
          <w:p>
            <w:pPr>
              <w:spacing w:after="0"/>
              <w:rPr>
                <w:sz w:val="23"/>
                <w:szCs w:val="23"/>
                <w:color w:val="auto"/>
              </w:rPr>
            </w:pPr>
          </w:p>
        </w:tc>
      </w:tr>
      <w:tr>
        <w:trPr>
          <w:trHeight w:val="270"/>
        </w:trPr>
        <w:tc>
          <w:tcPr>
            <w:tcW w:w="5160" w:type="dxa"/>
            <w:vAlign w:val="bottom"/>
          </w:tcPr>
          <w:p>
            <w:pPr>
              <w:ind w:left="40"/>
              <w:spacing w:after="0"/>
              <w:rPr>
                <w:sz w:val="20"/>
                <w:szCs w:val="20"/>
                <w:color w:val="auto"/>
              </w:rPr>
            </w:pPr>
            <w:r>
              <w:rPr>
                <w:rFonts w:ascii="Arial" w:cs="Arial" w:eastAsia="Arial" w:hAnsi="Arial"/>
                <w:sz w:val="16"/>
                <w:szCs w:val="16"/>
                <w:color w:val="auto"/>
              </w:rPr>
              <w:t xml:space="preserve">Total revenue </w:t>
            </w:r>
            <w:r>
              <w:rPr>
                <w:rFonts w:ascii="Arial" w:cs="Arial" w:eastAsia="Arial" w:hAnsi="Arial"/>
                <w:sz w:val="21"/>
                <w:szCs w:val="21"/>
                <w:color w:val="auto"/>
                <w:vertAlign w:val="superscript"/>
              </w:rPr>
              <w:t>(1)</w:t>
            </w: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320" w:type="dxa"/>
            <w:vAlign w:val="bottom"/>
          </w:tcPr>
          <w:p>
            <w:pPr>
              <w:jc w:val="right"/>
              <w:ind w:right="79"/>
              <w:spacing w:after="0"/>
              <w:rPr>
                <w:sz w:val="20"/>
                <w:szCs w:val="20"/>
                <w:color w:val="auto"/>
              </w:rPr>
            </w:pPr>
            <w:r>
              <w:rPr>
                <w:rFonts w:ascii="Arial" w:cs="Arial" w:eastAsia="Arial" w:hAnsi="Arial"/>
                <w:sz w:val="16"/>
                <w:szCs w:val="16"/>
                <w:color w:val="auto"/>
              </w:rPr>
              <w:t>4,899</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1360" w:type="dxa"/>
            <w:vAlign w:val="bottom"/>
          </w:tcPr>
          <w:p>
            <w:pPr>
              <w:jc w:val="right"/>
              <w:ind w:right="60"/>
              <w:spacing w:after="0"/>
              <w:rPr>
                <w:sz w:val="20"/>
                <w:szCs w:val="20"/>
                <w:color w:val="auto"/>
              </w:rPr>
            </w:pPr>
            <w:r>
              <w:rPr>
                <w:rFonts w:ascii="Arial" w:cs="Arial" w:eastAsia="Arial" w:hAnsi="Arial"/>
                <w:sz w:val="16"/>
                <w:szCs w:val="16"/>
                <w:color w:val="auto"/>
              </w:rPr>
              <w:t>47</w:t>
            </w:r>
          </w:p>
        </w:tc>
        <w:tc>
          <w:tcPr>
            <w:tcW w:w="500" w:type="dxa"/>
            <w:vAlign w:val="bottom"/>
          </w:tcPr>
          <w:p>
            <w:pPr>
              <w:jc w:val="right"/>
              <w:ind w:right="239"/>
              <w:spacing w:after="0"/>
              <w:rPr>
                <w:sz w:val="20"/>
                <w:szCs w:val="20"/>
                <w:color w:val="auto"/>
              </w:rPr>
            </w:pPr>
            <w:r>
              <w:rPr>
                <w:rFonts w:ascii="Arial" w:cs="Arial" w:eastAsia="Arial" w:hAnsi="Arial"/>
                <w:sz w:val="16"/>
                <w:szCs w:val="16"/>
                <w:color w:val="auto"/>
              </w:rPr>
              <w:t>$</w:t>
            </w:r>
          </w:p>
        </w:tc>
        <w:tc>
          <w:tcPr>
            <w:tcW w:w="1080" w:type="dxa"/>
            <w:vAlign w:val="bottom"/>
          </w:tcPr>
          <w:p>
            <w:pPr>
              <w:jc w:val="right"/>
              <w:ind w:right="59"/>
              <w:spacing w:after="0"/>
              <w:rPr>
                <w:sz w:val="20"/>
                <w:szCs w:val="20"/>
                <w:color w:val="auto"/>
              </w:rPr>
            </w:pPr>
            <w:r>
              <w:rPr>
                <w:rFonts w:ascii="Arial" w:cs="Arial" w:eastAsia="Arial" w:hAnsi="Arial"/>
                <w:sz w:val="16"/>
                <w:szCs w:val="16"/>
                <w:color w:val="auto"/>
              </w:rPr>
              <w:t>85</w:t>
            </w:r>
          </w:p>
        </w:tc>
        <w:tc>
          <w:tcPr>
            <w:tcW w:w="260" w:type="dxa"/>
            <w:vAlign w:val="bottom"/>
          </w:tcPr>
          <w:p>
            <w:pPr>
              <w:jc w:val="right"/>
              <w:spacing w:after="0"/>
              <w:rPr>
                <w:sz w:val="20"/>
                <w:szCs w:val="20"/>
                <w:color w:val="auto"/>
              </w:rPr>
            </w:pPr>
            <w:r>
              <w:rPr>
                <w:rFonts w:ascii="Arial" w:cs="Arial" w:eastAsia="Arial" w:hAnsi="Arial"/>
                <w:sz w:val="16"/>
                <w:szCs w:val="16"/>
                <w:color w:val="auto"/>
              </w:rPr>
              <w:t>$</w:t>
            </w:r>
          </w:p>
        </w:tc>
        <w:tc>
          <w:tcPr>
            <w:tcW w:w="1280" w:type="dxa"/>
            <w:vAlign w:val="bottom"/>
          </w:tcPr>
          <w:p>
            <w:pPr>
              <w:jc w:val="right"/>
              <w:ind w:right="19"/>
              <w:spacing w:after="0"/>
              <w:rPr>
                <w:sz w:val="20"/>
                <w:szCs w:val="20"/>
                <w:color w:val="auto"/>
              </w:rPr>
            </w:pPr>
            <w:r>
              <w:rPr>
                <w:rFonts w:ascii="Arial" w:cs="Arial" w:eastAsia="Arial" w:hAnsi="Arial"/>
                <w:sz w:val="16"/>
                <w:szCs w:val="16"/>
                <w:color w:val="auto"/>
              </w:rPr>
              <w:t>5,031</w:t>
            </w:r>
          </w:p>
        </w:tc>
      </w:tr>
      <w:tr>
        <w:trPr>
          <w:trHeight w:val="270"/>
        </w:trPr>
        <w:tc>
          <w:tcPr>
            <w:tcW w:w="5160" w:type="dxa"/>
            <w:vAlign w:val="bottom"/>
            <w:shd w:val="clear" w:color="auto" w:fill="CCEEFF"/>
          </w:tcPr>
          <w:p>
            <w:pPr>
              <w:ind w:left="40"/>
              <w:spacing w:after="0"/>
              <w:rPr>
                <w:sz w:val="20"/>
                <w:szCs w:val="20"/>
                <w:color w:val="auto"/>
              </w:rPr>
            </w:pPr>
            <w:r>
              <w:rPr>
                <w:rFonts w:ascii="Arial" w:cs="Arial" w:eastAsia="Arial" w:hAnsi="Arial"/>
                <w:sz w:val="16"/>
                <w:szCs w:val="16"/>
                <w:color w:val="auto"/>
              </w:rPr>
              <w:t>Gross margin</w:t>
            </w:r>
          </w:p>
        </w:tc>
        <w:tc>
          <w:tcPr>
            <w:tcW w:w="220" w:type="dxa"/>
            <w:vAlign w:val="bottom"/>
            <w:shd w:val="clear" w:color="auto" w:fill="CCEEFF"/>
          </w:tcPr>
          <w:p>
            <w:pPr>
              <w:spacing w:after="0"/>
              <w:rPr>
                <w:sz w:val="23"/>
                <w:szCs w:val="23"/>
                <w:color w:val="auto"/>
              </w:rPr>
            </w:pPr>
          </w:p>
        </w:tc>
        <w:tc>
          <w:tcPr>
            <w:tcW w:w="132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557</w:t>
            </w:r>
          </w:p>
        </w:tc>
        <w:tc>
          <w:tcPr>
            <w:tcW w:w="240" w:type="dxa"/>
            <w:vAlign w:val="bottom"/>
            <w:shd w:val="clear" w:color="auto" w:fill="CCEEFF"/>
          </w:tcPr>
          <w:p>
            <w:pPr>
              <w:spacing w:after="0"/>
              <w:rPr>
                <w:sz w:val="23"/>
                <w:szCs w:val="23"/>
                <w:color w:val="auto"/>
              </w:rPr>
            </w:pPr>
          </w:p>
        </w:tc>
        <w:tc>
          <w:tcPr>
            <w:tcW w:w="1360" w:type="dxa"/>
            <w:vAlign w:val="bottom"/>
            <w:shd w:val="clear" w:color="auto" w:fill="CCEEFF"/>
          </w:tcPr>
          <w:p>
            <w:pPr>
              <w:jc w:val="right"/>
              <w:ind w:right="60"/>
              <w:spacing w:after="0"/>
              <w:rPr>
                <w:sz w:val="20"/>
                <w:szCs w:val="20"/>
                <w:color w:val="auto"/>
              </w:rPr>
            </w:pPr>
            <w:r>
              <w:rPr>
                <w:rFonts w:ascii="Arial" w:cs="Arial" w:eastAsia="Arial" w:hAnsi="Arial"/>
                <w:sz w:val="16"/>
                <w:szCs w:val="16"/>
                <w:color w:val="auto"/>
              </w:rPr>
              <w:t>5</w:t>
            </w:r>
          </w:p>
        </w:tc>
        <w:tc>
          <w:tcPr>
            <w:tcW w:w="500" w:type="dxa"/>
            <w:vAlign w:val="bottom"/>
            <w:shd w:val="clear" w:color="auto" w:fill="CCEEFF"/>
          </w:tcPr>
          <w:p>
            <w:pPr>
              <w:spacing w:after="0"/>
              <w:rPr>
                <w:sz w:val="23"/>
                <w:szCs w:val="23"/>
                <w:color w:val="auto"/>
              </w:rPr>
            </w:pPr>
          </w:p>
        </w:tc>
        <w:tc>
          <w:tcPr>
            <w:tcW w:w="108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2</w:t>
            </w:r>
          </w:p>
        </w:tc>
        <w:tc>
          <w:tcPr>
            <w:tcW w:w="260" w:type="dxa"/>
            <w:vAlign w:val="bottom"/>
            <w:shd w:val="clear" w:color="auto" w:fill="CCEEFF"/>
          </w:tcPr>
          <w:p>
            <w:pPr>
              <w:spacing w:after="0"/>
              <w:rPr>
                <w:sz w:val="23"/>
                <w:szCs w:val="23"/>
                <w:color w:val="auto"/>
              </w:rPr>
            </w:pPr>
          </w:p>
        </w:tc>
        <w:tc>
          <w:tcPr>
            <w:tcW w:w="12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564</w:t>
            </w:r>
          </w:p>
        </w:tc>
      </w:tr>
      <w:tr>
        <w:trPr>
          <w:trHeight w:val="262"/>
        </w:trPr>
        <w:tc>
          <w:tcPr>
            <w:tcW w:w="5160" w:type="dxa"/>
            <w:vAlign w:val="bottom"/>
          </w:tcPr>
          <w:p>
            <w:pPr>
              <w:ind w:left="40"/>
              <w:spacing w:after="0"/>
              <w:rPr>
                <w:sz w:val="20"/>
                <w:szCs w:val="20"/>
                <w:color w:val="auto"/>
              </w:rPr>
            </w:pPr>
            <w:r>
              <w:rPr>
                <w:rFonts w:ascii="Arial" w:cs="Arial" w:eastAsia="Arial" w:hAnsi="Arial"/>
                <w:sz w:val="16"/>
                <w:szCs w:val="16"/>
                <w:color w:val="auto"/>
              </w:rPr>
              <w:t>Impairment losses</w:t>
            </w:r>
          </w:p>
        </w:tc>
        <w:tc>
          <w:tcPr>
            <w:tcW w:w="220" w:type="dxa"/>
            <w:vAlign w:val="bottom"/>
          </w:tcPr>
          <w:p>
            <w:pPr>
              <w:spacing w:after="0"/>
              <w:rPr>
                <w:sz w:val="22"/>
                <w:szCs w:val="22"/>
                <w:color w:val="auto"/>
              </w:rPr>
            </w:pPr>
          </w:p>
        </w:tc>
        <w:tc>
          <w:tcPr>
            <w:tcW w:w="132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2"/>
                <w:szCs w:val="22"/>
                <w:color w:val="auto"/>
              </w:rPr>
            </w:pPr>
          </w:p>
        </w:tc>
        <w:tc>
          <w:tcPr>
            <w:tcW w:w="1360" w:type="dxa"/>
            <w:vAlign w:val="bottom"/>
          </w:tcPr>
          <w:p>
            <w:pPr>
              <w:jc w:val="right"/>
              <w:ind w:right="20"/>
              <w:spacing w:after="0"/>
              <w:rPr>
                <w:sz w:val="20"/>
                <w:szCs w:val="20"/>
                <w:color w:val="auto"/>
              </w:rPr>
            </w:pPr>
            <w:r>
              <w:rPr>
                <w:rFonts w:ascii="Arial" w:cs="Arial" w:eastAsia="Arial" w:hAnsi="Arial"/>
                <w:sz w:val="16"/>
                <w:szCs w:val="16"/>
                <w:color w:val="auto"/>
              </w:rPr>
              <w:t>(28)</w:t>
            </w:r>
          </w:p>
        </w:tc>
        <w:tc>
          <w:tcPr>
            <w:tcW w:w="500" w:type="dxa"/>
            <w:vAlign w:val="bottom"/>
          </w:tcPr>
          <w:p>
            <w:pPr>
              <w:spacing w:after="0"/>
              <w:rPr>
                <w:sz w:val="22"/>
                <w:szCs w:val="22"/>
                <w:color w:val="auto"/>
              </w:rPr>
            </w:pPr>
          </w:p>
        </w:tc>
        <w:tc>
          <w:tcPr>
            <w:tcW w:w="1080" w:type="dxa"/>
            <w:vAlign w:val="bottom"/>
          </w:tcPr>
          <w:p>
            <w:pPr>
              <w:jc w:val="right"/>
              <w:ind w:right="19"/>
              <w:spacing w:after="0"/>
              <w:rPr>
                <w:sz w:val="20"/>
                <w:szCs w:val="20"/>
                <w:color w:val="auto"/>
              </w:rPr>
            </w:pPr>
            <w:r>
              <w:rPr>
                <w:rFonts w:ascii="Arial" w:cs="Arial" w:eastAsia="Arial" w:hAnsi="Arial"/>
                <w:sz w:val="16"/>
                <w:szCs w:val="16"/>
                <w:color w:val="auto"/>
              </w:rPr>
              <w:t>(101)</w:t>
            </w:r>
          </w:p>
        </w:tc>
        <w:tc>
          <w:tcPr>
            <w:tcW w:w="260" w:type="dxa"/>
            <w:vAlign w:val="bottom"/>
          </w:tcPr>
          <w:p>
            <w:pPr>
              <w:spacing w:after="0"/>
              <w:rPr>
                <w:sz w:val="22"/>
                <w:szCs w:val="22"/>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(129)</w:t>
            </w:r>
          </w:p>
        </w:tc>
      </w:tr>
      <w:tr>
        <w:trPr>
          <w:trHeight w:val="278"/>
        </w:trPr>
        <w:tc>
          <w:tcPr>
            <w:tcW w:w="5160" w:type="dxa"/>
            <w:vAlign w:val="bottom"/>
            <w:shd w:val="clear" w:color="auto" w:fill="CCEEFF"/>
          </w:tcPr>
          <w:p>
            <w:pPr>
              <w:ind w:left="40"/>
              <w:spacing w:after="0"/>
              <w:rPr>
                <w:sz w:val="20"/>
                <w:szCs w:val="20"/>
                <w:color w:val="auto"/>
              </w:rPr>
            </w:pPr>
            <w:r>
              <w:rPr>
                <w:rFonts w:ascii="Arial" w:cs="Arial" w:eastAsia="Arial" w:hAnsi="Arial"/>
                <w:sz w:val="16"/>
                <w:szCs w:val="16"/>
                <w:color w:val="auto"/>
              </w:rPr>
              <w:t>Restructuring and separation costs</w:t>
            </w:r>
          </w:p>
        </w:tc>
        <w:tc>
          <w:tcPr>
            <w:tcW w:w="220" w:type="dxa"/>
            <w:vAlign w:val="bottom"/>
            <w:shd w:val="clear" w:color="auto" w:fill="CCEEFF"/>
          </w:tcPr>
          <w:p>
            <w:pPr>
              <w:spacing w:after="0"/>
              <w:rPr>
                <w:sz w:val="24"/>
                <w:szCs w:val="24"/>
                <w:color w:val="auto"/>
              </w:rPr>
            </w:pPr>
          </w:p>
        </w:tc>
        <w:tc>
          <w:tcPr>
            <w:tcW w:w="13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(33)</w:t>
            </w:r>
          </w:p>
        </w:tc>
        <w:tc>
          <w:tcPr>
            <w:tcW w:w="240" w:type="dxa"/>
            <w:vAlign w:val="bottom"/>
            <w:shd w:val="clear" w:color="auto" w:fill="CCEEFF"/>
          </w:tcPr>
          <w:p>
            <w:pPr>
              <w:spacing w:after="0"/>
              <w:rPr>
                <w:sz w:val="24"/>
                <w:szCs w:val="24"/>
                <w:color w:val="auto"/>
              </w:rPr>
            </w:pPr>
          </w:p>
        </w:tc>
        <w:tc>
          <w:tcPr>
            <w:tcW w:w="136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(8)</w:t>
            </w:r>
          </w:p>
        </w:tc>
        <w:tc>
          <w:tcPr>
            <w:tcW w:w="50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(77)</w:t>
            </w:r>
          </w:p>
        </w:tc>
        <w:tc>
          <w:tcPr>
            <w:tcW w:w="260" w:type="dxa"/>
            <w:vAlign w:val="bottom"/>
            <w:shd w:val="clear" w:color="auto" w:fill="CCEEFF"/>
          </w:tcPr>
          <w:p>
            <w:pPr>
              <w:spacing w:after="0"/>
              <w:rPr>
                <w:sz w:val="24"/>
                <w:szCs w:val="24"/>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(118)</w:t>
            </w:r>
          </w:p>
        </w:tc>
      </w:tr>
      <w:tr>
        <w:trPr>
          <w:trHeight w:val="297"/>
        </w:trPr>
        <w:tc>
          <w:tcPr>
            <w:tcW w:w="5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270"/>
        </w:trPr>
        <w:tc>
          <w:tcPr>
            <w:tcW w:w="5160" w:type="dxa"/>
            <w:vAlign w:val="bottom"/>
            <w:shd w:val="clear" w:color="auto" w:fill="CCEEFF"/>
          </w:tcPr>
          <w:p>
            <w:pPr>
              <w:ind w:left="40"/>
              <w:spacing w:after="0"/>
              <w:rPr>
                <w:sz w:val="20"/>
                <w:szCs w:val="20"/>
                <w:color w:val="auto"/>
              </w:rPr>
            </w:pPr>
            <w:r>
              <w:rPr>
                <w:rFonts w:ascii="Arial" w:cs="Arial" w:eastAsia="Arial" w:hAnsi="Arial"/>
                <w:sz w:val="16"/>
                <w:szCs w:val="16"/>
                <w:b w:val="1"/>
                <w:bCs w:val="1"/>
                <w:color w:val="auto"/>
              </w:rPr>
              <w:t>Nine Months Ended September 30, 2017</w:t>
            </w:r>
          </w:p>
        </w:tc>
        <w:tc>
          <w:tcPr>
            <w:tcW w:w="220" w:type="dxa"/>
            <w:vAlign w:val="bottom"/>
            <w:shd w:val="clear" w:color="auto" w:fill="CCEEFF"/>
          </w:tcPr>
          <w:p>
            <w:pPr>
              <w:spacing w:after="0"/>
              <w:rPr>
                <w:sz w:val="23"/>
                <w:szCs w:val="23"/>
                <w:color w:val="auto"/>
              </w:rPr>
            </w:pPr>
          </w:p>
        </w:tc>
        <w:tc>
          <w:tcPr>
            <w:tcW w:w="13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360" w:type="dxa"/>
            <w:vAlign w:val="bottom"/>
            <w:shd w:val="clear" w:color="auto" w:fill="CCEEFF"/>
          </w:tcPr>
          <w:p>
            <w:pPr>
              <w:spacing w:after="0"/>
              <w:rPr>
                <w:sz w:val="23"/>
                <w:szCs w:val="23"/>
                <w:color w:val="auto"/>
              </w:rPr>
            </w:pPr>
          </w:p>
        </w:tc>
        <w:tc>
          <w:tcPr>
            <w:tcW w:w="500" w:type="dxa"/>
            <w:vAlign w:val="bottom"/>
            <w:shd w:val="clear" w:color="auto" w:fill="CCEEFF"/>
          </w:tcPr>
          <w:p>
            <w:pPr>
              <w:spacing w:after="0"/>
              <w:rPr>
                <w:sz w:val="23"/>
                <w:szCs w:val="23"/>
                <w:color w:val="auto"/>
              </w:rPr>
            </w:pPr>
          </w:p>
        </w:tc>
        <w:tc>
          <w:tcPr>
            <w:tcW w:w="108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280" w:type="dxa"/>
            <w:vAlign w:val="bottom"/>
            <w:shd w:val="clear" w:color="auto" w:fill="CCEEFF"/>
          </w:tcPr>
          <w:p>
            <w:pPr>
              <w:spacing w:after="0"/>
              <w:rPr>
                <w:sz w:val="23"/>
                <w:szCs w:val="23"/>
                <w:color w:val="auto"/>
              </w:rPr>
            </w:pPr>
          </w:p>
        </w:tc>
      </w:tr>
      <w:tr>
        <w:trPr>
          <w:trHeight w:val="270"/>
        </w:trPr>
        <w:tc>
          <w:tcPr>
            <w:tcW w:w="5160" w:type="dxa"/>
            <w:vAlign w:val="bottom"/>
          </w:tcPr>
          <w:p>
            <w:pPr>
              <w:ind w:left="40"/>
              <w:spacing w:after="0"/>
              <w:rPr>
                <w:sz w:val="20"/>
                <w:szCs w:val="20"/>
                <w:color w:val="auto"/>
              </w:rPr>
            </w:pPr>
            <w:r>
              <w:rPr>
                <w:rFonts w:ascii="Arial" w:cs="Arial" w:eastAsia="Arial" w:hAnsi="Arial"/>
                <w:sz w:val="16"/>
                <w:szCs w:val="16"/>
                <w:color w:val="auto"/>
              </w:rPr>
              <w:t xml:space="preserve">Total revenue </w:t>
            </w:r>
            <w:r>
              <w:rPr>
                <w:rFonts w:ascii="Arial" w:cs="Arial" w:eastAsia="Arial" w:hAnsi="Arial"/>
                <w:sz w:val="21"/>
                <w:szCs w:val="21"/>
                <w:color w:val="auto"/>
                <w:vertAlign w:val="superscript"/>
              </w:rPr>
              <w:t>(1)</w:t>
            </w: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320" w:type="dxa"/>
            <w:vAlign w:val="bottom"/>
          </w:tcPr>
          <w:p>
            <w:pPr>
              <w:jc w:val="right"/>
              <w:ind w:right="79"/>
              <w:spacing w:after="0"/>
              <w:rPr>
                <w:sz w:val="20"/>
                <w:szCs w:val="20"/>
                <w:color w:val="auto"/>
              </w:rPr>
            </w:pPr>
            <w:r>
              <w:rPr>
                <w:rFonts w:ascii="Arial" w:cs="Arial" w:eastAsia="Arial" w:hAnsi="Arial"/>
                <w:sz w:val="16"/>
                <w:szCs w:val="16"/>
                <w:color w:val="auto"/>
              </w:rPr>
              <w:t>14,538</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1360" w:type="dxa"/>
            <w:vAlign w:val="bottom"/>
          </w:tcPr>
          <w:p>
            <w:pPr>
              <w:jc w:val="right"/>
              <w:ind w:right="60"/>
              <w:spacing w:after="0"/>
              <w:rPr>
                <w:sz w:val="20"/>
                <w:szCs w:val="20"/>
                <w:color w:val="auto"/>
              </w:rPr>
            </w:pPr>
            <w:r>
              <w:rPr>
                <w:rFonts w:ascii="Arial" w:cs="Arial" w:eastAsia="Arial" w:hAnsi="Arial"/>
                <w:sz w:val="16"/>
                <w:szCs w:val="16"/>
                <w:color w:val="auto"/>
              </w:rPr>
              <w:t>140</w:t>
            </w:r>
          </w:p>
        </w:tc>
        <w:tc>
          <w:tcPr>
            <w:tcW w:w="500" w:type="dxa"/>
            <w:vAlign w:val="bottom"/>
          </w:tcPr>
          <w:p>
            <w:pPr>
              <w:jc w:val="right"/>
              <w:ind w:right="239"/>
              <w:spacing w:after="0"/>
              <w:rPr>
                <w:sz w:val="20"/>
                <w:szCs w:val="20"/>
                <w:color w:val="auto"/>
              </w:rPr>
            </w:pPr>
            <w:r>
              <w:rPr>
                <w:rFonts w:ascii="Arial" w:cs="Arial" w:eastAsia="Arial" w:hAnsi="Arial"/>
                <w:sz w:val="16"/>
                <w:szCs w:val="16"/>
                <w:color w:val="auto"/>
              </w:rPr>
              <w:t>$</w:t>
            </w:r>
          </w:p>
        </w:tc>
        <w:tc>
          <w:tcPr>
            <w:tcW w:w="1080" w:type="dxa"/>
            <w:vAlign w:val="bottom"/>
          </w:tcPr>
          <w:p>
            <w:pPr>
              <w:jc w:val="right"/>
              <w:ind w:right="59"/>
              <w:spacing w:after="0"/>
              <w:rPr>
                <w:sz w:val="20"/>
                <w:szCs w:val="20"/>
                <w:color w:val="auto"/>
              </w:rPr>
            </w:pPr>
            <w:r>
              <w:rPr>
                <w:rFonts w:ascii="Arial" w:cs="Arial" w:eastAsia="Arial" w:hAnsi="Arial"/>
                <w:sz w:val="16"/>
                <w:szCs w:val="16"/>
                <w:color w:val="auto"/>
              </w:rPr>
              <w:t>256</w:t>
            </w:r>
          </w:p>
        </w:tc>
        <w:tc>
          <w:tcPr>
            <w:tcW w:w="260" w:type="dxa"/>
            <w:vAlign w:val="bottom"/>
          </w:tcPr>
          <w:p>
            <w:pPr>
              <w:jc w:val="right"/>
              <w:spacing w:after="0"/>
              <w:rPr>
                <w:sz w:val="20"/>
                <w:szCs w:val="20"/>
                <w:color w:val="auto"/>
              </w:rPr>
            </w:pPr>
            <w:r>
              <w:rPr>
                <w:rFonts w:ascii="Arial" w:cs="Arial" w:eastAsia="Arial" w:hAnsi="Arial"/>
                <w:sz w:val="16"/>
                <w:szCs w:val="16"/>
                <w:color w:val="auto"/>
              </w:rPr>
              <w:t>$</w:t>
            </w:r>
          </w:p>
        </w:tc>
        <w:tc>
          <w:tcPr>
            <w:tcW w:w="1280" w:type="dxa"/>
            <w:vAlign w:val="bottom"/>
          </w:tcPr>
          <w:p>
            <w:pPr>
              <w:jc w:val="right"/>
              <w:ind w:right="19"/>
              <w:spacing w:after="0"/>
              <w:rPr>
                <w:sz w:val="20"/>
                <w:szCs w:val="20"/>
                <w:color w:val="auto"/>
              </w:rPr>
            </w:pPr>
            <w:r>
              <w:rPr>
                <w:rFonts w:ascii="Arial" w:cs="Arial" w:eastAsia="Arial" w:hAnsi="Arial"/>
                <w:sz w:val="16"/>
                <w:szCs w:val="16"/>
                <w:color w:val="auto"/>
              </w:rPr>
              <w:t>14,934</w:t>
            </w:r>
          </w:p>
        </w:tc>
      </w:tr>
      <w:tr>
        <w:trPr>
          <w:trHeight w:val="270"/>
        </w:trPr>
        <w:tc>
          <w:tcPr>
            <w:tcW w:w="5160" w:type="dxa"/>
            <w:vAlign w:val="bottom"/>
            <w:shd w:val="clear" w:color="auto" w:fill="CCEEFF"/>
          </w:tcPr>
          <w:p>
            <w:pPr>
              <w:ind w:left="40"/>
              <w:spacing w:after="0"/>
              <w:rPr>
                <w:sz w:val="20"/>
                <w:szCs w:val="20"/>
                <w:color w:val="auto"/>
              </w:rPr>
            </w:pPr>
            <w:r>
              <w:rPr>
                <w:rFonts w:ascii="Arial" w:cs="Arial" w:eastAsia="Arial" w:hAnsi="Arial"/>
                <w:sz w:val="16"/>
                <w:szCs w:val="16"/>
                <w:color w:val="auto"/>
              </w:rPr>
              <w:t>Gross margin</w:t>
            </w:r>
          </w:p>
        </w:tc>
        <w:tc>
          <w:tcPr>
            <w:tcW w:w="220" w:type="dxa"/>
            <w:vAlign w:val="bottom"/>
            <w:shd w:val="clear" w:color="auto" w:fill="CCEEFF"/>
          </w:tcPr>
          <w:p>
            <w:pPr>
              <w:spacing w:after="0"/>
              <w:rPr>
                <w:sz w:val="23"/>
                <w:szCs w:val="23"/>
                <w:color w:val="auto"/>
              </w:rPr>
            </w:pPr>
          </w:p>
        </w:tc>
        <w:tc>
          <w:tcPr>
            <w:tcW w:w="132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1,343</w:t>
            </w:r>
          </w:p>
        </w:tc>
        <w:tc>
          <w:tcPr>
            <w:tcW w:w="240" w:type="dxa"/>
            <w:vAlign w:val="bottom"/>
            <w:shd w:val="clear" w:color="auto" w:fill="CCEEFF"/>
          </w:tcPr>
          <w:p>
            <w:pPr>
              <w:spacing w:after="0"/>
              <w:rPr>
                <w:sz w:val="23"/>
                <w:szCs w:val="23"/>
                <w:color w:val="auto"/>
              </w:rPr>
            </w:pPr>
          </w:p>
        </w:tc>
        <w:tc>
          <w:tcPr>
            <w:tcW w:w="1360" w:type="dxa"/>
            <w:vAlign w:val="bottom"/>
            <w:shd w:val="clear" w:color="auto" w:fill="CCEEFF"/>
          </w:tcPr>
          <w:p>
            <w:pPr>
              <w:jc w:val="right"/>
              <w:ind w:right="60"/>
              <w:spacing w:after="0"/>
              <w:rPr>
                <w:sz w:val="20"/>
                <w:szCs w:val="20"/>
                <w:color w:val="auto"/>
              </w:rPr>
            </w:pPr>
            <w:r>
              <w:rPr>
                <w:rFonts w:ascii="Arial" w:cs="Arial" w:eastAsia="Arial" w:hAnsi="Arial"/>
                <w:sz w:val="16"/>
                <w:szCs w:val="16"/>
                <w:color w:val="auto"/>
              </w:rPr>
              <w:t>13</w:t>
            </w:r>
          </w:p>
        </w:tc>
        <w:tc>
          <w:tcPr>
            <w:tcW w:w="500" w:type="dxa"/>
            <w:vAlign w:val="bottom"/>
            <w:shd w:val="clear" w:color="auto" w:fill="CCEEFF"/>
          </w:tcPr>
          <w:p>
            <w:pPr>
              <w:spacing w:after="0"/>
              <w:rPr>
                <w:sz w:val="23"/>
                <w:szCs w:val="23"/>
                <w:color w:val="auto"/>
              </w:rPr>
            </w:pPr>
          </w:p>
        </w:tc>
        <w:tc>
          <w:tcPr>
            <w:tcW w:w="108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8</w:t>
            </w:r>
          </w:p>
        </w:tc>
        <w:tc>
          <w:tcPr>
            <w:tcW w:w="260" w:type="dxa"/>
            <w:vAlign w:val="bottom"/>
            <w:shd w:val="clear" w:color="auto" w:fill="CCEEFF"/>
          </w:tcPr>
          <w:p>
            <w:pPr>
              <w:spacing w:after="0"/>
              <w:rPr>
                <w:sz w:val="23"/>
                <w:szCs w:val="23"/>
                <w:color w:val="auto"/>
              </w:rPr>
            </w:pPr>
          </w:p>
        </w:tc>
        <w:tc>
          <w:tcPr>
            <w:tcW w:w="12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1,364</w:t>
            </w:r>
          </w:p>
        </w:tc>
      </w:tr>
      <w:tr>
        <w:trPr>
          <w:trHeight w:val="262"/>
        </w:trPr>
        <w:tc>
          <w:tcPr>
            <w:tcW w:w="5160" w:type="dxa"/>
            <w:vAlign w:val="bottom"/>
          </w:tcPr>
          <w:p>
            <w:pPr>
              <w:ind w:left="40"/>
              <w:spacing w:after="0"/>
              <w:rPr>
                <w:sz w:val="20"/>
                <w:szCs w:val="20"/>
                <w:color w:val="auto"/>
              </w:rPr>
            </w:pPr>
            <w:r>
              <w:rPr>
                <w:rFonts w:ascii="Arial" w:cs="Arial" w:eastAsia="Arial" w:hAnsi="Arial"/>
                <w:sz w:val="16"/>
                <w:szCs w:val="16"/>
                <w:color w:val="auto"/>
              </w:rPr>
              <w:t>Impairment losses</w:t>
            </w:r>
          </w:p>
        </w:tc>
        <w:tc>
          <w:tcPr>
            <w:tcW w:w="220" w:type="dxa"/>
            <w:vAlign w:val="bottom"/>
          </w:tcPr>
          <w:p>
            <w:pPr>
              <w:spacing w:after="0"/>
              <w:rPr>
                <w:sz w:val="22"/>
                <w:szCs w:val="22"/>
                <w:color w:val="auto"/>
              </w:rPr>
            </w:pPr>
          </w:p>
        </w:tc>
        <w:tc>
          <w:tcPr>
            <w:tcW w:w="132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2"/>
                <w:szCs w:val="22"/>
                <w:color w:val="auto"/>
              </w:rPr>
            </w:pPr>
          </w:p>
        </w:tc>
        <w:tc>
          <w:tcPr>
            <w:tcW w:w="1360" w:type="dxa"/>
            <w:vAlign w:val="bottom"/>
          </w:tcPr>
          <w:p>
            <w:pPr>
              <w:jc w:val="right"/>
              <w:ind w:right="20"/>
              <w:spacing w:after="0"/>
              <w:rPr>
                <w:sz w:val="20"/>
                <w:szCs w:val="20"/>
                <w:color w:val="auto"/>
              </w:rPr>
            </w:pPr>
            <w:r>
              <w:rPr>
                <w:rFonts w:ascii="Arial" w:cs="Arial" w:eastAsia="Arial" w:hAnsi="Arial"/>
                <w:sz w:val="16"/>
                <w:szCs w:val="16"/>
                <w:color w:val="auto"/>
              </w:rPr>
              <w:t>(28)</w:t>
            </w:r>
          </w:p>
        </w:tc>
        <w:tc>
          <w:tcPr>
            <w:tcW w:w="500" w:type="dxa"/>
            <w:vAlign w:val="bottom"/>
          </w:tcPr>
          <w:p>
            <w:pPr>
              <w:spacing w:after="0"/>
              <w:rPr>
                <w:sz w:val="22"/>
                <w:szCs w:val="22"/>
                <w:color w:val="auto"/>
              </w:rPr>
            </w:pPr>
          </w:p>
        </w:tc>
        <w:tc>
          <w:tcPr>
            <w:tcW w:w="1080" w:type="dxa"/>
            <w:vAlign w:val="bottom"/>
          </w:tcPr>
          <w:p>
            <w:pPr>
              <w:jc w:val="right"/>
              <w:ind w:right="19"/>
              <w:spacing w:after="0"/>
              <w:rPr>
                <w:sz w:val="20"/>
                <w:szCs w:val="20"/>
                <w:color w:val="auto"/>
              </w:rPr>
            </w:pPr>
            <w:r>
              <w:rPr>
                <w:rFonts w:ascii="Arial" w:cs="Arial" w:eastAsia="Arial" w:hAnsi="Arial"/>
                <w:sz w:val="16"/>
                <w:szCs w:val="16"/>
                <w:color w:val="auto"/>
              </w:rPr>
              <w:t>(173)</w:t>
            </w:r>
          </w:p>
        </w:tc>
        <w:tc>
          <w:tcPr>
            <w:tcW w:w="260" w:type="dxa"/>
            <w:vAlign w:val="bottom"/>
          </w:tcPr>
          <w:p>
            <w:pPr>
              <w:spacing w:after="0"/>
              <w:rPr>
                <w:sz w:val="22"/>
                <w:szCs w:val="22"/>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(201)</w:t>
            </w:r>
          </w:p>
        </w:tc>
      </w:tr>
      <w:tr>
        <w:trPr>
          <w:trHeight w:val="278"/>
        </w:trPr>
        <w:tc>
          <w:tcPr>
            <w:tcW w:w="5160" w:type="dxa"/>
            <w:vAlign w:val="bottom"/>
            <w:shd w:val="clear" w:color="auto" w:fill="CCEEFF"/>
          </w:tcPr>
          <w:p>
            <w:pPr>
              <w:ind w:left="40"/>
              <w:spacing w:after="0"/>
              <w:rPr>
                <w:sz w:val="20"/>
                <w:szCs w:val="20"/>
                <w:color w:val="auto"/>
              </w:rPr>
            </w:pPr>
            <w:r>
              <w:rPr>
                <w:rFonts w:ascii="Arial" w:cs="Arial" w:eastAsia="Arial" w:hAnsi="Arial"/>
                <w:sz w:val="16"/>
                <w:szCs w:val="16"/>
                <w:color w:val="auto"/>
              </w:rPr>
              <w:t>Restructuring and separation costs</w:t>
            </w:r>
          </w:p>
        </w:tc>
        <w:tc>
          <w:tcPr>
            <w:tcW w:w="220" w:type="dxa"/>
            <w:vAlign w:val="bottom"/>
            <w:shd w:val="clear" w:color="auto" w:fill="CCEEFF"/>
          </w:tcPr>
          <w:p>
            <w:pPr>
              <w:spacing w:after="0"/>
              <w:rPr>
                <w:sz w:val="24"/>
                <w:szCs w:val="24"/>
                <w:color w:val="auto"/>
              </w:rPr>
            </w:pPr>
          </w:p>
        </w:tc>
        <w:tc>
          <w:tcPr>
            <w:tcW w:w="13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(33)</w:t>
            </w:r>
          </w:p>
        </w:tc>
        <w:tc>
          <w:tcPr>
            <w:tcW w:w="240" w:type="dxa"/>
            <w:vAlign w:val="bottom"/>
            <w:shd w:val="clear" w:color="auto" w:fill="CCEEFF"/>
          </w:tcPr>
          <w:p>
            <w:pPr>
              <w:spacing w:after="0"/>
              <w:rPr>
                <w:sz w:val="24"/>
                <w:szCs w:val="24"/>
                <w:color w:val="auto"/>
              </w:rPr>
            </w:pPr>
          </w:p>
        </w:tc>
        <w:tc>
          <w:tcPr>
            <w:tcW w:w="136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(8)</w:t>
            </w:r>
          </w:p>
        </w:tc>
        <w:tc>
          <w:tcPr>
            <w:tcW w:w="50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(120)</w:t>
            </w:r>
          </w:p>
        </w:tc>
        <w:tc>
          <w:tcPr>
            <w:tcW w:w="260" w:type="dxa"/>
            <w:vAlign w:val="bottom"/>
            <w:shd w:val="clear" w:color="auto" w:fill="CCEEFF"/>
          </w:tcPr>
          <w:p>
            <w:pPr>
              <w:spacing w:after="0"/>
              <w:rPr>
                <w:sz w:val="24"/>
                <w:szCs w:val="24"/>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(161)</w:t>
            </w:r>
          </w:p>
        </w:tc>
      </w:tr>
      <w:tr>
        <w:trPr>
          <w:trHeight w:val="324"/>
        </w:trPr>
        <w:tc>
          <w:tcPr>
            <w:tcW w:w="5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270"/>
        </w:trPr>
        <w:tc>
          <w:tcPr>
            <w:tcW w:w="5160" w:type="dxa"/>
            <w:vAlign w:val="bottom"/>
            <w:shd w:val="clear" w:color="auto" w:fill="CCEEFF"/>
          </w:tcPr>
          <w:p>
            <w:pPr>
              <w:ind w:left="40"/>
              <w:spacing w:after="0"/>
              <w:rPr>
                <w:sz w:val="20"/>
                <w:szCs w:val="20"/>
                <w:color w:val="auto"/>
              </w:rPr>
            </w:pPr>
            <w:r>
              <w:rPr>
                <w:rFonts w:ascii="Arial" w:cs="Arial" w:eastAsia="Arial" w:hAnsi="Arial"/>
                <w:sz w:val="16"/>
                <w:szCs w:val="16"/>
                <w:b w:val="1"/>
                <w:bCs w:val="1"/>
                <w:color w:val="auto"/>
              </w:rPr>
              <w:t>Three Months Ended September 30, 2016</w:t>
            </w:r>
          </w:p>
        </w:tc>
        <w:tc>
          <w:tcPr>
            <w:tcW w:w="220" w:type="dxa"/>
            <w:vAlign w:val="bottom"/>
            <w:shd w:val="clear" w:color="auto" w:fill="CCEEFF"/>
          </w:tcPr>
          <w:p>
            <w:pPr>
              <w:spacing w:after="0"/>
              <w:rPr>
                <w:sz w:val="23"/>
                <w:szCs w:val="23"/>
                <w:color w:val="auto"/>
              </w:rPr>
            </w:pPr>
          </w:p>
        </w:tc>
        <w:tc>
          <w:tcPr>
            <w:tcW w:w="13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360" w:type="dxa"/>
            <w:vAlign w:val="bottom"/>
            <w:shd w:val="clear" w:color="auto" w:fill="CCEEFF"/>
          </w:tcPr>
          <w:p>
            <w:pPr>
              <w:spacing w:after="0"/>
              <w:rPr>
                <w:sz w:val="23"/>
                <w:szCs w:val="23"/>
                <w:color w:val="auto"/>
              </w:rPr>
            </w:pPr>
          </w:p>
        </w:tc>
        <w:tc>
          <w:tcPr>
            <w:tcW w:w="500" w:type="dxa"/>
            <w:vAlign w:val="bottom"/>
            <w:shd w:val="clear" w:color="auto" w:fill="CCEEFF"/>
          </w:tcPr>
          <w:p>
            <w:pPr>
              <w:spacing w:after="0"/>
              <w:rPr>
                <w:sz w:val="23"/>
                <w:szCs w:val="23"/>
                <w:color w:val="auto"/>
              </w:rPr>
            </w:pPr>
          </w:p>
        </w:tc>
        <w:tc>
          <w:tcPr>
            <w:tcW w:w="108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280" w:type="dxa"/>
            <w:vAlign w:val="bottom"/>
            <w:shd w:val="clear" w:color="auto" w:fill="CCEEFF"/>
          </w:tcPr>
          <w:p>
            <w:pPr>
              <w:spacing w:after="0"/>
              <w:rPr>
                <w:sz w:val="23"/>
                <w:szCs w:val="23"/>
                <w:color w:val="auto"/>
              </w:rPr>
            </w:pPr>
          </w:p>
        </w:tc>
      </w:tr>
      <w:tr>
        <w:trPr>
          <w:trHeight w:val="270"/>
        </w:trPr>
        <w:tc>
          <w:tcPr>
            <w:tcW w:w="5160" w:type="dxa"/>
            <w:vAlign w:val="bottom"/>
          </w:tcPr>
          <w:p>
            <w:pPr>
              <w:ind w:left="40"/>
              <w:spacing w:after="0"/>
              <w:rPr>
                <w:sz w:val="20"/>
                <w:szCs w:val="20"/>
                <w:color w:val="auto"/>
              </w:rPr>
            </w:pPr>
            <w:r>
              <w:rPr>
                <w:rFonts w:ascii="Arial" w:cs="Arial" w:eastAsia="Arial" w:hAnsi="Arial"/>
                <w:sz w:val="16"/>
                <w:szCs w:val="16"/>
                <w:color w:val="auto"/>
              </w:rPr>
              <w:t xml:space="preserve">Total revenue </w:t>
            </w:r>
            <w:r>
              <w:rPr>
                <w:rFonts w:ascii="Arial" w:cs="Arial" w:eastAsia="Arial" w:hAnsi="Arial"/>
                <w:sz w:val="21"/>
                <w:szCs w:val="21"/>
                <w:color w:val="auto"/>
                <w:vertAlign w:val="superscript"/>
              </w:rPr>
              <w:t>(1)</w:t>
            </w: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320" w:type="dxa"/>
            <w:vAlign w:val="bottom"/>
          </w:tcPr>
          <w:p>
            <w:pPr>
              <w:jc w:val="right"/>
              <w:ind w:right="79"/>
              <w:spacing w:after="0"/>
              <w:rPr>
                <w:sz w:val="20"/>
                <w:szCs w:val="20"/>
                <w:color w:val="auto"/>
              </w:rPr>
            </w:pPr>
            <w:r>
              <w:rPr>
                <w:rFonts w:ascii="Arial" w:cs="Arial" w:eastAsia="Arial" w:hAnsi="Arial"/>
                <w:sz w:val="16"/>
                <w:szCs w:val="16"/>
                <w:color w:val="auto"/>
              </w:rPr>
              <w:t>4,412</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1360" w:type="dxa"/>
            <w:vAlign w:val="bottom"/>
          </w:tcPr>
          <w:p>
            <w:pPr>
              <w:jc w:val="right"/>
              <w:ind w:right="60"/>
              <w:spacing w:after="0"/>
              <w:rPr>
                <w:sz w:val="20"/>
                <w:szCs w:val="20"/>
                <w:color w:val="auto"/>
              </w:rPr>
            </w:pPr>
            <w:r>
              <w:rPr>
                <w:rFonts w:ascii="Arial" w:cs="Arial" w:eastAsia="Arial" w:hAnsi="Arial"/>
                <w:sz w:val="16"/>
                <w:szCs w:val="16"/>
                <w:color w:val="auto"/>
              </w:rPr>
              <w:t>48</w:t>
            </w:r>
          </w:p>
        </w:tc>
        <w:tc>
          <w:tcPr>
            <w:tcW w:w="500" w:type="dxa"/>
            <w:vAlign w:val="bottom"/>
          </w:tcPr>
          <w:p>
            <w:pPr>
              <w:jc w:val="right"/>
              <w:ind w:right="239"/>
              <w:spacing w:after="0"/>
              <w:rPr>
                <w:sz w:val="20"/>
                <w:szCs w:val="20"/>
                <w:color w:val="auto"/>
              </w:rPr>
            </w:pPr>
            <w:r>
              <w:rPr>
                <w:rFonts w:ascii="Arial" w:cs="Arial" w:eastAsia="Arial" w:hAnsi="Arial"/>
                <w:sz w:val="16"/>
                <w:szCs w:val="16"/>
                <w:color w:val="auto"/>
              </w:rPr>
              <w:t>$</w:t>
            </w:r>
          </w:p>
        </w:tc>
        <w:tc>
          <w:tcPr>
            <w:tcW w:w="1080" w:type="dxa"/>
            <w:vAlign w:val="bottom"/>
          </w:tcPr>
          <w:p>
            <w:pPr>
              <w:jc w:val="right"/>
              <w:ind w:right="59"/>
              <w:spacing w:after="0"/>
              <w:rPr>
                <w:sz w:val="20"/>
                <w:szCs w:val="20"/>
                <w:color w:val="auto"/>
              </w:rPr>
            </w:pPr>
            <w:r>
              <w:rPr>
                <w:rFonts w:ascii="Arial" w:cs="Arial" w:eastAsia="Arial" w:hAnsi="Arial"/>
                <w:sz w:val="16"/>
                <w:szCs w:val="16"/>
                <w:color w:val="auto"/>
              </w:rPr>
              <w:t>86</w:t>
            </w:r>
          </w:p>
        </w:tc>
        <w:tc>
          <w:tcPr>
            <w:tcW w:w="260" w:type="dxa"/>
            <w:vAlign w:val="bottom"/>
          </w:tcPr>
          <w:p>
            <w:pPr>
              <w:jc w:val="right"/>
              <w:spacing w:after="0"/>
              <w:rPr>
                <w:sz w:val="20"/>
                <w:szCs w:val="20"/>
                <w:color w:val="auto"/>
              </w:rPr>
            </w:pPr>
            <w:r>
              <w:rPr>
                <w:rFonts w:ascii="Arial" w:cs="Arial" w:eastAsia="Arial" w:hAnsi="Arial"/>
                <w:sz w:val="16"/>
                <w:szCs w:val="16"/>
                <w:color w:val="auto"/>
              </w:rPr>
              <w:t>$</w:t>
            </w:r>
          </w:p>
        </w:tc>
        <w:tc>
          <w:tcPr>
            <w:tcW w:w="1280" w:type="dxa"/>
            <w:vAlign w:val="bottom"/>
          </w:tcPr>
          <w:p>
            <w:pPr>
              <w:jc w:val="right"/>
              <w:ind w:right="19"/>
              <w:spacing w:after="0"/>
              <w:rPr>
                <w:sz w:val="20"/>
                <w:szCs w:val="20"/>
                <w:color w:val="auto"/>
              </w:rPr>
            </w:pPr>
            <w:r>
              <w:rPr>
                <w:rFonts w:ascii="Arial" w:cs="Arial" w:eastAsia="Arial" w:hAnsi="Arial"/>
                <w:sz w:val="16"/>
                <w:szCs w:val="16"/>
                <w:color w:val="auto"/>
              </w:rPr>
              <w:t>4,546</w:t>
            </w:r>
          </w:p>
        </w:tc>
      </w:tr>
      <w:tr>
        <w:trPr>
          <w:trHeight w:val="270"/>
        </w:trPr>
        <w:tc>
          <w:tcPr>
            <w:tcW w:w="5160" w:type="dxa"/>
            <w:vAlign w:val="bottom"/>
            <w:shd w:val="clear" w:color="auto" w:fill="CCEEFF"/>
          </w:tcPr>
          <w:p>
            <w:pPr>
              <w:ind w:left="40"/>
              <w:spacing w:after="0"/>
              <w:rPr>
                <w:sz w:val="20"/>
                <w:szCs w:val="20"/>
                <w:color w:val="auto"/>
              </w:rPr>
            </w:pPr>
            <w:r>
              <w:rPr>
                <w:rFonts w:ascii="Arial" w:cs="Arial" w:eastAsia="Arial" w:hAnsi="Arial"/>
                <w:sz w:val="16"/>
                <w:szCs w:val="16"/>
                <w:color w:val="auto"/>
              </w:rPr>
              <w:t>Gross margin</w:t>
            </w:r>
          </w:p>
        </w:tc>
        <w:tc>
          <w:tcPr>
            <w:tcW w:w="220" w:type="dxa"/>
            <w:vAlign w:val="bottom"/>
            <w:shd w:val="clear" w:color="auto" w:fill="CCEEFF"/>
          </w:tcPr>
          <w:p>
            <w:pPr>
              <w:spacing w:after="0"/>
              <w:rPr>
                <w:sz w:val="23"/>
                <w:szCs w:val="23"/>
                <w:color w:val="auto"/>
              </w:rPr>
            </w:pPr>
          </w:p>
        </w:tc>
        <w:tc>
          <w:tcPr>
            <w:tcW w:w="132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443</w:t>
            </w:r>
          </w:p>
        </w:tc>
        <w:tc>
          <w:tcPr>
            <w:tcW w:w="240" w:type="dxa"/>
            <w:vAlign w:val="bottom"/>
            <w:shd w:val="clear" w:color="auto" w:fill="CCEEFF"/>
          </w:tcPr>
          <w:p>
            <w:pPr>
              <w:spacing w:after="0"/>
              <w:rPr>
                <w:sz w:val="23"/>
                <w:szCs w:val="23"/>
                <w:color w:val="auto"/>
              </w:rPr>
            </w:pPr>
          </w:p>
        </w:tc>
        <w:tc>
          <w:tcPr>
            <w:tcW w:w="1360" w:type="dxa"/>
            <w:vAlign w:val="bottom"/>
            <w:shd w:val="clear" w:color="auto" w:fill="CCEEFF"/>
          </w:tcPr>
          <w:p>
            <w:pPr>
              <w:jc w:val="right"/>
              <w:ind w:right="60"/>
              <w:spacing w:after="0"/>
              <w:rPr>
                <w:sz w:val="20"/>
                <w:szCs w:val="20"/>
                <w:color w:val="auto"/>
              </w:rPr>
            </w:pPr>
            <w:r>
              <w:rPr>
                <w:rFonts w:ascii="Arial" w:cs="Arial" w:eastAsia="Arial" w:hAnsi="Arial"/>
                <w:sz w:val="16"/>
                <w:szCs w:val="16"/>
                <w:color w:val="auto"/>
              </w:rPr>
              <w:t>6</w:t>
            </w:r>
          </w:p>
        </w:tc>
        <w:tc>
          <w:tcPr>
            <w:tcW w:w="500" w:type="dxa"/>
            <w:vAlign w:val="bottom"/>
            <w:shd w:val="clear" w:color="auto" w:fill="CCEEFF"/>
          </w:tcPr>
          <w:p>
            <w:pPr>
              <w:spacing w:after="0"/>
              <w:rPr>
                <w:sz w:val="23"/>
                <w:szCs w:val="23"/>
                <w:color w:val="auto"/>
              </w:rPr>
            </w:pPr>
          </w:p>
        </w:tc>
        <w:tc>
          <w:tcPr>
            <w:tcW w:w="108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8</w:t>
            </w:r>
          </w:p>
        </w:tc>
        <w:tc>
          <w:tcPr>
            <w:tcW w:w="260" w:type="dxa"/>
            <w:vAlign w:val="bottom"/>
            <w:shd w:val="clear" w:color="auto" w:fill="CCEEFF"/>
          </w:tcPr>
          <w:p>
            <w:pPr>
              <w:spacing w:after="0"/>
              <w:rPr>
                <w:sz w:val="23"/>
                <w:szCs w:val="23"/>
                <w:color w:val="auto"/>
              </w:rPr>
            </w:pPr>
          </w:p>
        </w:tc>
        <w:tc>
          <w:tcPr>
            <w:tcW w:w="12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457</w:t>
            </w:r>
          </w:p>
        </w:tc>
      </w:tr>
      <w:tr>
        <w:trPr>
          <w:trHeight w:val="262"/>
        </w:trPr>
        <w:tc>
          <w:tcPr>
            <w:tcW w:w="5160" w:type="dxa"/>
            <w:vAlign w:val="bottom"/>
          </w:tcPr>
          <w:p>
            <w:pPr>
              <w:ind w:left="40"/>
              <w:spacing w:after="0"/>
              <w:rPr>
                <w:sz w:val="20"/>
                <w:szCs w:val="20"/>
                <w:color w:val="auto"/>
              </w:rPr>
            </w:pPr>
            <w:r>
              <w:rPr>
                <w:rFonts w:ascii="Arial" w:cs="Arial" w:eastAsia="Arial" w:hAnsi="Arial"/>
                <w:sz w:val="16"/>
                <w:szCs w:val="16"/>
                <w:color w:val="auto"/>
              </w:rPr>
              <w:t>Impairment losses</w:t>
            </w:r>
          </w:p>
        </w:tc>
        <w:tc>
          <w:tcPr>
            <w:tcW w:w="220" w:type="dxa"/>
            <w:vAlign w:val="bottom"/>
          </w:tcPr>
          <w:p>
            <w:pPr>
              <w:spacing w:after="0"/>
              <w:rPr>
                <w:sz w:val="22"/>
                <w:szCs w:val="22"/>
                <w:color w:val="auto"/>
              </w:rPr>
            </w:pPr>
          </w:p>
        </w:tc>
        <w:tc>
          <w:tcPr>
            <w:tcW w:w="132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2"/>
                <w:szCs w:val="22"/>
                <w:color w:val="auto"/>
              </w:rPr>
            </w:pPr>
          </w:p>
        </w:tc>
        <w:tc>
          <w:tcPr>
            <w:tcW w:w="1360" w:type="dxa"/>
            <w:vAlign w:val="bottom"/>
          </w:tcPr>
          <w:p>
            <w:pPr>
              <w:jc w:val="right"/>
              <w:ind w:right="60"/>
              <w:spacing w:after="0"/>
              <w:rPr>
                <w:sz w:val="20"/>
                <w:szCs w:val="20"/>
                <w:color w:val="auto"/>
              </w:rPr>
            </w:pPr>
            <w:r>
              <w:rPr>
                <w:rFonts w:ascii="Arial" w:cs="Arial" w:eastAsia="Arial" w:hAnsi="Arial"/>
                <w:sz w:val="16"/>
                <w:szCs w:val="16"/>
                <w:color w:val="auto"/>
              </w:rPr>
              <w:t>—</w:t>
            </w:r>
          </w:p>
        </w:tc>
        <w:tc>
          <w:tcPr>
            <w:tcW w:w="500" w:type="dxa"/>
            <w:vAlign w:val="bottom"/>
          </w:tcPr>
          <w:p>
            <w:pPr>
              <w:spacing w:after="0"/>
              <w:rPr>
                <w:sz w:val="22"/>
                <w:szCs w:val="22"/>
                <w:color w:val="auto"/>
              </w:rPr>
            </w:pPr>
          </w:p>
        </w:tc>
        <w:tc>
          <w:tcPr>
            <w:tcW w:w="108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2"/>
                <w:szCs w:val="22"/>
                <w:color w:val="auto"/>
              </w:rPr>
            </w:pPr>
          </w:p>
        </w:tc>
        <w:tc>
          <w:tcPr>
            <w:tcW w:w="128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278"/>
        </w:trPr>
        <w:tc>
          <w:tcPr>
            <w:tcW w:w="5160" w:type="dxa"/>
            <w:vAlign w:val="bottom"/>
            <w:shd w:val="clear" w:color="auto" w:fill="CCEEFF"/>
          </w:tcPr>
          <w:p>
            <w:pPr>
              <w:ind w:left="40"/>
              <w:spacing w:after="0"/>
              <w:rPr>
                <w:sz w:val="20"/>
                <w:szCs w:val="20"/>
                <w:color w:val="auto"/>
              </w:rPr>
            </w:pPr>
            <w:r>
              <w:rPr>
                <w:rFonts w:ascii="Arial" w:cs="Arial" w:eastAsia="Arial" w:hAnsi="Arial"/>
                <w:sz w:val="16"/>
                <w:szCs w:val="16"/>
                <w:color w:val="auto"/>
              </w:rPr>
              <w:t>Restructuring and separation costs</w:t>
            </w:r>
          </w:p>
        </w:tc>
        <w:tc>
          <w:tcPr>
            <w:tcW w:w="220" w:type="dxa"/>
            <w:vAlign w:val="bottom"/>
            <w:shd w:val="clear" w:color="auto" w:fill="CCEEFF"/>
          </w:tcPr>
          <w:p>
            <w:pPr>
              <w:spacing w:after="0"/>
              <w:rPr>
                <w:sz w:val="24"/>
                <w:szCs w:val="24"/>
                <w:color w:val="auto"/>
              </w:rPr>
            </w:pPr>
          </w:p>
        </w:tc>
        <w:tc>
          <w:tcPr>
            <w:tcW w:w="132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24"/>
                <w:szCs w:val="24"/>
                <w:color w:val="auto"/>
              </w:rPr>
            </w:pPr>
          </w:p>
        </w:tc>
        <w:tc>
          <w:tcPr>
            <w:tcW w:w="1360" w:type="dxa"/>
            <w:vAlign w:val="bottom"/>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50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24"/>
                <w:szCs w:val="24"/>
                <w:color w:val="auto"/>
              </w:rPr>
            </w:pPr>
          </w:p>
        </w:tc>
        <w:tc>
          <w:tcPr>
            <w:tcW w:w="12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324"/>
        </w:trPr>
        <w:tc>
          <w:tcPr>
            <w:tcW w:w="5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270"/>
        </w:trPr>
        <w:tc>
          <w:tcPr>
            <w:tcW w:w="5160" w:type="dxa"/>
            <w:vAlign w:val="bottom"/>
            <w:shd w:val="clear" w:color="auto" w:fill="CCEEFF"/>
          </w:tcPr>
          <w:p>
            <w:pPr>
              <w:ind w:left="40"/>
              <w:spacing w:after="0"/>
              <w:rPr>
                <w:sz w:val="20"/>
                <w:szCs w:val="20"/>
                <w:color w:val="auto"/>
              </w:rPr>
            </w:pPr>
            <w:r>
              <w:rPr>
                <w:rFonts w:ascii="Arial" w:cs="Arial" w:eastAsia="Arial" w:hAnsi="Arial"/>
                <w:sz w:val="16"/>
                <w:szCs w:val="16"/>
                <w:b w:val="1"/>
                <w:bCs w:val="1"/>
                <w:color w:val="auto"/>
              </w:rPr>
              <w:t>Nine Months Ended September 30, 2016</w:t>
            </w:r>
          </w:p>
        </w:tc>
        <w:tc>
          <w:tcPr>
            <w:tcW w:w="220" w:type="dxa"/>
            <w:vAlign w:val="bottom"/>
            <w:shd w:val="clear" w:color="auto" w:fill="CCEEFF"/>
          </w:tcPr>
          <w:p>
            <w:pPr>
              <w:spacing w:after="0"/>
              <w:rPr>
                <w:sz w:val="23"/>
                <w:szCs w:val="23"/>
                <w:color w:val="auto"/>
              </w:rPr>
            </w:pPr>
          </w:p>
        </w:tc>
        <w:tc>
          <w:tcPr>
            <w:tcW w:w="13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360" w:type="dxa"/>
            <w:vAlign w:val="bottom"/>
            <w:shd w:val="clear" w:color="auto" w:fill="CCEEFF"/>
          </w:tcPr>
          <w:p>
            <w:pPr>
              <w:spacing w:after="0"/>
              <w:rPr>
                <w:sz w:val="23"/>
                <w:szCs w:val="23"/>
                <w:color w:val="auto"/>
              </w:rPr>
            </w:pPr>
          </w:p>
        </w:tc>
        <w:tc>
          <w:tcPr>
            <w:tcW w:w="500" w:type="dxa"/>
            <w:vAlign w:val="bottom"/>
            <w:shd w:val="clear" w:color="auto" w:fill="CCEEFF"/>
          </w:tcPr>
          <w:p>
            <w:pPr>
              <w:spacing w:after="0"/>
              <w:rPr>
                <w:sz w:val="23"/>
                <w:szCs w:val="23"/>
                <w:color w:val="auto"/>
              </w:rPr>
            </w:pPr>
          </w:p>
        </w:tc>
        <w:tc>
          <w:tcPr>
            <w:tcW w:w="108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280" w:type="dxa"/>
            <w:vAlign w:val="bottom"/>
            <w:shd w:val="clear" w:color="auto" w:fill="CCEEFF"/>
          </w:tcPr>
          <w:p>
            <w:pPr>
              <w:spacing w:after="0"/>
              <w:rPr>
                <w:sz w:val="23"/>
                <w:szCs w:val="23"/>
                <w:color w:val="auto"/>
              </w:rPr>
            </w:pPr>
          </w:p>
        </w:tc>
      </w:tr>
      <w:tr>
        <w:trPr>
          <w:trHeight w:val="270"/>
        </w:trPr>
        <w:tc>
          <w:tcPr>
            <w:tcW w:w="5160" w:type="dxa"/>
            <w:vAlign w:val="bottom"/>
          </w:tcPr>
          <w:p>
            <w:pPr>
              <w:ind w:left="40"/>
              <w:spacing w:after="0"/>
              <w:rPr>
                <w:sz w:val="20"/>
                <w:szCs w:val="20"/>
                <w:color w:val="auto"/>
              </w:rPr>
            </w:pPr>
            <w:r>
              <w:rPr>
                <w:rFonts w:ascii="Arial" w:cs="Arial" w:eastAsia="Arial" w:hAnsi="Arial"/>
                <w:sz w:val="16"/>
                <w:szCs w:val="16"/>
                <w:color w:val="auto"/>
              </w:rPr>
              <w:t xml:space="preserve">Total revenue </w:t>
            </w:r>
            <w:r>
              <w:rPr>
                <w:rFonts w:ascii="Arial" w:cs="Arial" w:eastAsia="Arial" w:hAnsi="Arial"/>
                <w:sz w:val="21"/>
                <w:szCs w:val="21"/>
                <w:color w:val="auto"/>
                <w:vertAlign w:val="superscript"/>
              </w:rPr>
              <w:t>(1)</w:t>
            </w: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320" w:type="dxa"/>
            <w:vAlign w:val="bottom"/>
          </w:tcPr>
          <w:p>
            <w:pPr>
              <w:jc w:val="right"/>
              <w:ind w:right="79"/>
              <w:spacing w:after="0"/>
              <w:rPr>
                <w:sz w:val="20"/>
                <w:szCs w:val="20"/>
                <w:color w:val="auto"/>
              </w:rPr>
            </w:pPr>
            <w:r>
              <w:rPr>
                <w:rFonts w:ascii="Arial" w:cs="Arial" w:eastAsia="Arial" w:hAnsi="Arial"/>
                <w:sz w:val="16"/>
                <w:szCs w:val="16"/>
                <w:color w:val="auto"/>
              </w:rPr>
              <w:t>12,835</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1360" w:type="dxa"/>
            <w:vAlign w:val="bottom"/>
          </w:tcPr>
          <w:p>
            <w:pPr>
              <w:jc w:val="right"/>
              <w:ind w:right="60"/>
              <w:spacing w:after="0"/>
              <w:rPr>
                <w:sz w:val="20"/>
                <w:szCs w:val="20"/>
                <w:color w:val="auto"/>
              </w:rPr>
            </w:pPr>
            <w:r>
              <w:rPr>
                <w:rFonts w:ascii="Arial" w:cs="Arial" w:eastAsia="Arial" w:hAnsi="Arial"/>
                <w:sz w:val="16"/>
                <w:szCs w:val="16"/>
                <w:color w:val="auto"/>
              </w:rPr>
              <w:t>146</w:t>
            </w:r>
          </w:p>
        </w:tc>
        <w:tc>
          <w:tcPr>
            <w:tcW w:w="500" w:type="dxa"/>
            <w:vAlign w:val="bottom"/>
          </w:tcPr>
          <w:p>
            <w:pPr>
              <w:jc w:val="right"/>
              <w:ind w:right="239"/>
              <w:spacing w:after="0"/>
              <w:rPr>
                <w:sz w:val="20"/>
                <w:szCs w:val="20"/>
                <w:color w:val="auto"/>
              </w:rPr>
            </w:pPr>
            <w:r>
              <w:rPr>
                <w:rFonts w:ascii="Arial" w:cs="Arial" w:eastAsia="Arial" w:hAnsi="Arial"/>
                <w:sz w:val="16"/>
                <w:szCs w:val="16"/>
                <w:color w:val="auto"/>
              </w:rPr>
              <w:t>$</w:t>
            </w:r>
          </w:p>
        </w:tc>
        <w:tc>
          <w:tcPr>
            <w:tcW w:w="1080" w:type="dxa"/>
            <w:vAlign w:val="bottom"/>
          </w:tcPr>
          <w:p>
            <w:pPr>
              <w:jc w:val="right"/>
              <w:ind w:right="59"/>
              <w:spacing w:after="0"/>
              <w:rPr>
                <w:sz w:val="20"/>
                <w:szCs w:val="20"/>
                <w:color w:val="auto"/>
              </w:rPr>
            </w:pPr>
            <w:r>
              <w:rPr>
                <w:rFonts w:ascii="Arial" w:cs="Arial" w:eastAsia="Arial" w:hAnsi="Arial"/>
                <w:sz w:val="16"/>
                <w:szCs w:val="16"/>
                <w:color w:val="auto"/>
              </w:rPr>
              <w:t>267</w:t>
            </w:r>
          </w:p>
        </w:tc>
        <w:tc>
          <w:tcPr>
            <w:tcW w:w="260" w:type="dxa"/>
            <w:vAlign w:val="bottom"/>
          </w:tcPr>
          <w:p>
            <w:pPr>
              <w:jc w:val="right"/>
              <w:spacing w:after="0"/>
              <w:rPr>
                <w:sz w:val="20"/>
                <w:szCs w:val="20"/>
                <w:color w:val="auto"/>
              </w:rPr>
            </w:pPr>
            <w:r>
              <w:rPr>
                <w:rFonts w:ascii="Arial" w:cs="Arial" w:eastAsia="Arial" w:hAnsi="Arial"/>
                <w:sz w:val="16"/>
                <w:szCs w:val="16"/>
                <w:color w:val="auto"/>
              </w:rPr>
              <w:t>$</w:t>
            </w:r>
          </w:p>
        </w:tc>
        <w:tc>
          <w:tcPr>
            <w:tcW w:w="1280" w:type="dxa"/>
            <w:vAlign w:val="bottom"/>
          </w:tcPr>
          <w:p>
            <w:pPr>
              <w:jc w:val="right"/>
              <w:ind w:right="19"/>
              <w:spacing w:after="0"/>
              <w:rPr>
                <w:sz w:val="20"/>
                <w:szCs w:val="20"/>
                <w:color w:val="auto"/>
              </w:rPr>
            </w:pPr>
            <w:r>
              <w:rPr>
                <w:rFonts w:ascii="Arial" w:cs="Arial" w:eastAsia="Arial" w:hAnsi="Arial"/>
                <w:sz w:val="16"/>
                <w:szCs w:val="16"/>
                <w:color w:val="auto"/>
              </w:rPr>
              <w:t>13,248</w:t>
            </w:r>
          </w:p>
        </w:tc>
      </w:tr>
      <w:tr>
        <w:trPr>
          <w:trHeight w:val="270"/>
        </w:trPr>
        <w:tc>
          <w:tcPr>
            <w:tcW w:w="5160" w:type="dxa"/>
            <w:vAlign w:val="bottom"/>
            <w:shd w:val="clear" w:color="auto" w:fill="CCEEFF"/>
          </w:tcPr>
          <w:p>
            <w:pPr>
              <w:ind w:left="40"/>
              <w:spacing w:after="0"/>
              <w:rPr>
                <w:sz w:val="20"/>
                <w:szCs w:val="20"/>
                <w:color w:val="auto"/>
              </w:rPr>
            </w:pPr>
            <w:r>
              <w:rPr>
                <w:rFonts w:ascii="Arial" w:cs="Arial" w:eastAsia="Arial" w:hAnsi="Arial"/>
                <w:sz w:val="16"/>
                <w:szCs w:val="16"/>
                <w:color w:val="auto"/>
              </w:rPr>
              <w:t>Gross margin</w:t>
            </w:r>
          </w:p>
        </w:tc>
        <w:tc>
          <w:tcPr>
            <w:tcW w:w="220" w:type="dxa"/>
            <w:vAlign w:val="bottom"/>
            <w:shd w:val="clear" w:color="auto" w:fill="CCEEFF"/>
          </w:tcPr>
          <w:p>
            <w:pPr>
              <w:spacing w:after="0"/>
              <w:rPr>
                <w:sz w:val="23"/>
                <w:szCs w:val="23"/>
                <w:color w:val="auto"/>
              </w:rPr>
            </w:pPr>
          </w:p>
        </w:tc>
        <w:tc>
          <w:tcPr>
            <w:tcW w:w="132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1,285</w:t>
            </w:r>
          </w:p>
        </w:tc>
        <w:tc>
          <w:tcPr>
            <w:tcW w:w="240" w:type="dxa"/>
            <w:vAlign w:val="bottom"/>
            <w:shd w:val="clear" w:color="auto" w:fill="CCEEFF"/>
          </w:tcPr>
          <w:p>
            <w:pPr>
              <w:spacing w:after="0"/>
              <w:rPr>
                <w:sz w:val="23"/>
                <w:szCs w:val="23"/>
                <w:color w:val="auto"/>
              </w:rPr>
            </w:pPr>
          </w:p>
        </w:tc>
        <w:tc>
          <w:tcPr>
            <w:tcW w:w="1360" w:type="dxa"/>
            <w:vAlign w:val="bottom"/>
            <w:shd w:val="clear" w:color="auto" w:fill="CCEEFF"/>
          </w:tcPr>
          <w:p>
            <w:pPr>
              <w:jc w:val="right"/>
              <w:ind w:right="60"/>
              <w:spacing w:after="0"/>
              <w:rPr>
                <w:sz w:val="20"/>
                <w:szCs w:val="20"/>
                <w:color w:val="auto"/>
              </w:rPr>
            </w:pPr>
            <w:r>
              <w:rPr>
                <w:rFonts w:ascii="Arial" w:cs="Arial" w:eastAsia="Arial" w:hAnsi="Arial"/>
                <w:sz w:val="16"/>
                <w:szCs w:val="16"/>
                <w:color w:val="auto"/>
              </w:rPr>
              <w:t>17</w:t>
            </w:r>
          </w:p>
        </w:tc>
        <w:tc>
          <w:tcPr>
            <w:tcW w:w="500" w:type="dxa"/>
            <w:vAlign w:val="bottom"/>
            <w:shd w:val="clear" w:color="auto" w:fill="CCEEFF"/>
          </w:tcPr>
          <w:p>
            <w:pPr>
              <w:spacing w:after="0"/>
              <w:rPr>
                <w:sz w:val="23"/>
                <w:szCs w:val="23"/>
                <w:color w:val="auto"/>
              </w:rPr>
            </w:pPr>
          </w:p>
        </w:tc>
        <w:tc>
          <w:tcPr>
            <w:tcW w:w="108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29</w:t>
            </w:r>
          </w:p>
        </w:tc>
        <w:tc>
          <w:tcPr>
            <w:tcW w:w="260" w:type="dxa"/>
            <w:vAlign w:val="bottom"/>
            <w:shd w:val="clear" w:color="auto" w:fill="CCEEFF"/>
          </w:tcPr>
          <w:p>
            <w:pPr>
              <w:spacing w:after="0"/>
              <w:rPr>
                <w:sz w:val="23"/>
                <w:szCs w:val="23"/>
                <w:color w:val="auto"/>
              </w:rPr>
            </w:pPr>
          </w:p>
        </w:tc>
        <w:tc>
          <w:tcPr>
            <w:tcW w:w="12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1,331</w:t>
            </w:r>
          </w:p>
        </w:tc>
      </w:tr>
      <w:tr>
        <w:trPr>
          <w:trHeight w:val="262"/>
        </w:trPr>
        <w:tc>
          <w:tcPr>
            <w:tcW w:w="5160" w:type="dxa"/>
            <w:vAlign w:val="bottom"/>
          </w:tcPr>
          <w:p>
            <w:pPr>
              <w:ind w:left="40"/>
              <w:spacing w:after="0"/>
              <w:rPr>
                <w:sz w:val="20"/>
                <w:szCs w:val="20"/>
                <w:color w:val="auto"/>
              </w:rPr>
            </w:pPr>
            <w:r>
              <w:rPr>
                <w:rFonts w:ascii="Arial" w:cs="Arial" w:eastAsia="Arial" w:hAnsi="Arial"/>
                <w:sz w:val="16"/>
                <w:szCs w:val="16"/>
                <w:color w:val="auto"/>
              </w:rPr>
              <w:t>Impairment losses</w:t>
            </w:r>
          </w:p>
        </w:tc>
        <w:tc>
          <w:tcPr>
            <w:tcW w:w="220" w:type="dxa"/>
            <w:vAlign w:val="bottom"/>
          </w:tcPr>
          <w:p>
            <w:pPr>
              <w:spacing w:after="0"/>
              <w:rPr>
                <w:sz w:val="22"/>
                <w:szCs w:val="22"/>
                <w:color w:val="auto"/>
              </w:rPr>
            </w:pPr>
          </w:p>
        </w:tc>
        <w:tc>
          <w:tcPr>
            <w:tcW w:w="132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2"/>
                <w:szCs w:val="22"/>
                <w:color w:val="auto"/>
              </w:rPr>
            </w:pPr>
          </w:p>
        </w:tc>
        <w:tc>
          <w:tcPr>
            <w:tcW w:w="1360" w:type="dxa"/>
            <w:vAlign w:val="bottom"/>
          </w:tcPr>
          <w:p>
            <w:pPr>
              <w:jc w:val="right"/>
              <w:ind w:right="60"/>
              <w:spacing w:after="0"/>
              <w:rPr>
                <w:sz w:val="20"/>
                <w:szCs w:val="20"/>
                <w:color w:val="auto"/>
              </w:rPr>
            </w:pPr>
            <w:r>
              <w:rPr>
                <w:rFonts w:ascii="Arial" w:cs="Arial" w:eastAsia="Arial" w:hAnsi="Arial"/>
                <w:sz w:val="16"/>
                <w:szCs w:val="16"/>
                <w:color w:val="auto"/>
              </w:rPr>
              <w:t>—</w:t>
            </w:r>
          </w:p>
        </w:tc>
        <w:tc>
          <w:tcPr>
            <w:tcW w:w="500" w:type="dxa"/>
            <w:vAlign w:val="bottom"/>
          </w:tcPr>
          <w:p>
            <w:pPr>
              <w:spacing w:after="0"/>
              <w:rPr>
                <w:sz w:val="22"/>
                <w:szCs w:val="22"/>
                <w:color w:val="auto"/>
              </w:rPr>
            </w:pPr>
          </w:p>
        </w:tc>
        <w:tc>
          <w:tcPr>
            <w:tcW w:w="108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2"/>
                <w:szCs w:val="22"/>
                <w:color w:val="auto"/>
              </w:rPr>
            </w:pPr>
          </w:p>
        </w:tc>
        <w:tc>
          <w:tcPr>
            <w:tcW w:w="128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278"/>
        </w:trPr>
        <w:tc>
          <w:tcPr>
            <w:tcW w:w="5160" w:type="dxa"/>
            <w:vAlign w:val="bottom"/>
            <w:shd w:val="clear" w:color="auto" w:fill="CCEEFF"/>
          </w:tcPr>
          <w:p>
            <w:pPr>
              <w:ind w:left="40"/>
              <w:spacing w:after="0"/>
              <w:rPr>
                <w:sz w:val="20"/>
                <w:szCs w:val="20"/>
                <w:color w:val="auto"/>
              </w:rPr>
            </w:pPr>
            <w:r>
              <w:rPr>
                <w:rFonts w:ascii="Arial" w:cs="Arial" w:eastAsia="Arial" w:hAnsi="Arial"/>
                <w:sz w:val="16"/>
                <w:szCs w:val="16"/>
                <w:color w:val="auto"/>
              </w:rPr>
              <w:t>Restructuring and separation costs</w:t>
            </w:r>
          </w:p>
        </w:tc>
        <w:tc>
          <w:tcPr>
            <w:tcW w:w="220" w:type="dxa"/>
            <w:vAlign w:val="bottom"/>
            <w:shd w:val="clear" w:color="auto" w:fill="CCEEFF"/>
          </w:tcPr>
          <w:p>
            <w:pPr>
              <w:spacing w:after="0"/>
              <w:rPr>
                <w:sz w:val="24"/>
                <w:szCs w:val="24"/>
                <w:color w:val="auto"/>
              </w:rPr>
            </w:pPr>
          </w:p>
        </w:tc>
        <w:tc>
          <w:tcPr>
            <w:tcW w:w="132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24"/>
                <w:szCs w:val="24"/>
                <w:color w:val="auto"/>
              </w:rPr>
            </w:pPr>
          </w:p>
        </w:tc>
        <w:tc>
          <w:tcPr>
            <w:tcW w:w="1360" w:type="dxa"/>
            <w:vAlign w:val="bottom"/>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50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24"/>
                <w:szCs w:val="24"/>
                <w:color w:val="auto"/>
              </w:rPr>
            </w:pPr>
          </w:p>
        </w:tc>
        <w:tc>
          <w:tcPr>
            <w:tcW w:w="12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324"/>
        </w:trPr>
        <w:tc>
          <w:tcPr>
            <w:tcW w:w="5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270"/>
        </w:trPr>
        <w:tc>
          <w:tcPr>
            <w:tcW w:w="5160" w:type="dxa"/>
            <w:vAlign w:val="bottom"/>
            <w:shd w:val="clear" w:color="auto" w:fill="CCEEFF"/>
          </w:tcPr>
          <w:p>
            <w:pPr>
              <w:ind w:left="40"/>
              <w:spacing w:after="0"/>
              <w:rPr>
                <w:sz w:val="20"/>
                <w:szCs w:val="20"/>
                <w:color w:val="auto"/>
              </w:rPr>
            </w:pPr>
            <w:r>
              <w:rPr>
                <w:rFonts w:ascii="Arial" w:cs="Arial" w:eastAsia="Arial" w:hAnsi="Arial"/>
                <w:sz w:val="16"/>
                <w:szCs w:val="16"/>
                <w:b w:val="1"/>
                <w:bCs w:val="1"/>
                <w:color w:val="auto"/>
              </w:rPr>
              <w:t>Total assets</w:t>
            </w:r>
          </w:p>
        </w:tc>
        <w:tc>
          <w:tcPr>
            <w:tcW w:w="220" w:type="dxa"/>
            <w:vAlign w:val="bottom"/>
            <w:shd w:val="clear" w:color="auto" w:fill="CCEEFF"/>
          </w:tcPr>
          <w:p>
            <w:pPr>
              <w:spacing w:after="0"/>
              <w:rPr>
                <w:sz w:val="23"/>
                <w:szCs w:val="23"/>
                <w:color w:val="auto"/>
              </w:rPr>
            </w:pPr>
          </w:p>
        </w:tc>
        <w:tc>
          <w:tcPr>
            <w:tcW w:w="13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360" w:type="dxa"/>
            <w:vAlign w:val="bottom"/>
            <w:shd w:val="clear" w:color="auto" w:fill="CCEEFF"/>
          </w:tcPr>
          <w:p>
            <w:pPr>
              <w:spacing w:after="0"/>
              <w:rPr>
                <w:sz w:val="23"/>
                <w:szCs w:val="23"/>
                <w:color w:val="auto"/>
              </w:rPr>
            </w:pPr>
          </w:p>
        </w:tc>
        <w:tc>
          <w:tcPr>
            <w:tcW w:w="500" w:type="dxa"/>
            <w:vAlign w:val="bottom"/>
            <w:shd w:val="clear" w:color="auto" w:fill="CCEEFF"/>
          </w:tcPr>
          <w:p>
            <w:pPr>
              <w:spacing w:after="0"/>
              <w:rPr>
                <w:sz w:val="23"/>
                <w:szCs w:val="23"/>
                <w:color w:val="auto"/>
              </w:rPr>
            </w:pPr>
          </w:p>
        </w:tc>
        <w:tc>
          <w:tcPr>
            <w:tcW w:w="108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280" w:type="dxa"/>
            <w:vAlign w:val="bottom"/>
            <w:shd w:val="clear" w:color="auto" w:fill="CCEEFF"/>
          </w:tcPr>
          <w:p>
            <w:pPr>
              <w:spacing w:after="0"/>
              <w:rPr>
                <w:sz w:val="23"/>
                <w:szCs w:val="23"/>
                <w:color w:val="auto"/>
              </w:rPr>
            </w:pPr>
          </w:p>
        </w:tc>
      </w:tr>
      <w:tr>
        <w:trPr>
          <w:trHeight w:val="262"/>
        </w:trPr>
        <w:tc>
          <w:tcPr>
            <w:tcW w:w="5160" w:type="dxa"/>
            <w:vAlign w:val="bottom"/>
          </w:tcPr>
          <w:p>
            <w:pPr>
              <w:ind w:left="40"/>
              <w:spacing w:after="0"/>
              <w:rPr>
                <w:sz w:val="20"/>
                <w:szCs w:val="20"/>
                <w:color w:val="auto"/>
              </w:rPr>
            </w:pPr>
            <w:r>
              <w:rPr>
                <w:rFonts w:ascii="Arial" w:cs="Arial" w:eastAsia="Arial" w:hAnsi="Arial"/>
                <w:sz w:val="16"/>
                <w:szCs w:val="16"/>
                <w:color w:val="auto"/>
              </w:rPr>
              <w:t>September 30, 2017</w:t>
            </w: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320" w:type="dxa"/>
            <w:vAlign w:val="bottom"/>
          </w:tcPr>
          <w:p>
            <w:pPr>
              <w:jc w:val="right"/>
              <w:ind w:right="79"/>
              <w:spacing w:after="0"/>
              <w:rPr>
                <w:sz w:val="20"/>
                <w:szCs w:val="20"/>
                <w:color w:val="auto"/>
              </w:rPr>
            </w:pPr>
            <w:r>
              <w:rPr>
                <w:rFonts w:ascii="Arial" w:cs="Arial" w:eastAsia="Arial" w:hAnsi="Arial"/>
                <w:sz w:val="16"/>
                <w:szCs w:val="16"/>
                <w:color w:val="auto"/>
              </w:rPr>
              <w:t>7,031</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1360" w:type="dxa"/>
            <w:vAlign w:val="bottom"/>
          </w:tcPr>
          <w:p>
            <w:pPr>
              <w:jc w:val="right"/>
              <w:ind w:right="60"/>
              <w:spacing w:after="0"/>
              <w:rPr>
                <w:sz w:val="20"/>
                <w:szCs w:val="20"/>
                <w:color w:val="auto"/>
              </w:rPr>
            </w:pPr>
            <w:r>
              <w:rPr>
                <w:rFonts w:ascii="Arial" w:cs="Arial" w:eastAsia="Arial" w:hAnsi="Arial"/>
                <w:sz w:val="16"/>
                <w:szCs w:val="16"/>
                <w:color w:val="auto"/>
              </w:rPr>
              <w:t>233</w:t>
            </w:r>
          </w:p>
        </w:tc>
        <w:tc>
          <w:tcPr>
            <w:tcW w:w="500" w:type="dxa"/>
            <w:vAlign w:val="bottom"/>
          </w:tcPr>
          <w:p>
            <w:pPr>
              <w:jc w:val="right"/>
              <w:ind w:right="239"/>
              <w:spacing w:after="0"/>
              <w:rPr>
                <w:sz w:val="20"/>
                <w:szCs w:val="20"/>
                <w:color w:val="auto"/>
              </w:rPr>
            </w:pPr>
            <w:r>
              <w:rPr>
                <w:rFonts w:ascii="Arial" w:cs="Arial" w:eastAsia="Arial" w:hAnsi="Arial"/>
                <w:sz w:val="16"/>
                <w:szCs w:val="16"/>
                <w:color w:val="auto"/>
              </w:rPr>
              <w:t>$</w:t>
            </w:r>
          </w:p>
        </w:tc>
        <w:tc>
          <w:tcPr>
            <w:tcW w:w="1080" w:type="dxa"/>
            <w:vAlign w:val="bottom"/>
          </w:tcPr>
          <w:p>
            <w:pPr>
              <w:jc w:val="right"/>
              <w:ind w:right="59"/>
              <w:spacing w:after="0"/>
              <w:rPr>
                <w:sz w:val="20"/>
                <w:szCs w:val="20"/>
                <w:color w:val="auto"/>
              </w:rPr>
            </w:pPr>
            <w:r>
              <w:rPr>
                <w:rFonts w:ascii="Arial" w:cs="Arial" w:eastAsia="Arial" w:hAnsi="Arial"/>
                <w:sz w:val="16"/>
                <w:szCs w:val="16"/>
                <w:color w:val="auto"/>
              </w:rPr>
              <w:t>1,690</w:t>
            </w:r>
          </w:p>
        </w:tc>
        <w:tc>
          <w:tcPr>
            <w:tcW w:w="260" w:type="dxa"/>
            <w:vAlign w:val="bottom"/>
          </w:tcPr>
          <w:p>
            <w:pPr>
              <w:jc w:val="right"/>
              <w:spacing w:after="0"/>
              <w:rPr>
                <w:sz w:val="20"/>
                <w:szCs w:val="20"/>
                <w:color w:val="auto"/>
              </w:rPr>
            </w:pPr>
            <w:r>
              <w:rPr>
                <w:rFonts w:ascii="Arial" w:cs="Arial" w:eastAsia="Arial" w:hAnsi="Arial"/>
                <w:sz w:val="16"/>
                <w:szCs w:val="16"/>
                <w:color w:val="auto"/>
              </w:rPr>
              <w:t>$</w:t>
            </w:r>
          </w:p>
        </w:tc>
        <w:tc>
          <w:tcPr>
            <w:tcW w:w="1280" w:type="dxa"/>
            <w:vAlign w:val="bottom"/>
          </w:tcPr>
          <w:p>
            <w:pPr>
              <w:jc w:val="right"/>
              <w:ind w:right="19"/>
              <w:spacing w:after="0"/>
              <w:rPr>
                <w:sz w:val="20"/>
                <w:szCs w:val="20"/>
                <w:color w:val="auto"/>
              </w:rPr>
            </w:pPr>
            <w:r>
              <w:rPr>
                <w:rFonts w:ascii="Arial" w:cs="Arial" w:eastAsia="Arial" w:hAnsi="Arial"/>
                <w:sz w:val="16"/>
                <w:szCs w:val="16"/>
                <w:color w:val="auto"/>
              </w:rPr>
              <w:t>8,954</w:t>
            </w:r>
          </w:p>
        </w:tc>
      </w:tr>
      <w:tr>
        <w:trPr>
          <w:trHeight w:val="278"/>
        </w:trPr>
        <w:tc>
          <w:tcPr>
            <w:tcW w:w="5160" w:type="dxa"/>
            <w:vAlign w:val="bottom"/>
            <w:shd w:val="clear" w:color="auto" w:fill="CCEEFF"/>
          </w:tcPr>
          <w:p>
            <w:pPr>
              <w:ind w:left="40"/>
              <w:spacing w:after="0"/>
              <w:rPr>
                <w:sz w:val="20"/>
                <w:szCs w:val="20"/>
                <w:color w:val="auto"/>
              </w:rPr>
            </w:pPr>
            <w:r>
              <w:rPr>
                <w:rFonts w:ascii="Arial" w:cs="Arial" w:eastAsia="Arial" w:hAnsi="Arial"/>
                <w:sz w:val="16"/>
                <w:szCs w:val="16"/>
                <w:color w:val="auto"/>
              </w:rPr>
              <w:t>December 31, 2016</w:t>
            </w:r>
          </w:p>
        </w:tc>
        <w:tc>
          <w:tcPr>
            <w:tcW w:w="220" w:type="dxa"/>
            <w:vAlign w:val="bottom"/>
            <w:shd w:val="clear" w:color="auto" w:fill="CCEEFF"/>
          </w:tcPr>
          <w:p>
            <w:pPr>
              <w:spacing w:after="0"/>
              <w:rPr>
                <w:sz w:val="24"/>
                <w:szCs w:val="24"/>
                <w:color w:val="auto"/>
              </w:rPr>
            </w:pPr>
          </w:p>
        </w:tc>
        <w:tc>
          <w:tcPr>
            <w:tcW w:w="132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5,897</w:t>
            </w:r>
          </w:p>
        </w:tc>
        <w:tc>
          <w:tcPr>
            <w:tcW w:w="240" w:type="dxa"/>
            <w:vAlign w:val="bottom"/>
            <w:shd w:val="clear" w:color="auto" w:fill="CCEEFF"/>
          </w:tcPr>
          <w:p>
            <w:pPr>
              <w:spacing w:after="0"/>
              <w:rPr>
                <w:sz w:val="24"/>
                <w:szCs w:val="24"/>
                <w:color w:val="auto"/>
              </w:rPr>
            </w:pPr>
          </w:p>
        </w:tc>
        <w:tc>
          <w:tcPr>
            <w:tcW w:w="1360" w:type="dxa"/>
            <w:vAlign w:val="bottom"/>
            <w:shd w:val="clear" w:color="auto" w:fill="CCEEFF"/>
          </w:tcPr>
          <w:p>
            <w:pPr>
              <w:jc w:val="right"/>
              <w:ind w:right="60"/>
              <w:spacing w:after="0"/>
              <w:rPr>
                <w:sz w:val="20"/>
                <w:szCs w:val="20"/>
                <w:color w:val="auto"/>
              </w:rPr>
            </w:pPr>
            <w:r>
              <w:rPr>
                <w:rFonts w:ascii="Arial" w:cs="Arial" w:eastAsia="Arial" w:hAnsi="Arial"/>
                <w:sz w:val="16"/>
                <w:szCs w:val="16"/>
                <w:color w:val="auto"/>
              </w:rPr>
              <w:t>267</w:t>
            </w:r>
          </w:p>
        </w:tc>
        <w:tc>
          <w:tcPr>
            <w:tcW w:w="50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1,285</w:t>
            </w:r>
          </w:p>
        </w:tc>
        <w:tc>
          <w:tcPr>
            <w:tcW w:w="260" w:type="dxa"/>
            <w:vAlign w:val="bottom"/>
            <w:shd w:val="clear" w:color="auto" w:fill="CCEEFF"/>
          </w:tcPr>
          <w:p>
            <w:pPr>
              <w:spacing w:after="0"/>
              <w:rPr>
                <w:sz w:val="24"/>
                <w:szCs w:val="24"/>
                <w:color w:val="auto"/>
              </w:rPr>
            </w:pPr>
          </w:p>
        </w:tc>
        <w:tc>
          <w:tcPr>
            <w:tcW w:w="12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7,449</w:t>
            </w:r>
          </w:p>
        </w:tc>
      </w:tr>
      <w:tr>
        <w:trPr>
          <w:trHeight w:val="324"/>
        </w:trPr>
        <w:tc>
          <w:tcPr>
            <w:tcW w:w="5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270"/>
        </w:trPr>
        <w:tc>
          <w:tcPr>
            <w:tcW w:w="5160" w:type="dxa"/>
            <w:vAlign w:val="bottom"/>
            <w:shd w:val="clear" w:color="auto" w:fill="CCEEFF"/>
          </w:tcPr>
          <w:p>
            <w:pPr>
              <w:ind w:left="40"/>
              <w:spacing w:after="0"/>
              <w:rPr>
                <w:sz w:val="20"/>
                <w:szCs w:val="20"/>
                <w:color w:val="auto"/>
              </w:rPr>
            </w:pPr>
            <w:r>
              <w:rPr>
                <w:rFonts w:ascii="Arial" w:cs="Arial" w:eastAsia="Arial" w:hAnsi="Arial"/>
                <w:sz w:val="16"/>
                <w:szCs w:val="16"/>
                <w:b w:val="1"/>
                <w:bCs w:val="1"/>
                <w:color w:val="auto"/>
              </w:rPr>
              <w:t>Goodwill and intangible assets, net</w:t>
            </w:r>
          </w:p>
        </w:tc>
        <w:tc>
          <w:tcPr>
            <w:tcW w:w="220" w:type="dxa"/>
            <w:vAlign w:val="bottom"/>
            <w:shd w:val="clear" w:color="auto" w:fill="CCEEFF"/>
          </w:tcPr>
          <w:p>
            <w:pPr>
              <w:spacing w:after="0"/>
              <w:rPr>
                <w:sz w:val="23"/>
                <w:szCs w:val="23"/>
                <w:color w:val="auto"/>
              </w:rPr>
            </w:pPr>
          </w:p>
        </w:tc>
        <w:tc>
          <w:tcPr>
            <w:tcW w:w="13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360" w:type="dxa"/>
            <w:vAlign w:val="bottom"/>
            <w:shd w:val="clear" w:color="auto" w:fill="CCEEFF"/>
          </w:tcPr>
          <w:p>
            <w:pPr>
              <w:spacing w:after="0"/>
              <w:rPr>
                <w:sz w:val="23"/>
                <w:szCs w:val="23"/>
                <w:color w:val="auto"/>
              </w:rPr>
            </w:pPr>
          </w:p>
        </w:tc>
        <w:tc>
          <w:tcPr>
            <w:tcW w:w="500" w:type="dxa"/>
            <w:vAlign w:val="bottom"/>
            <w:shd w:val="clear" w:color="auto" w:fill="CCEEFF"/>
          </w:tcPr>
          <w:p>
            <w:pPr>
              <w:spacing w:after="0"/>
              <w:rPr>
                <w:sz w:val="23"/>
                <w:szCs w:val="23"/>
                <w:color w:val="auto"/>
              </w:rPr>
            </w:pPr>
          </w:p>
        </w:tc>
        <w:tc>
          <w:tcPr>
            <w:tcW w:w="108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280" w:type="dxa"/>
            <w:vAlign w:val="bottom"/>
            <w:shd w:val="clear" w:color="auto" w:fill="CCEEFF"/>
          </w:tcPr>
          <w:p>
            <w:pPr>
              <w:spacing w:after="0"/>
              <w:rPr>
                <w:sz w:val="23"/>
                <w:szCs w:val="23"/>
                <w:color w:val="auto"/>
              </w:rPr>
            </w:pPr>
          </w:p>
        </w:tc>
      </w:tr>
      <w:tr>
        <w:trPr>
          <w:trHeight w:val="262"/>
        </w:trPr>
        <w:tc>
          <w:tcPr>
            <w:tcW w:w="5160" w:type="dxa"/>
            <w:vAlign w:val="bottom"/>
          </w:tcPr>
          <w:p>
            <w:pPr>
              <w:ind w:left="40"/>
              <w:spacing w:after="0"/>
              <w:rPr>
                <w:sz w:val="20"/>
                <w:szCs w:val="20"/>
                <w:color w:val="auto"/>
              </w:rPr>
            </w:pPr>
            <w:r>
              <w:rPr>
                <w:rFonts w:ascii="Arial" w:cs="Arial" w:eastAsia="Arial" w:hAnsi="Arial"/>
                <w:sz w:val="16"/>
                <w:szCs w:val="16"/>
                <w:color w:val="auto"/>
              </w:rPr>
              <w:t>September 30, 2017</w:t>
            </w: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320" w:type="dxa"/>
            <w:vAlign w:val="bottom"/>
          </w:tcPr>
          <w:p>
            <w:pPr>
              <w:jc w:val="right"/>
              <w:ind w:right="79"/>
              <w:spacing w:after="0"/>
              <w:rPr>
                <w:sz w:val="20"/>
                <w:szCs w:val="20"/>
                <w:color w:val="auto"/>
              </w:rPr>
            </w:pPr>
            <w:r>
              <w:rPr>
                <w:rFonts w:ascii="Arial" w:cs="Arial" w:eastAsia="Arial" w:hAnsi="Arial"/>
                <w:sz w:val="16"/>
                <w:szCs w:val="16"/>
                <w:color w:val="auto"/>
              </w:rPr>
              <w:t>488</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1360" w:type="dxa"/>
            <w:vAlign w:val="bottom"/>
          </w:tcPr>
          <w:p>
            <w:pPr>
              <w:jc w:val="right"/>
              <w:ind w:right="60"/>
              <w:spacing w:after="0"/>
              <w:rPr>
                <w:sz w:val="20"/>
                <w:szCs w:val="20"/>
                <w:color w:val="auto"/>
              </w:rPr>
            </w:pPr>
            <w:r>
              <w:rPr>
                <w:rFonts w:ascii="Arial" w:cs="Arial" w:eastAsia="Arial" w:hAnsi="Arial"/>
                <w:sz w:val="16"/>
                <w:szCs w:val="16"/>
                <w:color w:val="auto"/>
              </w:rPr>
              <w:t>43</w:t>
            </w:r>
          </w:p>
        </w:tc>
        <w:tc>
          <w:tcPr>
            <w:tcW w:w="500" w:type="dxa"/>
            <w:vAlign w:val="bottom"/>
          </w:tcPr>
          <w:p>
            <w:pPr>
              <w:jc w:val="right"/>
              <w:ind w:right="239"/>
              <w:spacing w:after="0"/>
              <w:rPr>
                <w:sz w:val="20"/>
                <w:szCs w:val="20"/>
                <w:color w:val="auto"/>
              </w:rPr>
            </w:pPr>
            <w:r>
              <w:rPr>
                <w:rFonts w:ascii="Arial" w:cs="Arial" w:eastAsia="Arial" w:hAnsi="Arial"/>
                <w:sz w:val="16"/>
                <w:szCs w:val="16"/>
                <w:color w:val="auto"/>
              </w:rPr>
              <w:t>$</w:t>
            </w:r>
          </w:p>
        </w:tc>
        <w:tc>
          <w:tcPr>
            <w:tcW w:w="108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260" w:type="dxa"/>
            <w:vAlign w:val="bottom"/>
          </w:tcPr>
          <w:p>
            <w:pPr>
              <w:jc w:val="right"/>
              <w:spacing w:after="0"/>
              <w:rPr>
                <w:sz w:val="20"/>
                <w:szCs w:val="20"/>
                <w:color w:val="auto"/>
              </w:rPr>
            </w:pPr>
            <w:r>
              <w:rPr>
                <w:rFonts w:ascii="Arial" w:cs="Arial" w:eastAsia="Arial" w:hAnsi="Arial"/>
                <w:sz w:val="16"/>
                <w:szCs w:val="16"/>
                <w:color w:val="auto"/>
              </w:rPr>
              <w:t>$</w:t>
            </w:r>
          </w:p>
        </w:tc>
        <w:tc>
          <w:tcPr>
            <w:tcW w:w="1280" w:type="dxa"/>
            <w:vAlign w:val="bottom"/>
          </w:tcPr>
          <w:p>
            <w:pPr>
              <w:jc w:val="right"/>
              <w:ind w:right="19"/>
              <w:spacing w:after="0"/>
              <w:rPr>
                <w:sz w:val="20"/>
                <w:szCs w:val="20"/>
                <w:color w:val="auto"/>
              </w:rPr>
            </w:pPr>
            <w:r>
              <w:rPr>
                <w:rFonts w:ascii="Arial" w:cs="Arial" w:eastAsia="Arial" w:hAnsi="Arial"/>
                <w:sz w:val="16"/>
                <w:szCs w:val="16"/>
                <w:color w:val="auto"/>
              </w:rPr>
              <w:t>531</w:t>
            </w:r>
          </w:p>
        </w:tc>
      </w:tr>
      <w:tr>
        <w:trPr>
          <w:trHeight w:val="278"/>
        </w:trPr>
        <w:tc>
          <w:tcPr>
            <w:tcW w:w="5160" w:type="dxa"/>
            <w:vAlign w:val="bottom"/>
            <w:shd w:val="clear" w:color="auto" w:fill="CCEEFF"/>
          </w:tcPr>
          <w:p>
            <w:pPr>
              <w:ind w:left="40"/>
              <w:spacing w:after="0"/>
              <w:rPr>
                <w:sz w:val="20"/>
                <w:szCs w:val="20"/>
                <w:color w:val="auto"/>
              </w:rPr>
            </w:pPr>
            <w:r>
              <w:rPr>
                <w:rFonts w:ascii="Arial" w:cs="Arial" w:eastAsia="Arial" w:hAnsi="Arial"/>
                <w:sz w:val="16"/>
                <w:szCs w:val="16"/>
                <w:color w:val="auto"/>
              </w:rPr>
              <w:t>December 31, 2016</w:t>
            </w:r>
          </w:p>
        </w:tc>
        <w:tc>
          <w:tcPr>
            <w:tcW w:w="220" w:type="dxa"/>
            <w:vAlign w:val="bottom"/>
            <w:shd w:val="clear" w:color="auto" w:fill="CCEEFF"/>
          </w:tcPr>
          <w:p>
            <w:pPr>
              <w:spacing w:after="0"/>
              <w:rPr>
                <w:sz w:val="24"/>
                <w:szCs w:val="24"/>
                <w:color w:val="auto"/>
              </w:rPr>
            </w:pPr>
          </w:p>
        </w:tc>
        <w:tc>
          <w:tcPr>
            <w:tcW w:w="132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513</w:t>
            </w:r>
          </w:p>
        </w:tc>
        <w:tc>
          <w:tcPr>
            <w:tcW w:w="240" w:type="dxa"/>
            <w:vAlign w:val="bottom"/>
            <w:shd w:val="clear" w:color="auto" w:fill="CCEEFF"/>
          </w:tcPr>
          <w:p>
            <w:pPr>
              <w:spacing w:after="0"/>
              <w:rPr>
                <w:sz w:val="24"/>
                <w:szCs w:val="24"/>
                <w:color w:val="auto"/>
              </w:rPr>
            </w:pPr>
          </w:p>
        </w:tc>
        <w:tc>
          <w:tcPr>
            <w:tcW w:w="1360" w:type="dxa"/>
            <w:vAlign w:val="bottom"/>
            <w:shd w:val="clear" w:color="auto" w:fill="CCEEFF"/>
          </w:tcPr>
          <w:p>
            <w:pPr>
              <w:jc w:val="right"/>
              <w:ind w:right="60"/>
              <w:spacing w:after="0"/>
              <w:rPr>
                <w:sz w:val="20"/>
                <w:szCs w:val="20"/>
                <w:color w:val="auto"/>
              </w:rPr>
            </w:pPr>
            <w:r>
              <w:rPr>
                <w:rFonts w:ascii="Arial" w:cs="Arial" w:eastAsia="Arial" w:hAnsi="Arial"/>
                <w:sz w:val="16"/>
                <w:szCs w:val="16"/>
                <w:color w:val="auto"/>
              </w:rPr>
              <w:t>72</w:t>
            </w:r>
          </w:p>
        </w:tc>
        <w:tc>
          <w:tcPr>
            <w:tcW w:w="50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175</w:t>
            </w:r>
          </w:p>
        </w:tc>
        <w:tc>
          <w:tcPr>
            <w:tcW w:w="260" w:type="dxa"/>
            <w:vAlign w:val="bottom"/>
            <w:shd w:val="clear" w:color="auto" w:fill="CCEEFF"/>
          </w:tcPr>
          <w:p>
            <w:pPr>
              <w:spacing w:after="0"/>
              <w:rPr>
                <w:sz w:val="24"/>
                <w:szCs w:val="24"/>
                <w:color w:val="auto"/>
              </w:rPr>
            </w:pPr>
          </w:p>
        </w:tc>
        <w:tc>
          <w:tcPr>
            <w:tcW w:w="12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760</w:t>
            </w:r>
          </w:p>
        </w:tc>
      </w:tr>
      <w:tr>
        <w:trPr>
          <w:trHeight w:val="243"/>
        </w:trPr>
        <w:tc>
          <w:tcPr>
            <w:tcW w:w="5160" w:type="dxa"/>
            <w:vAlign w:val="bottom"/>
          </w:tcPr>
          <w:p>
            <w:pPr>
              <w:spacing w:after="0"/>
              <w:rPr>
                <w:sz w:val="20"/>
                <w:szCs w:val="20"/>
                <w:color w:val="auto"/>
              </w:rPr>
            </w:pPr>
            <w:r>
              <w:rPr>
                <w:rFonts w:ascii="Arial" w:cs="Arial" w:eastAsia="Arial" w:hAnsi="Arial"/>
                <w:sz w:val="18"/>
                <w:szCs w:val="18"/>
                <w:color w:val="auto"/>
              </w:rPr>
              <w:t>______________________</w:t>
            </w:r>
          </w:p>
        </w:tc>
        <w:tc>
          <w:tcPr>
            <w:tcW w:w="22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80" w:type="dxa"/>
            <w:vAlign w:val="bottom"/>
          </w:tcPr>
          <w:p>
            <w:pPr>
              <w:spacing w:after="0"/>
              <w:rPr>
                <w:sz w:val="21"/>
                <w:szCs w:val="21"/>
                <w:color w:val="auto"/>
              </w:rPr>
            </w:pPr>
          </w:p>
        </w:tc>
      </w:tr>
    </w:tbl>
    <w:p>
      <w:pPr>
        <w:spacing w:after="0" w:line="63" w:lineRule="exact"/>
        <w:rPr>
          <w:sz w:val="20"/>
          <w:szCs w:val="20"/>
          <w:color w:val="auto"/>
        </w:rPr>
      </w:pPr>
    </w:p>
    <w:p>
      <w:pPr>
        <w:ind w:left="340" w:right="440" w:hanging="332"/>
        <w:spacing w:after="0" w:line="291" w:lineRule="auto"/>
        <w:tabs>
          <w:tab w:leader="none" w:pos="340" w:val="left"/>
        </w:tabs>
        <w:numPr>
          <w:ilvl w:val="0"/>
          <w:numId w:val="8"/>
        </w:numPr>
        <w:rPr>
          <w:rFonts w:ascii="Arial" w:cs="Arial" w:eastAsia="Arial" w:hAnsi="Arial"/>
          <w:sz w:val="16"/>
          <w:szCs w:val="16"/>
          <w:color w:val="auto"/>
        </w:rPr>
      </w:pPr>
      <w:r>
        <w:rPr>
          <w:rFonts w:ascii="Arial" w:cs="Arial" w:eastAsia="Arial" w:hAnsi="Arial"/>
          <w:sz w:val="16"/>
          <w:szCs w:val="16"/>
          <w:color w:val="auto"/>
        </w:rPr>
        <w:t>Total revenue consists primarily of premium revenue, premium tax revenue and health insurer fee revenue for the Health Plans segment, and service revenue for the Molina Medicaid Solutions and Other segments. Inter-segment revenue is insignificant for all periods presented.</w:t>
      </w:r>
    </w:p>
    <w:p>
      <w:pPr>
        <w:spacing w:after="0" w:line="17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Molina Healthcare, Inc. 2017 Form 10-Q | 27</w:t>
      </w:r>
    </w:p>
    <w:p>
      <w:pPr>
        <w:sectPr>
          <w:pgSz w:w="11900" w:h="16838" w:orient="portrait"/>
          <w:cols w:equalWidth="0" w:num="1">
            <w:col w:w="11420"/>
          </w:cols>
          <w:pgMar w:left="240" w:top="115" w:right="239" w:bottom="1440" w:gutter="0" w:footer="0" w:header="0"/>
        </w:sectPr>
      </w:pPr>
    </w:p>
    <w:bookmarkStart w:id="27" w:name="page28"/>
    <w:bookmarkEnd w:id="2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6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reconciles gross margin by segment to consolidated income before income tax expense:</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700" w:type="dxa"/>
            <w:vAlign w:val="bottom"/>
          </w:tcPr>
          <w:p>
            <w:pPr>
              <w:spacing w:after="0"/>
              <w:rPr>
                <w:sz w:val="17"/>
                <w:szCs w:val="17"/>
                <w:color w:val="auto"/>
              </w:rPr>
            </w:pPr>
          </w:p>
        </w:tc>
        <w:tc>
          <w:tcPr>
            <w:tcW w:w="3420" w:type="dxa"/>
            <w:vAlign w:val="bottom"/>
            <w:gridSpan w:val="6"/>
          </w:tcPr>
          <w:p>
            <w:pPr>
              <w:ind w:left="440"/>
              <w:spacing w:after="0"/>
              <w:rPr>
                <w:sz w:val="20"/>
                <w:szCs w:val="20"/>
                <w:color w:val="auto"/>
              </w:rPr>
            </w:pPr>
            <w:r>
              <w:rPr>
                <w:rFonts w:ascii="Arial" w:cs="Arial" w:eastAsia="Arial" w:hAnsi="Arial"/>
                <w:sz w:val="14"/>
                <w:szCs w:val="14"/>
                <w:b w:val="1"/>
                <w:bCs w:val="1"/>
                <w:color w:val="auto"/>
              </w:rPr>
              <w:t>Three Months Ended September 30,</w:t>
            </w:r>
          </w:p>
        </w:tc>
        <w:tc>
          <w:tcPr>
            <w:tcW w:w="420" w:type="dxa"/>
            <w:vAlign w:val="bottom"/>
          </w:tcPr>
          <w:p>
            <w:pPr>
              <w:spacing w:after="0"/>
              <w:rPr>
                <w:sz w:val="17"/>
                <w:szCs w:val="17"/>
                <w:color w:val="auto"/>
              </w:rPr>
            </w:pPr>
          </w:p>
        </w:tc>
        <w:tc>
          <w:tcPr>
            <w:tcW w:w="2880" w:type="dxa"/>
            <w:vAlign w:val="bottom"/>
            <w:gridSpan w:val="4"/>
          </w:tcPr>
          <w:p>
            <w:pPr>
              <w:jc w:val="right"/>
              <w:ind w:right="380"/>
              <w:spacing w:after="0"/>
              <w:rPr>
                <w:sz w:val="20"/>
                <w:szCs w:val="20"/>
                <w:color w:val="auto"/>
              </w:rPr>
            </w:pPr>
            <w:r>
              <w:rPr>
                <w:rFonts w:ascii="Arial" w:cs="Arial" w:eastAsia="Arial" w:hAnsi="Arial"/>
                <w:sz w:val="14"/>
                <w:szCs w:val="14"/>
                <w:b w:val="1"/>
                <w:bCs w:val="1"/>
                <w:color w:val="auto"/>
              </w:rPr>
              <w:t>Nine Months Ended September 30,</w:t>
            </w:r>
          </w:p>
        </w:tc>
        <w:tc>
          <w:tcPr>
            <w:tcW w:w="0" w:type="dxa"/>
            <w:vAlign w:val="bottom"/>
          </w:tcPr>
          <w:p>
            <w:pPr>
              <w:spacing w:after="0"/>
              <w:rPr>
                <w:sz w:val="1"/>
                <w:szCs w:val="1"/>
                <w:color w:val="auto"/>
              </w:rPr>
            </w:pPr>
          </w:p>
        </w:tc>
      </w:tr>
      <w:tr>
        <w:trPr>
          <w:trHeight w:val="264"/>
        </w:trPr>
        <w:tc>
          <w:tcPr>
            <w:tcW w:w="4700" w:type="dxa"/>
            <w:vAlign w:val="bottom"/>
          </w:tcPr>
          <w:p>
            <w:pPr>
              <w:spacing w:after="0"/>
              <w:rPr>
                <w:sz w:val="22"/>
                <w:szCs w:val="22"/>
                <w:color w:val="auto"/>
              </w:rPr>
            </w:pPr>
          </w:p>
        </w:tc>
        <w:tc>
          <w:tcPr>
            <w:tcW w:w="1080" w:type="dxa"/>
            <w:vAlign w:val="bottom"/>
            <w:tcBorders>
              <w:top w:val="single" w:sz="8" w:color="auto"/>
              <w:bottom w:val="single" w:sz="8" w:color="auto"/>
            </w:tcBorders>
          </w:tcPr>
          <w:p>
            <w:pPr>
              <w:jc w:val="right"/>
              <w:ind w:right="43"/>
              <w:spacing w:after="0"/>
              <w:rPr>
                <w:sz w:val="20"/>
                <w:szCs w:val="20"/>
                <w:color w:val="auto"/>
              </w:rPr>
            </w:pPr>
            <w:r>
              <w:rPr>
                <w:rFonts w:ascii="Arial" w:cs="Arial" w:eastAsia="Arial" w:hAnsi="Arial"/>
                <w:sz w:val="14"/>
                <w:szCs w:val="14"/>
                <w:b w:val="1"/>
                <w:bCs w:val="1"/>
                <w:color w:val="auto"/>
              </w:rPr>
              <w:t>2017</w:t>
            </w:r>
          </w:p>
        </w:tc>
        <w:tc>
          <w:tcPr>
            <w:tcW w:w="540" w:type="dxa"/>
            <w:vAlign w:val="bottom"/>
            <w:tcBorders>
              <w:top w:val="single" w:sz="8" w:color="auto"/>
              <w:bottom w:val="single" w:sz="8" w:color="auto"/>
            </w:tcBorders>
          </w:tcPr>
          <w:p>
            <w:pPr>
              <w:spacing w:after="0"/>
              <w:rPr>
                <w:sz w:val="22"/>
                <w:szCs w:val="22"/>
                <w:color w:val="auto"/>
              </w:rPr>
            </w:pPr>
          </w:p>
        </w:tc>
        <w:tc>
          <w:tcPr>
            <w:tcW w:w="100" w:type="dxa"/>
            <w:vAlign w:val="bottom"/>
            <w:tcBorders>
              <w:top w:val="single" w:sz="8" w:color="auto"/>
              <w:bottom w:val="single" w:sz="8" w:color="auto"/>
            </w:tcBorders>
          </w:tcPr>
          <w:p>
            <w:pPr>
              <w:spacing w:after="0"/>
              <w:rPr>
                <w:sz w:val="22"/>
                <w:szCs w:val="22"/>
                <w:color w:val="auto"/>
              </w:rPr>
            </w:pPr>
          </w:p>
        </w:tc>
        <w:tc>
          <w:tcPr>
            <w:tcW w:w="380" w:type="dxa"/>
            <w:vAlign w:val="bottom"/>
            <w:tcBorders>
              <w:top w:val="single" w:sz="8" w:color="auto"/>
              <w:bottom w:val="single" w:sz="8" w:color="auto"/>
            </w:tcBorders>
          </w:tcPr>
          <w:p>
            <w:pPr>
              <w:spacing w:after="0"/>
              <w:rPr>
                <w:sz w:val="22"/>
                <w:szCs w:val="22"/>
                <w:color w:val="auto"/>
              </w:rPr>
            </w:pPr>
          </w:p>
        </w:tc>
        <w:tc>
          <w:tcPr>
            <w:tcW w:w="1220" w:type="dxa"/>
            <w:vAlign w:val="bottom"/>
            <w:tcBorders>
              <w:top w:val="single" w:sz="8" w:color="auto"/>
              <w:bottom w:val="single" w:sz="8" w:color="auto"/>
            </w:tcBorders>
          </w:tcPr>
          <w:p>
            <w:pPr>
              <w:jc w:val="right"/>
              <w:ind w:right="561"/>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auto"/>
            </w:tcBorders>
          </w:tcPr>
          <w:p>
            <w:pPr>
              <w:spacing w:after="0"/>
              <w:rPr>
                <w:sz w:val="22"/>
                <w:szCs w:val="22"/>
                <w:color w:val="auto"/>
              </w:rPr>
            </w:pPr>
          </w:p>
        </w:tc>
        <w:tc>
          <w:tcPr>
            <w:tcW w:w="420" w:type="dxa"/>
            <w:vAlign w:val="bottom"/>
            <w:tcBorders>
              <w:top w:val="single" w:sz="8" w:color="auto"/>
              <w:bottom w:val="single" w:sz="8" w:color="auto"/>
            </w:tcBorders>
          </w:tcPr>
          <w:p>
            <w:pPr>
              <w:spacing w:after="0"/>
              <w:rPr>
                <w:sz w:val="22"/>
                <w:szCs w:val="22"/>
                <w:color w:val="auto"/>
              </w:rPr>
            </w:pPr>
          </w:p>
        </w:tc>
        <w:tc>
          <w:tcPr>
            <w:tcW w:w="1180" w:type="dxa"/>
            <w:vAlign w:val="bottom"/>
            <w:tcBorders>
              <w:top w:val="single" w:sz="8" w:color="auto"/>
              <w:bottom w:val="single" w:sz="8" w:color="auto"/>
            </w:tcBorders>
          </w:tcPr>
          <w:p>
            <w:pPr>
              <w:jc w:val="right"/>
              <w:ind w:right="561"/>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top w:val="single" w:sz="8" w:color="auto"/>
              <w:bottom w:val="single" w:sz="8" w:color="auto"/>
            </w:tcBorders>
          </w:tcPr>
          <w:p>
            <w:pPr>
              <w:spacing w:after="0"/>
              <w:rPr>
                <w:sz w:val="22"/>
                <w:szCs w:val="22"/>
                <w:color w:val="auto"/>
              </w:rPr>
            </w:pPr>
          </w:p>
        </w:tc>
        <w:tc>
          <w:tcPr>
            <w:tcW w:w="380" w:type="dxa"/>
            <w:vAlign w:val="bottom"/>
            <w:tcBorders>
              <w:top w:val="single" w:sz="8" w:color="auto"/>
              <w:bottom w:val="single" w:sz="8" w:color="auto"/>
            </w:tcBorders>
          </w:tcPr>
          <w:p>
            <w:pPr>
              <w:spacing w:after="0"/>
              <w:rPr>
                <w:sz w:val="22"/>
                <w:szCs w:val="22"/>
                <w:color w:val="auto"/>
              </w:rPr>
            </w:pPr>
          </w:p>
        </w:tc>
        <w:tc>
          <w:tcPr>
            <w:tcW w:w="1220" w:type="dxa"/>
            <w:vAlign w:val="bottom"/>
            <w:tcBorders>
              <w:top w:val="single" w:sz="8" w:color="auto"/>
              <w:bottom w:val="single" w:sz="8" w:color="auto"/>
            </w:tcBorders>
          </w:tcPr>
          <w:p>
            <w:pPr>
              <w:jc w:val="right"/>
              <w:ind w:right="560"/>
              <w:spacing w:after="0"/>
              <w:rPr>
                <w:sz w:val="20"/>
                <w:szCs w:val="20"/>
                <w:color w:val="auto"/>
              </w:rPr>
            </w:pPr>
            <w:r>
              <w:rPr>
                <w:rFonts w:ascii="Arial" w:cs="Arial" w:eastAsia="Arial" w:hAnsi="Arial"/>
                <w:sz w:val="14"/>
                <w:szCs w:val="14"/>
                <w:b w:val="1"/>
                <w:bCs w:val="1"/>
                <w:color w:val="auto"/>
              </w:rPr>
              <w:t>2016</w:t>
            </w:r>
          </w:p>
        </w:tc>
        <w:tc>
          <w:tcPr>
            <w:tcW w:w="0" w:type="dxa"/>
            <w:vAlign w:val="bottom"/>
          </w:tcPr>
          <w:p>
            <w:pPr>
              <w:spacing w:after="0"/>
              <w:rPr>
                <w:sz w:val="1"/>
                <w:szCs w:val="1"/>
                <w:color w:val="auto"/>
              </w:rPr>
            </w:pPr>
          </w:p>
        </w:tc>
      </w:tr>
      <w:tr>
        <w:trPr>
          <w:trHeight w:val="250"/>
        </w:trPr>
        <w:tc>
          <w:tcPr>
            <w:tcW w:w="47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74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millions)</w:t>
            </w: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1"/>
        </w:trPr>
        <w:tc>
          <w:tcPr>
            <w:tcW w:w="4700" w:type="dxa"/>
            <w:vAlign w:val="bottom"/>
            <w:shd w:val="clear" w:color="auto" w:fill="CCEEFF"/>
          </w:tcPr>
          <w:p>
            <w:pPr>
              <w:ind w:left="40"/>
              <w:spacing w:after="0"/>
              <w:rPr>
                <w:sz w:val="20"/>
                <w:szCs w:val="20"/>
                <w:color w:val="auto"/>
              </w:rPr>
            </w:pPr>
            <w:r>
              <w:rPr>
                <w:rFonts w:ascii="Arial" w:cs="Arial" w:eastAsia="Arial" w:hAnsi="Arial"/>
                <w:sz w:val="16"/>
                <w:szCs w:val="16"/>
                <w:color w:val="auto"/>
              </w:rPr>
              <w:t>Gross margin:</w:t>
            </w:r>
          </w:p>
        </w:tc>
        <w:tc>
          <w:tcPr>
            <w:tcW w:w="1080" w:type="dxa"/>
            <w:vAlign w:val="bottom"/>
            <w:shd w:val="clear" w:color="auto" w:fill="CCEEFF"/>
          </w:tcPr>
          <w:p>
            <w:pPr>
              <w:spacing w:after="0"/>
              <w:rPr>
                <w:sz w:val="23"/>
                <w:szCs w:val="23"/>
                <w:color w:val="auto"/>
              </w:rPr>
            </w:pPr>
          </w:p>
        </w:tc>
        <w:tc>
          <w:tcPr>
            <w:tcW w:w="5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2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11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22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2"/>
        </w:trPr>
        <w:tc>
          <w:tcPr>
            <w:tcW w:w="4700" w:type="dxa"/>
            <w:vAlign w:val="bottom"/>
          </w:tcPr>
          <w:p>
            <w:pPr>
              <w:ind w:left="280"/>
              <w:spacing w:after="0"/>
              <w:rPr>
                <w:sz w:val="20"/>
                <w:szCs w:val="20"/>
                <w:color w:val="auto"/>
              </w:rPr>
            </w:pPr>
            <w:r>
              <w:rPr>
                <w:rFonts w:ascii="Arial" w:cs="Arial" w:eastAsia="Arial" w:hAnsi="Arial"/>
                <w:sz w:val="16"/>
                <w:szCs w:val="16"/>
                <w:color w:val="auto"/>
              </w:rPr>
              <w:t>Health Plans</w:t>
            </w:r>
          </w:p>
        </w:tc>
        <w:tc>
          <w:tcPr>
            <w:tcW w:w="1080" w:type="dxa"/>
            <w:vAlign w:val="bottom"/>
          </w:tcPr>
          <w:p>
            <w:pPr>
              <w:jc w:val="right"/>
              <w:ind w:right="883"/>
              <w:spacing w:after="0"/>
              <w:rPr>
                <w:sz w:val="20"/>
                <w:szCs w:val="20"/>
                <w:color w:val="auto"/>
              </w:rPr>
            </w:pPr>
            <w:r>
              <w:rPr>
                <w:rFonts w:ascii="Arial" w:cs="Arial" w:eastAsia="Arial" w:hAnsi="Arial"/>
                <w:sz w:val="16"/>
                <w:szCs w:val="16"/>
                <w:color w:val="auto"/>
              </w:rPr>
              <w:t>$</w:t>
            </w:r>
          </w:p>
        </w:tc>
        <w:tc>
          <w:tcPr>
            <w:tcW w:w="540" w:type="dxa"/>
            <w:vAlign w:val="bottom"/>
          </w:tcPr>
          <w:p>
            <w:pPr>
              <w:jc w:val="right"/>
              <w:ind w:right="39"/>
              <w:spacing w:after="0"/>
              <w:rPr>
                <w:sz w:val="20"/>
                <w:szCs w:val="20"/>
                <w:color w:val="auto"/>
              </w:rPr>
            </w:pPr>
            <w:r>
              <w:rPr>
                <w:rFonts w:ascii="Arial" w:cs="Arial" w:eastAsia="Arial" w:hAnsi="Arial"/>
                <w:sz w:val="16"/>
                <w:szCs w:val="16"/>
                <w:color w:val="auto"/>
              </w:rPr>
              <w:t>557</w:t>
            </w:r>
          </w:p>
        </w:tc>
        <w:tc>
          <w:tcPr>
            <w:tcW w:w="100" w:type="dxa"/>
            <w:vAlign w:val="bottom"/>
          </w:tcPr>
          <w:p>
            <w:pPr>
              <w:spacing w:after="0"/>
              <w:rPr>
                <w:sz w:val="22"/>
                <w:szCs w:val="22"/>
                <w:color w:val="auto"/>
              </w:rPr>
            </w:pPr>
          </w:p>
        </w:tc>
        <w:tc>
          <w:tcPr>
            <w:tcW w:w="38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1220" w:type="dxa"/>
            <w:vAlign w:val="bottom"/>
          </w:tcPr>
          <w:p>
            <w:pPr>
              <w:jc w:val="right"/>
              <w:ind w:right="41"/>
              <w:spacing w:after="0"/>
              <w:rPr>
                <w:sz w:val="20"/>
                <w:szCs w:val="20"/>
                <w:color w:val="auto"/>
              </w:rPr>
            </w:pPr>
            <w:r>
              <w:rPr>
                <w:rFonts w:ascii="Arial" w:cs="Arial" w:eastAsia="Arial" w:hAnsi="Arial"/>
                <w:sz w:val="16"/>
                <w:szCs w:val="16"/>
                <w:color w:val="auto"/>
              </w:rPr>
              <w:t>443</w:t>
            </w:r>
          </w:p>
        </w:tc>
        <w:tc>
          <w:tcPr>
            <w:tcW w:w="100" w:type="dxa"/>
            <w:vAlign w:val="bottom"/>
          </w:tcPr>
          <w:p>
            <w:pPr>
              <w:spacing w:after="0"/>
              <w:rPr>
                <w:sz w:val="22"/>
                <w:szCs w:val="22"/>
                <w:color w:val="auto"/>
              </w:rPr>
            </w:pPr>
          </w:p>
        </w:tc>
        <w:tc>
          <w:tcPr>
            <w:tcW w:w="420" w:type="dxa"/>
            <w:vAlign w:val="bottom"/>
          </w:tcPr>
          <w:p>
            <w:pPr>
              <w:jc w:val="right"/>
              <w:ind w:right="219"/>
              <w:spacing w:after="0"/>
              <w:rPr>
                <w:sz w:val="20"/>
                <w:szCs w:val="20"/>
                <w:color w:val="auto"/>
              </w:rPr>
            </w:pPr>
            <w:r>
              <w:rPr>
                <w:rFonts w:ascii="Arial" w:cs="Arial" w:eastAsia="Arial" w:hAnsi="Arial"/>
                <w:sz w:val="16"/>
                <w:szCs w:val="16"/>
                <w:color w:val="auto"/>
              </w:rPr>
              <w:t>$</w:t>
            </w:r>
          </w:p>
        </w:tc>
        <w:tc>
          <w:tcPr>
            <w:tcW w:w="1180" w:type="dxa"/>
            <w:vAlign w:val="bottom"/>
          </w:tcPr>
          <w:p>
            <w:pPr>
              <w:jc w:val="right"/>
              <w:ind w:right="21"/>
              <w:spacing w:after="0"/>
              <w:rPr>
                <w:sz w:val="20"/>
                <w:szCs w:val="20"/>
                <w:color w:val="auto"/>
              </w:rPr>
            </w:pPr>
            <w:r>
              <w:rPr>
                <w:rFonts w:ascii="Arial" w:cs="Arial" w:eastAsia="Arial" w:hAnsi="Arial"/>
                <w:sz w:val="16"/>
                <w:szCs w:val="16"/>
                <w:color w:val="auto"/>
              </w:rPr>
              <w:t>1,343</w:t>
            </w:r>
          </w:p>
        </w:tc>
        <w:tc>
          <w:tcPr>
            <w:tcW w:w="100" w:type="dxa"/>
            <w:vAlign w:val="bottom"/>
          </w:tcPr>
          <w:p>
            <w:pPr>
              <w:spacing w:after="0"/>
              <w:rPr>
                <w:sz w:val="22"/>
                <w:szCs w:val="22"/>
                <w:color w:val="auto"/>
              </w:rPr>
            </w:pPr>
          </w:p>
        </w:tc>
        <w:tc>
          <w:tcPr>
            <w:tcW w:w="38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1220" w:type="dxa"/>
            <w:vAlign w:val="bottom"/>
          </w:tcPr>
          <w:p>
            <w:pPr>
              <w:jc w:val="right"/>
              <w:ind w:right="20"/>
              <w:spacing w:after="0"/>
              <w:rPr>
                <w:sz w:val="20"/>
                <w:szCs w:val="20"/>
                <w:color w:val="auto"/>
              </w:rPr>
            </w:pPr>
            <w:r>
              <w:rPr>
                <w:rFonts w:ascii="Arial" w:cs="Arial" w:eastAsia="Arial" w:hAnsi="Arial"/>
                <w:sz w:val="16"/>
                <w:szCs w:val="16"/>
                <w:color w:val="auto"/>
              </w:rPr>
              <w:t>1,285</w:t>
            </w:r>
          </w:p>
        </w:tc>
        <w:tc>
          <w:tcPr>
            <w:tcW w:w="0" w:type="dxa"/>
            <w:vAlign w:val="bottom"/>
          </w:tcPr>
          <w:p>
            <w:pPr>
              <w:spacing w:after="0"/>
              <w:rPr>
                <w:sz w:val="1"/>
                <w:szCs w:val="1"/>
                <w:color w:val="auto"/>
              </w:rPr>
            </w:pPr>
          </w:p>
        </w:tc>
      </w:tr>
      <w:tr>
        <w:trPr>
          <w:trHeight w:val="278"/>
        </w:trPr>
        <w:tc>
          <w:tcPr>
            <w:tcW w:w="4700" w:type="dxa"/>
            <w:vAlign w:val="bottom"/>
            <w:shd w:val="clear" w:color="auto" w:fill="CCEEFF"/>
          </w:tcPr>
          <w:p>
            <w:pPr>
              <w:ind w:left="280"/>
              <w:spacing w:after="0"/>
              <w:rPr>
                <w:sz w:val="20"/>
                <w:szCs w:val="20"/>
                <w:color w:val="auto"/>
              </w:rPr>
            </w:pPr>
            <w:r>
              <w:rPr>
                <w:rFonts w:ascii="Arial" w:cs="Arial" w:eastAsia="Arial" w:hAnsi="Arial"/>
                <w:sz w:val="16"/>
                <w:szCs w:val="16"/>
                <w:color w:val="auto"/>
              </w:rPr>
              <w:t>Molina Medicaid Solutions</w:t>
            </w:r>
          </w:p>
        </w:tc>
        <w:tc>
          <w:tcPr>
            <w:tcW w:w="1080" w:type="dxa"/>
            <w:vAlign w:val="bottom"/>
            <w:shd w:val="clear" w:color="auto" w:fill="CCEEFF"/>
          </w:tcPr>
          <w:p>
            <w:pPr>
              <w:spacing w:after="0"/>
              <w:rPr>
                <w:sz w:val="24"/>
                <w:szCs w:val="24"/>
                <w:color w:val="auto"/>
              </w:rPr>
            </w:pPr>
          </w:p>
        </w:tc>
        <w:tc>
          <w:tcPr>
            <w:tcW w:w="5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5</w:t>
            </w: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6</w:t>
            </w:r>
          </w:p>
        </w:tc>
        <w:tc>
          <w:tcPr>
            <w:tcW w:w="10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118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13</w:t>
            </w: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17</w:t>
            </w:r>
          </w:p>
        </w:tc>
        <w:tc>
          <w:tcPr>
            <w:tcW w:w="0" w:type="dxa"/>
            <w:vAlign w:val="bottom"/>
          </w:tcPr>
          <w:p>
            <w:pPr>
              <w:spacing w:after="0"/>
              <w:rPr>
                <w:sz w:val="1"/>
                <w:szCs w:val="1"/>
                <w:color w:val="auto"/>
              </w:rPr>
            </w:pPr>
          </w:p>
        </w:tc>
      </w:tr>
      <w:tr>
        <w:trPr>
          <w:trHeight w:val="264"/>
        </w:trPr>
        <w:tc>
          <w:tcPr>
            <w:tcW w:w="4700" w:type="dxa"/>
            <w:vAlign w:val="bottom"/>
            <w:tcBorders>
              <w:bottom w:val="single" w:sz="8" w:color="CCEEFF"/>
            </w:tcBorders>
          </w:tcPr>
          <w:p>
            <w:pPr>
              <w:ind w:left="280"/>
              <w:spacing w:after="0"/>
              <w:rPr>
                <w:sz w:val="20"/>
                <w:szCs w:val="20"/>
                <w:color w:val="auto"/>
              </w:rPr>
            </w:pPr>
            <w:r>
              <w:rPr>
                <w:rFonts w:ascii="Arial" w:cs="Arial" w:eastAsia="Arial" w:hAnsi="Arial"/>
                <w:sz w:val="16"/>
                <w:szCs w:val="16"/>
                <w:color w:val="auto"/>
              </w:rPr>
              <w:t>Other</w:t>
            </w:r>
          </w:p>
        </w:tc>
        <w:tc>
          <w:tcPr>
            <w:tcW w:w="1080" w:type="dxa"/>
            <w:vAlign w:val="bottom"/>
            <w:tcBorders>
              <w:bottom w:val="single" w:sz="8" w:color="auto"/>
            </w:tcBorders>
          </w:tcPr>
          <w:p>
            <w:pPr>
              <w:spacing w:after="0"/>
              <w:rPr>
                <w:sz w:val="22"/>
                <w:szCs w:val="22"/>
                <w:color w:val="auto"/>
              </w:rPr>
            </w:pPr>
          </w:p>
        </w:tc>
        <w:tc>
          <w:tcPr>
            <w:tcW w:w="5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2</w:t>
            </w:r>
          </w:p>
        </w:tc>
        <w:tc>
          <w:tcPr>
            <w:tcW w:w="10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8</w:t>
            </w:r>
          </w:p>
        </w:tc>
        <w:tc>
          <w:tcPr>
            <w:tcW w:w="100" w:type="dxa"/>
            <w:vAlign w:val="bottom"/>
            <w:tcBorders>
              <w:bottom w:val="single" w:sz="8" w:color="CCEEFF"/>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8</w:t>
            </w:r>
          </w:p>
        </w:tc>
        <w:tc>
          <w:tcPr>
            <w:tcW w:w="10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29</w:t>
            </w:r>
          </w:p>
        </w:tc>
        <w:tc>
          <w:tcPr>
            <w:tcW w:w="0" w:type="dxa"/>
            <w:vAlign w:val="bottom"/>
          </w:tcPr>
          <w:p>
            <w:pPr>
              <w:spacing w:after="0"/>
              <w:rPr>
                <w:sz w:val="1"/>
                <w:szCs w:val="1"/>
                <w:color w:val="auto"/>
              </w:rPr>
            </w:pPr>
          </w:p>
        </w:tc>
      </w:tr>
      <w:tr>
        <w:trPr>
          <w:trHeight w:val="257"/>
        </w:trPr>
        <w:tc>
          <w:tcPr>
            <w:tcW w:w="4700" w:type="dxa"/>
            <w:vAlign w:val="bottom"/>
            <w:shd w:val="clear" w:color="auto" w:fill="CCEEFF"/>
          </w:tcPr>
          <w:p>
            <w:pPr>
              <w:ind w:left="380"/>
              <w:spacing w:after="0"/>
              <w:rPr>
                <w:sz w:val="20"/>
                <w:szCs w:val="20"/>
                <w:color w:val="auto"/>
              </w:rPr>
            </w:pPr>
            <w:r>
              <w:rPr>
                <w:rFonts w:ascii="Arial" w:cs="Arial" w:eastAsia="Arial" w:hAnsi="Arial"/>
                <w:sz w:val="16"/>
                <w:szCs w:val="16"/>
                <w:color w:val="auto"/>
              </w:rPr>
              <w:t>Total gross margin</w:t>
            </w:r>
          </w:p>
        </w:tc>
        <w:tc>
          <w:tcPr>
            <w:tcW w:w="1080" w:type="dxa"/>
            <w:vAlign w:val="bottom"/>
            <w:shd w:val="clear" w:color="auto" w:fill="CCEEFF"/>
          </w:tcPr>
          <w:p>
            <w:pPr>
              <w:spacing w:after="0"/>
              <w:rPr>
                <w:sz w:val="22"/>
                <w:szCs w:val="22"/>
                <w:color w:val="auto"/>
              </w:rPr>
            </w:pPr>
          </w:p>
        </w:tc>
        <w:tc>
          <w:tcPr>
            <w:tcW w:w="5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564</w:t>
            </w:r>
          </w:p>
        </w:tc>
        <w:tc>
          <w:tcPr>
            <w:tcW w:w="10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122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457</w:t>
            </w:r>
          </w:p>
        </w:tc>
        <w:tc>
          <w:tcPr>
            <w:tcW w:w="10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118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1,364</w:t>
            </w:r>
          </w:p>
        </w:tc>
        <w:tc>
          <w:tcPr>
            <w:tcW w:w="10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122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1,331</w:t>
            </w:r>
          </w:p>
        </w:tc>
        <w:tc>
          <w:tcPr>
            <w:tcW w:w="0" w:type="dxa"/>
            <w:vAlign w:val="bottom"/>
          </w:tcPr>
          <w:p>
            <w:pPr>
              <w:spacing w:after="0"/>
              <w:rPr>
                <w:sz w:val="1"/>
                <w:szCs w:val="1"/>
                <w:color w:val="auto"/>
              </w:rPr>
            </w:pPr>
          </w:p>
        </w:tc>
      </w:tr>
      <w:tr>
        <w:trPr>
          <w:trHeight w:val="270"/>
        </w:trPr>
        <w:tc>
          <w:tcPr>
            <w:tcW w:w="4700" w:type="dxa"/>
            <w:vAlign w:val="bottom"/>
          </w:tcPr>
          <w:p>
            <w:pPr>
              <w:ind w:left="40"/>
              <w:spacing w:after="0"/>
              <w:rPr>
                <w:sz w:val="20"/>
                <w:szCs w:val="20"/>
                <w:color w:val="auto"/>
              </w:rPr>
            </w:pPr>
            <w:r>
              <w:rPr>
                <w:rFonts w:ascii="Arial" w:cs="Arial" w:eastAsia="Arial" w:hAnsi="Arial"/>
                <w:sz w:val="16"/>
                <w:szCs w:val="16"/>
                <w:color w:val="auto"/>
              </w:rPr>
              <w:t xml:space="preserve">Add: other operating revenues </w:t>
            </w:r>
            <w:r>
              <w:rPr>
                <w:rFonts w:ascii="Arial" w:cs="Arial" w:eastAsia="Arial" w:hAnsi="Arial"/>
                <w:sz w:val="21"/>
                <w:szCs w:val="21"/>
                <w:color w:val="auto"/>
                <w:vertAlign w:val="superscript"/>
              </w:rPr>
              <w:t>(1)</w:t>
            </w:r>
          </w:p>
        </w:tc>
        <w:tc>
          <w:tcPr>
            <w:tcW w:w="1080" w:type="dxa"/>
            <w:vAlign w:val="bottom"/>
          </w:tcPr>
          <w:p>
            <w:pPr>
              <w:spacing w:after="0"/>
              <w:rPr>
                <w:sz w:val="23"/>
                <w:szCs w:val="23"/>
                <w:color w:val="auto"/>
              </w:rPr>
            </w:pPr>
          </w:p>
        </w:tc>
        <w:tc>
          <w:tcPr>
            <w:tcW w:w="540" w:type="dxa"/>
            <w:vAlign w:val="bottom"/>
          </w:tcPr>
          <w:p>
            <w:pPr>
              <w:jc w:val="right"/>
              <w:ind w:right="39"/>
              <w:spacing w:after="0"/>
              <w:rPr>
                <w:sz w:val="20"/>
                <w:szCs w:val="20"/>
                <w:color w:val="auto"/>
              </w:rPr>
            </w:pPr>
            <w:r>
              <w:rPr>
                <w:rFonts w:ascii="Arial" w:cs="Arial" w:eastAsia="Arial" w:hAnsi="Arial"/>
                <w:sz w:val="16"/>
                <w:szCs w:val="16"/>
                <w:color w:val="auto"/>
              </w:rPr>
              <w:t>124</w:t>
            </w: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220" w:type="dxa"/>
            <w:vAlign w:val="bottom"/>
          </w:tcPr>
          <w:p>
            <w:pPr>
              <w:jc w:val="right"/>
              <w:ind w:right="41"/>
              <w:spacing w:after="0"/>
              <w:rPr>
                <w:sz w:val="20"/>
                <w:szCs w:val="20"/>
                <w:color w:val="auto"/>
              </w:rPr>
            </w:pPr>
            <w:r>
              <w:rPr>
                <w:rFonts w:ascii="Arial" w:cs="Arial" w:eastAsia="Arial" w:hAnsi="Arial"/>
                <w:sz w:val="16"/>
                <w:szCs w:val="16"/>
                <w:color w:val="auto"/>
              </w:rPr>
              <w:t>222</w:t>
            </w:r>
          </w:p>
        </w:tc>
        <w:tc>
          <w:tcPr>
            <w:tcW w:w="1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180" w:type="dxa"/>
            <w:vAlign w:val="bottom"/>
          </w:tcPr>
          <w:p>
            <w:pPr>
              <w:jc w:val="right"/>
              <w:ind w:right="21"/>
              <w:spacing w:after="0"/>
              <w:rPr>
                <w:sz w:val="20"/>
                <w:szCs w:val="20"/>
                <w:color w:val="auto"/>
              </w:rPr>
            </w:pPr>
            <w:r>
              <w:rPr>
                <w:rFonts w:ascii="Arial" w:cs="Arial" w:eastAsia="Arial" w:hAnsi="Arial"/>
                <w:sz w:val="16"/>
                <w:szCs w:val="16"/>
                <w:color w:val="auto"/>
              </w:rPr>
              <w:t>379</w:t>
            </w: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220" w:type="dxa"/>
            <w:vAlign w:val="bottom"/>
          </w:tcPr>
          <w:p>
            <w:pPr>
              <w:jc w:val="right"/>
              <w:ind w:right="20"/>
              <w:spacing w:after="0"/>
              <w:rPr>
                <w:sz w:val="20"/>
                <w:szCs w:val="20"/>
                <w:color w:val="auto"/>
              </w:rPr>
            </w:pPr>
            <w:r>
              <w:rPr>
                <w:rFonts w:ascii="Arial" w:cs="Arial" w:eastAsia="Arial" w:hAnsi="Arial"/>
                <w:sz w:val="16"/>
                <w:szCs w:val="16"/>
                <w:color w:val="auto"/>
              </w:rPr>
              <w:t>625</w:t>
            </w:r>
          </w:p>
        </w:tc>
        <w:tc>
          <w:tcPr>
            <w:tcW w:w="0" w:type="dxa"/>
            <w:vAlign w:val="bottom"/>
          </w:tcPr>
          <w:p>
            <w:pPr>
              <w:spacing w:after="0"/>
              <w:rPr>
                <w:sz w:val="1"/>
                <w:szCs w:val="1"/>
                <w:color w:val="auto"/>
              </w:rPr>
            </w:pPr>
          </w:p>
        </w:tc>
      </w:tr>
      <w:tr>
        <w:trPr>
          <w:trHeight w:val="270"/>
        </w:trPr>
        <w:tc>
          <w:tcPr>
            <w:tcW w:w="4700" w:type="dxa"/>
            <w:vAlign w:val="bottom"/>
            <w:shd w:val="clear" w:color="auto" w:fill="CCEEFF"/>
          </w:tcPr>
          <w:p>
            <w:pPr>
              <w:ind w:left="40"/>
              <w:spacing w:after="0"/>
              <w:rPr>
                <w:sz w:val="20"/>
                <w:szCs w:val="20"/>
                <w:color w:val="auto"/>
              </w:rPr>
            </w:pPr>
            <w:r>
              <w:rPr>
                <w:rFonts w:ascii="Arial" w:cs="Arial" w:eastAsia="Arial" w:hAnsi="Arial"/>
                <w:sz w:val="16"/>
                <w:szCs w:val="16"/>
                <w:color w:val="auto"/>
              </w:rPr>
              <w:t xml:space="preserve">Less: other operating expenses </w:t>
            </w:r>
            <w:r>
              <w:rPr>
                <w:rFonts w:ascii="Arial" w:cs="Arial" w:eastAsia="Arial" w:hAnsi="Arial"/>
                <w:sz w:val="21"/>
                <w:szCs w:val="21"/>
                <w:color w:val="auto"/>
                <w:vertAlign w:val="superscript"/>
              </w:rPr>
              <w:t>(2)</w:t>
            </w:r>
          </w:p>
        </w:tc>
        <w:tc>
          <w:tcPr>
            <w:tcW w:w="1080" w:type="dxa"/>
            <w:vAlign w:val="bottom"/>
            <w:tcBorders>
              <w:bottom w:val="single" w:sz="8" w:color="auto"/>
            </w:tcBorders>
            <w:shd w:val="clear" w:color="auto" w:fill="CCEEFF"/>
          </w:tcPr>
          <w:p>
            <w:pPr>
              <w:spacing w:after="0"/>
              <w:rPr>
                <w:sz w:val="23"/>
                <w:szCs w:val="23"/>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(769)</w:t>
            </w:r>
          </w:p>
        </w:tc>
        <w:tc>
          <w:tcPr>
            <w:tcW w:w="100" w:type="dxa"/>
            <w:vAlign w:val="bottom"/>
            <w:shd w:val="clear" w:color="auto" w:fill="CCEEFF"/>
          </w:tcPr>
          <w:p>
            <w:pPr>
              <w:spacing w:after="0"/>
              <w:rPr>
                <w:sz w:val="23"/>
                <w:szCs w:val="23"/>
                <w:color w:val="auto"/>
              </w:rPr>
            </w:pPr>
          </w:p>
        </w:tc>
        <w:tc>
          <w:tcPr>
            <w:tcW w:w="380" w:type="dxa"/>
            <w:vAlign w:val="bottom"/>
            <w:tcBorders>
              <w:bottom w:val="single" w:sz="8" w:color="auto"/>
            </w:tcBorders>
            <w:shd w:val="clear" w:color="auto" w:fill="CCEEFF"/>
          </w:tcPr>
          <w:p>
            <w:pPr>
              <w:spacing w:after="0"/>
              <w:rPr>
                <w:sz w:val="23"/>
                <w:szCs w:val="23"/>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(561)</w:t>
            </w:r>
          </w:p>
        </w:tc>
        <w:tc>
          <w:tcPr>
            <w:tcW w:w="100" w:type="dxa"/>
            <w:vAlign w:val="bottom"/>
            <w:shd w:val="clear" w:color="auto" w:fill="CCEEFF"/>
          </w:tcPr>
          <w:p>
            <w:pPr>
              <w:spacing w:after="0"/>
              <w:rPr>
                <w:sz w:val="23"/>
                <w:szCs w:val="23"/>
                <w:color w:val="auto"/>
              </w:rPr>
            </w:pPr>
          </w:p>
        </w:tc>
        <w:tc>
          <w:tcPr>
            <w:tcW w:w="420" w:type="dxa"/>
            <w:vAlign w:val="bottom"/>
            <w:tcBorders>
              <w:bottom w:val="single" w:sz="8" w:color="auto"/>
            </w:tcBorders>
            <w:shd w:val="clear" w:color="auto" w:fill="CCEEFF"/>
          </w:tcPr>
          <w:p>
            <w:pPr>
              <w:spacing w:after="0"/>
              <w:rPr>
                <w:sz w:val="23"/>
                <w:szCs w:val="23"/>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(2,029)</w:t>
            </w:r>
          </w:p>
        </w:tc>
        <w:tc>
          <w:tcPr>
            <w:tcW w:w="100" w:type="dxa"/>
            <w:vAlign w:val="bottom"/>
            <w:shd w:val="clear" w:color="auto" w:fill="CCEEFF"/>
          </w:tcPr>
          <w:p>
            <w:pPr>
              <w:spacing w:after="0"/>
              <w:rPr>
                <w:sz w:val="23"/>
                <w:szCs w:val="23"/>
                <w:color w:val="auto"/>
              </w:rPr>
            </w:pPr>
          </w:p>
        </w:tc>
        <w:tc>
          <w:tcPr>
            <w:tcW w:w="380" w:type="dxa"/>
            <w:vAlign w:val="bottom"/>
            <w:tcBorders>
              <w:bottom w:val="single" w:sz="8" w:color="auto"/>
            </w:tcBorders>
            <w:shd w:val="clear" w:color="auto" w:fill="CCEEFF"/>
          </w:tcPr>
          <w:p>
            <w:pPr>
              <w:spacing w:after="0"/>
              <w:rPr>
                <w:sz w:val="23"/>
                <w:szCs w:val="23"/>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(1,644)</w:t>
            </w:r>
          </w:p>
        </w:tc>
        <w:tc>
          <w:tcPr>
            <w:tcW w:w="0" w:type="dxa"/>
            <w:vAlign w:val="bottom"/>
          </w:tcPr>
          <w:p>
            <w:pPr>
              <w:spacing w:after="0"/>
              <w:rPr>
                <w:sz w:val="1"/>
                <w:szCs w:val="1"/>
                <w:color w:val="auto"/>
              </w:rPr>
            </w:pPr>
          </w:p>
        </w:tc>
      </w:tr>
      <w:tr>
        <w:trPr>
          <w:trHeight w:val="242"/>
        </w:trPr>
        <w:tc>
          <w:tcPr>
            <w:tcW w:w="4700" w:type="dxa"/>
            <w:vAlign w:val="bottom"/>
          </w:tcPr>
          <w:p>
            <w:pPr>
              <w:ind w:left="280"/>
              <w:spacing w:after="0"/>
              <w:rPr>
                <w:sz w:val="20"/>
                <w:szCs w:val="20"/>
                <w:color w:val="auto"/>
              </w:rPr>
            </w:pPr>
            <w:r>
              <w:rPr>
                <w:rFonts w:ascii="Arial" w:cs="Arial" w:eastAsia="Arial" w:hAnsi="Arial"/>
                <w:sz w:val="16"/>
                <w:szCs w:val="16"/>
                <w:color w:val="auto"/>
              </w:rPr>
              <w:t>Operating (loss) income</w:t>
            </w:r>
          </w:p>
        </w:tc>
        <w:tc>
          <w:tcPr>
            <w:tcW w:w="108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(81)</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41"/>
              <w:spacing w:after="0"/>
              <w:rPr>
                <w:sz w:val="20"/>
                <w:szCs w:val="20"/>
                <w:color w:val="auto"/>
              </w:rPr>
            </w:pPr>
            <w:r>
              <w:rPr>
                <w:rFonts w:ascii="Arial" w:cs="Arial" w:eastAsia="Arial" w:hAnsi="Arial"/>
                <w:sz w:val="16"/>
                <w:szCs w:val="16"/>
                <w:color w:val="auto"/>
              </w:rPr>
              <w:t>118</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(286)</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20"/>
              <w:spacing w:after="0"/>
              <w:rPr>
                <w:sz w:val="20"/>
                <w:szCs w:val="20"/>
                <w:color w:val="auto"/>
              </w:rPr>
            </w:pPr>
            <w:r>
              <w:rPr>
                <w:rFonts w:ascii="Arial" w:cs="Arial" w:eastAsia="Arial" w:hAnsi="Arial"/>
                <w:sz w:val="16"/>
                <w:szCs w:val="16"/>
                <w:color w:val="auto"/>
              </w:rPr>
              <w:t>312</w:t>
            </w:r>
          </w:p>
        </w:tc>
        <w:tc>
          <w:tcPr>
            <w:tcW w:w="0" w:type="dxa"/>
            <w:vAlign w:val="bottom"/>
          </w:tcPr>
          <w:p>
            <w:pPr>
              <w:spacing w:after="0"/>
              <w:rPr>
                <w:sz w:val="1"/>
                <w:szCs w:val="1"/>
                <w:color w:val="auto"/>
              </w:rPr>
            </w:pPr>
          </w:p>
        </w:tc>
      </w:tr>
      <w:tr>
        <w:trPr>
          <w:trHeight w:val="271"/>
        </w:trPr>
        <w:tc>
          <w:tcPr>
            <w:tcW w:w="4700" w:type="dxa"/>
            <w:vAlign w:val="bottom"/>
            <w:shd w:val="clear" w:color="auto" w:fill="CCEEFF"/>
          </w:tcPr>
          <w:p>
            <w:pPr>
              <w:ind w:left="40"/>
              <w:spacing w:after="0"/>
              <w:rPr>
                <w:sz w:val="20"/>
                <w:szCs w:val="20"/>
                <w:color w:val="auto"/>
              </w:rPr>
            </w:pPr>
            <w:r>
              <w:rPr>
                <w:rFonts w:ascii="Arial" w:cs="Arial" w:eastAsia="Arial" w:hAnsi="Arial"/>
                <w:sz w:val="16"/>
                <w:szCs w:val="16"/>
                <w:color w:val="auto"/>
              </w:rPr>
              <w:t>Other expenses, net</w:t>
            </w:r>
          </w:p>
        </w:tc>
        <w:tc>
          <w:tcPr>
            <w:tcW w:w="1080" w:type="dxa"/>
            <w:vAlign w:val="bottom"/>
            <w:tcBorders>
              <w:bottom w:val="single" w:sz="8" w:color="auto"/>
            </w:tcBorders>
            <w:shd w:val="clear" w:color="auto" w:fill="CCEEFF"/>
          </w:tcPr>
          <w:p>
            <w:pPr>
              <w:spacing w:after="0"/>
              <w:rPr>
                <w:sz w:val="23"/>
                <w:szCs w:val="23"/>
                <w:color w:val="auto"/>
              </w:rPr>
            </w:pPr>
          </w:p>
        </w:tc>
        <w:tc>
          <w:tcPr>
            <w:tcW w:w="5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32</w:t>
            </w:r>
          </w:p>
        </w:tc>
        <w:tc>
          <w:tcPr>
            <w:tcW w:w="100" w:type="dxa"/>
            <w:vAlign w:val="bottom"/>
            <w:shd w:val="clear" w:color="auto" w:fill="CCEEFF"/>
          </w:tcPr>
          <w:p>
            <w:pPr>
              <w:spacing w:after="0"/>
              <w:rPr>
                <w:sz w:val="23"/>
                <w:szCs w:val="23"/>
                <w:color w:val="auto"/>
              </w:rPr>
            </w:pPr>
          </w:p>
        </w:tc>
        <w:tc>
          <w:tcPr>
            <w:tcW w:w="380" w:type="dxa"/>
            <w:vAlign w:val="bottom"/>
            <w:tcBorders>
              <w:bottom w:val="single" w:sz="8" w:color="auto"/>
            </w:tcBorders>
            <w:shd w:val="clear" w:color="auto" w:fill="CCEEFF"/>
          </w:tcPr>
          <w:p>
            <w:pPr>
              <w:spacing w:after="0"/>
              <w:rPr>
                <w:sz w:val="23"/>
                <w:szCs w:val="23"/>
                <w:color w:val="auto"/>
              </w:rPr>
            </w:pPr>
          </w:p>
        </w:tc>
        <w:tc>
          <w:tcPr>
            <w:tcW w:w="122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color w:val="auto"/>
              </w:rPr>
              <w:t>26</w:t>
            </w:r>
          </w:p>
        </w:tc>
        <w:tc>
          <w:tcPr>
            <w:tcW w:w="100" w:type="dxa"/>
            <w:vAlign w:val="bottom"/>
            <w:shd w:val="clear" w:color="auto" w:fill="CCEEFF"/>
          </w:tcPr>
          <w:p>
            <w:pPr>
              <w:spacing w:after="0"/>
              <w:rPr>
                <w:sz w:val="23"/>
                <w:szCs w:val="23"/>
                <w:color w:val="auto"/>
              </w:rPr>
            </w:pPr>
          </w:p>
        </w:tc>
        <w:tc>
          <w:tcPr>
            <w:tcW w:w="420" w:type="dxa"/>
            <w:vAlign w:val="bottom"/>
            <w:tcBorders>
              <w:bottom w:val="single" w:sz="8" w:color="auto"/>
            </w:tcBorders>
            <w:shd w:val="clear" w:color="auto" w:fill="CCEEFF"/>
          </w:tcPr>
          <w:p>
            <w:pPr>
              <w:spacing w:after="0"/>
              <w:rPr>
                <w:sz w:val="23"/>
                <w:szCs w:val="23"/>
                <w:color w:val="auto"/>
              </w:rPr>
            </w:pPr>
          </w:p>
        </w:tc>
        <w:tc>
          <w:tcPr>
            <w:tcW w:w="118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rPr>
              <w:t>10</w:t>
            </w:r>
          </w:p>
        </w:tc>
        <w:tc>
          <w:tcPr>
            <w:tcW w:w="100" w:type="dxa"/>
            <w:vAlign w:val="bottom"/>
            <w:shd w:val="clear" w:color="auto" w:fill="CCEEFF"/>
          </w:tcPr>
          <w:p>
            <w:pPr>
              <w:spacing w:after="0"/>
              <w:rPr>
                <w:sz w:val="23"/>
                <w:szCs w:val="23"/>
                <w:color w:val="auto"/>
              </w:rPr>
            </w:pPr>
          </w:p>
        </w:tc>
        <w:tc>
          <w:tcPr>
            <w:tcW w:w="380" w:type="dxa"/>
            <w:vAlign w:val="bottom"/>
            <w:tcBorders>
              <w:bottom w:val="single" w:sz="8" w:color="auto"/>
            </w:tcBorders>
            <w:shd w:val="clear" w:color="auto" w:fill="CCEEFF"/>
          </w:tcPr>
          <w:p>
            <w:pPr>
              <w:spacing w:after="0"/>
              <w:rPr>
                <w:sz w:val="23"/>
                <w:szCs w:val="23"/>
                <w:color w:val="auto"/>
              </w:rPr>
            </w:pPr>
          </w:p>
        </w:tc>
        <w:tc>
          <w:tcPr>
            <w:tcW w:w="122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76</w:t>
            </w:r>
          </w:p>
        </w:tc>
        <w:tc>
          <w:tcPr>
            <w:tcW w:w="0" w:type="dxa"/>
            <w:vAlign w:val="bottom"/>
          </w:tcPr>
          <w:p>
            <w:pPr>
              <w:spacing w:after="0"/>
              <w:rPr>
                <w:sz w:val="1"/>
                <w:szCs w:val="1"/>
                <w:color w:val="auto"/>
              </w:rPr>
            </w:pPr>
          </w:p>
        </w:tc>
      </w:tr>
      <w:tr>
        <w:trPr>
          <w:trHeight w:val="241"/>
        </w:trPr>
        <w:tc>
          <w:tcPr>
            <w:tcW w:w="4700" w:type="dxa"/>
            <w:vAlign w:val="bottom"/>
          </w:tcPr>
          <w:p>
            <w:pPr>
              <w:ind w:left="40"/>
              <w:spacing w:after="0"/>
              <w:rPr>
                <w:sz w:val="20"/>
                <w:szCs w:val="20"/>
                <w:color w:val="auto"/>
              </w:rPr>
            </w:pPr>
            <w:r>
              <w:rPr>
                <w:rFonts w:ascii="Arial" w:cs="Arial" w:eastAsia="Arial" w:hAnsi="Arial"/>
                <w:sz w:val="16"/>
                <w:szCs w:val="16"/>
                <w:color w:val="auto"/>
              </w:rPr>
              <w:t>(Loss) income before income taxes</w:t>
            </w:r>
          </w:p>
        </w:tc>
        <w:tc>
          <w:tcPr>
            <w:tcW w:w="1080" w:type="dxa"/>
            <w:vAlign w:val="bottom"/>
            <w:tcBorders>
              <w:bottom w:val="single" w:sz="8" w:color="auto"/>
            </w:tcBorders>
          </w:tcPr>
          <w:p>
            <w:pPr>
              <w:jc w:val="right"/>
              <w:ind w:right="883"/>
              <w:spacing w:after="0"/>
              <w:rPr>
                <w:sz w:val="20"/>
                <w:szCs w:val="20"/>
                <w:color w:val="auto"/>
              </w:rPr>
            </w:pPr>
            <w:r>
              <w:rPr>
                <w:rFonts w:ascii="Arial" w:cs="Arial" w:eastAsia="Arial" w:hAnsi="Arial"/>
                <w:sz w:val="16"/>
                <w:szCs w:val="16"/>
                <w:color w:val="auto"/>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(113)</w:t>
            </w:r>
          </w:p>
        </w:tc>
        <w:tc>
          <w:tcPr>
            <w:tcW w:w="100" w:type="dxa"/>
            <w:vAlign w:val="bottom"/>
          </w:tcPr>
          <w:p>
            <w:pPr>
              <w:spacing w:after="0"/>
              <w:rPr>
                <w:sz w:val="20"/>
                <w:szCs w:val="20"/>
                <w:color w:val="auto"/>
              </w:rPr>
            </w:pPr>
          </w:p>
        </w:tc>
        <w:tc>
          <w:tcPr>
            <w:tcW w:w="38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92</w:t>
            </w:r>
          </w:p>
        </w:tc>
        <w:tc>
          <w:tcPr>
            <w:tcW w:w="100" w:type="dxa"/>
            <w:vAlign w:val="bottom"/>
          </w:tcPr>
          <w:p>
            <w:pPr>
              <w:spacing w:after="0"/>
              <w:rPr>
                <w:sz w:val="20"/>
                <w:szCs w:val="20"/>
                <w:color w:val="auto"/>
              </w:rPr>
            </w:pPr>
          </w:p>
        </w:tc>
        <w:tc>
          <w:tcPr>
            <w:tcW w:w="42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(296)</w:t>
            </w:r>
          </w:p>
        </w:tc>
        <w:tc>
          <w:tcPr>
            <w:tcW w:w="100" w:type="dxa"/>
            <w:vAlign w:val="bottom"/>
          </w:tcPr>
          <w:p>
            <w:pPr>
              <w:spacing w:after="0"/>
              <w:rPr>
                <w:sz w:val="20"/>
                <w:szCs w:val="20"/>
                <w:color w:val="auto"/>
              </w:rPr>
            </w:pPr>
          </w:p>
        </w:tc>
        <w:tc>
          <w:tcPr>
            <w:tcW w:w="38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236</w:t>
            </w:r>
          </w:p>
        </w:tc>
        <w:tc>
          <w:tcPr>
            <w:tcW w:w="0" w:type="dxa"/>
            <w:vAlign w:val="bottom"/>
          </w:tcPr>
          <w:p>
            <w:pPr>
              <w:spacing w:after="0"/>
              <w:rPr>
                <w:sz w:val="1"/>
                <w:szCs w:val="1"/>
                <w:color w:val="auto"/>
              </w:rPr>
            </w:pPr>
          </w:p>
        </w:tc>
      </w:tr>
      <w:tr>
        <w:trPr>
          <w:trHeight w:val="20"/>
        </w:trPr>
        <w:tc>
          <w:tcPr>
            <w:tcW w:w="4700" w:type="dxa"/>
            <w:vAlign w:val="bottom"/>
            <w:vMerge w:val="restart"/>
          </w:tcPr>
          <w:p>
            <w:pPr>
              <w:spacing w:after="0"/>
              <w:rPr>
                <w:sz w:val="20"/>
                <w:szCs w:val="20"/>
                <w:color w:val="auto"/>
              </w:rPr>
            </w:pPr>
            <w:r>
              <w:rPr>
                <w:rFonts w:ascii="Arial" w:cs="Arial" w:eastAsia="Arial" w:hAnsi="Arial"/>
                <w:sz w:val="18"/>
                <w:szCs w:val="18"/>
                <w:color w:val="auto"/>
              </w:rPr>
              <w:t>______________________</w:t>
            </w:r>
          </w:p>
        </w:tc>
        <w:tc>
          <w:tcPr>
            <w:tcW w:w="10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700" w:type="dxa"/>
            <w:vAlign w:val="bottom"/>
            <w:vMerge w:val="continue"/>
          </w:tcPr>
          <w:p>
            <w:pPr>
              <w:spacing w:after="0"/>
              <w:rPr>
                <w:sz w:val="17"/>
                <w:szCs w:val="17"/>
                <w:color w:val="auto"/>
              </w:rPr>
            </w:pPr>
          </w:p>
        </w:tc>
        <w:tc>
          <w:tcPr>
            <w:tcW w:w="10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86" w:lineRule="exact"/>
        <w:rPr>
          <w:sz w:val="20"/>
          <w:szCs w:val="20"/>
          <w:color w:val="auto"/>
        </w:rPr>
      </w:pPr>
    </w:p>
    <w:p>
      <w:pPr>
        <w:ind w:left="340" w:hanging="332"/>
        <w:spacing w:after="0"/>
        <w:tabs>
          <w:tab w:leader="none" w:pos="340" w:val="left"/>
        </w:tabs>
        <w:numPr>
          <w:ilvl w:val="0"/>
          <w:numId w:val="9"/>
        </w:numPr>
        <w:rPr>
          <w:rFonts w:ascii="Arial" w:cs="Arial" w:eastAsia="Arial" w:hAnsi="Arial"/>
          <w:sz w:val="16"/>
          <w:szCs w:val="16"/>
          <w:color w:val="auto"/>
        </w:rPr>
      </w:pPr>
      <w:r>
        <w:rPr>
          <w:rFonts w:ascii="Arial" w:cs="Arial" w:eastAsia="Arial" w:hAnsi="Arial"/>
          <w:sz w:val="16"/>
          <w:szCs w:val="16"/>
          <w:color w:val="auto"/>
        </w:rPr>
        <w:t>Other operating revenues include premium tax revenue, health insurer fee revenue, investment income and other revenue.</w:t>
      </w:r>
    </w:p>
    <w:p>
      <w:pPr>
        <w:spacing w:after="0" w:line="113" w:lineRule="exact"/>
        <w:rPr>
          <w:rFonts w:ascii="Arial" w:cs="Arial" w:eastAsia="Arial" w:hAnsi="Arial"/>
          <w:sz w:val="16"/>
          <w:szCs w:val="16"/>
          <w:color w:val="auto"/>
        </w:rPr>
      </w:pPr>
    </w:p>
    <w:p>
      <w:pPr>
        <w:ind w:left="340" w:right="900" w:hanging="332"/>
        <w:spacing w:after="0" w:line="291" w:lineRule="auto"/>
        <w:tabs>
          <w:tab w:leader="none" w:pos="340" w:val="left"/>
        </w:tabs>
        <w:numPr>
          <w:ilvl w:val="0"/>
          <w:numId w:val="9"/>
        </w:numPr>
        <w:rPr>
          <w:rFonts w:ascii="Arial" w:cs="Arial" w:eastAsia="Arial" w:hAnsi="Arial"/>
          <w:sz w:val="16"/>
          <w:szCs w:val="16"/>
          <w:color w:val="auto"/>
        </w:rPr>
      </w:pPr>
      <w:r>
        <w:rPr>
          <w:rFonts w:ascii="Arial" w:cs="Arial" w:eastAsia="Arial" w:hAnsi="Arial"/>
          <w:sz w:val="16"/>
          <w:szCs w:val="16"/>
          <w:color w:val="auto"/>
        </w:rPr>
        <w:t>Other operating expenses include general and administrative expenses, premium tax expenses, health insurer fee expenses, depreciation and amortization, impairment losses, and restructuring and separation costs.</w:t>
      </w:r>
    </w:p>
    <w:p>
      <w:pPr>
        <w:spacing w:after="0" w:line="97" w:lineRule="exact"/>
        <w:rPr>
          <w:sz w:val="20"/>
          <w:szCs w:val="20"/>
          <w:color w:val="auto"/>
        </w:rPr>
      </w:pPr>
    </w:p>
    <w:p>
      <w:pPr>
        <w:spacing w:after="0"/>
        <w:rPr>
          <w:sz w:val="20"/>
          <w:szCs w:val="20"/>
          <w:color w:val="auto"/>
        </w:rPr>
      </w:pPr>
      <w:r>
        <w:rPr>
          <w:rFonts w:ascii="Arial" w:cs="Arial" w:eastAsia="Arial" w:hAnsi="Arial"/>
          <w:sz w:val="32"/>
          <w:szCs w:val="32"/>
          <w:b w:val="1"/>
          <w:bCs w:val="1"/>
          <w:color w:val="ACACAC"/>
        </w:rPr>
        <w:t>13. Commitments and Contingencies</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Regulatory Capital Requirements and Dividend Restrictions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Our health plans, which are operated by our wholly owned subsidiaries in the states in which our health plans operate, are subject to state laws</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color w:val="auto"/>
        </w:rPr>
        <w:t>and regulations that, among other things, require the maintenance of minimum levels of statutory capital, as defined by each state. Regulators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 some states may also attempt to enforce capital requirements that require the retention of net worth in excess of amounts formally required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by statute or regulation. Such statutes, regulations and informal capital requirements also restrict the timing, payment, and amount of dividends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and other distributions that may be paid to us as the sole stockholder. To the extent our subsidiaries must comply with these regulations, they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may not have the financial flexibility to transfer funds to us. Based on current statutes and regulations, the net assets in these subsidiaries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(after intercompany eliminations) which may not be transferable to us in the form of loans, advances, or cash dividends was approximately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$1,696 million at September 30, 2017, and $1,492 million at December 31, 2016. Because of the statutory restrictions that inhibit the ability of</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our health plans to transfer net assets to us, the amount of retained earnings readily available to pay dividends to our stockholders is generally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limited to cash, cash equivalents and investments (excluding restricted investments) held by the parent company – Molina Healthcare,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Such cash, cash equivalents and investments (excluding restricted investments) amounted to $391 million and $264 million as of September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30, 2017 and December 31, 2016, respectively.</w:t>
      </w:r>
    </w:p>
    <w:p>
      <w:pPr>
        <w:spacing w:after="0" w:line="95" w:lineRule="exact"/>
        <w:rPr>
          <w:sz w:val="20"/>
          <w:szCs w:val="20"/>
          <w:color w:val="auto"/>
        </w:rPr>
      </w:pPr>
    </w:p>
    <w:p>
      <w:pPr>
        <w:spacing w:after="0" w:line="260" w:lineRule="auto"/>
        <w:rPr>
          <w:sz w:val="20"/>
          <w:szCs w:val="20"/>
          <w:color w:val="auto"/>
        </w:rPr>
      </w:pPr>
      <w:r>
        <w:rPr>
          <w:rFonts w:ascii="Arial" w:cs="Arial" w:eastAsia="Arial" w:hAnsi="Arial"/>
          <w:sz w:val="18"/>
          <w:szCs w:val="18"/>
          <w:color w:val="auto"/>
        </w:rPr>
        <w:t>The National Association of Insurance Commissioners (NAIC) adopted rules effective December 31, 1998, which, if implemented by the states, set minimum capitalization requirements for insurance companies, HMOs, and other entities bearing risk for health care coverage. The requirements take the form of risk-based capital (RBC) rules which may vary from state to state. All of the states in which our health plans operate, except California, Florida and New York, have adopted these rules. Such requirements, if adopted by California, Florida and New York, may increase the minimum capital required for those states.</w:t>
      </w:r>
    </w:p>
    <w:p>
      <w:pPr>
        <w:spacing w:after="0" w:line="67" w:lineRule="exact"/>
        <w:rPr>
          <w:sz w:val="20"/>
          <w:szCs w:val="20"/>
          <w:color w:val="auto"/>
        </w:rPr>
      </w:pPr>
    </w:p>
    <w:p>
      <w:pPr>
        <w:ind w:right="200"/>
        <w:spacing w:after="0" w:line="264" w:lineRule="auto"/>
        <w:rPr>
          <w:sz w:val="20"/>
          <w:szCs w:val="20"/>
          <w:color w:val="auto"/>
        </w:rPr>
      </w:pPr>
      <w:r>
        <w:rPr>
          <w:rFonts w:ascii="Arial" w:cs="Arial" w:eastAsia="Arial" w:hAnsi="Arial"/>
          <w:sz w:val="18"/>
          <w:szCs w:val="18"/>
          <w:color w:val="auto"/>
        </w:rPr>
        <w:t>As of September 30, 2017, our health plans had aggregate statutory capital and surplus of approximately $ 1,828 million compared with the required minimum aggregate statutory capital and surplus of approximately $1,113 million. All of our health plans were in compliance with the minimum capital requirements at September 30, 2017. We have the ability, and have committed to provide, additional capital to each of our health plans as necessary to ensure compliance with statutory capital and surplus requirements.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Legal Proceedings</w:t>
      </w:r>
    </w:p>
    <w:p>
      <w:pPr>
        <w:spacing w:after="0" w:line="117" w:lineRule="exact"/>
        <w:rPr>
          <w:sz w:val="20"/>
          <w:szCs w:val="20"/>
          <w:color w:val="auto"/>
        </w:rPr>
      </w:pPr>
    </w:p>
    <w:p>
      <w:pPr>
        <w:ind w:right="180"/>
        <w:spacing w:after="0" w:line="271" w:lineRule="auto"/>
        <w:rPr>
          <w:sz w:val="20"/>
          <w:szCs w:val="20"/>
          <w:color w:val="auto"/>
        </w:rPr>
      </w:pPr>
      <w:r>
        <w:rPr>
          <w:rFonts w:ascii="Arial" w:cs="Arial" w:eastAsia="Arial" w:hAnsi="Arial"/>
          <w:sz w:val="18"/>
          <w:szCs w:val="18"/>
          <w:color w:val="auto"/>
        </w:rPr>
        <w:t>The health care and Medicaid-related business process outsourcing industries are subject to numerous laws and regulations of federal, state, and local governments. Compliance with these laws and regulations can be subject to government review and interpretation, as well as regulatory actions unknown and unasserted at this time. Penalties</w:t>
      </w:r>
    </w:p>
    <w:p>
      <w:pPr>
        <w:spacing w:after="0" w:line="19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Molina Healthcare, Inc. 2017 Form 10-Q | 28</w:t>
      </w:r>
    </w:p>
    <w:p>
      <w:pPr>
        <w:sectPr>
          <w:pgSz w:w="11900" w:h="16838" w:orient="portrait"/>
          <w:cols w:equalWidth="0" w:num="1">
            <w:col w:w="11420"/>
          </w:cols>
          <w:pgMar w:left="240" w:top="115" w:right="239" w:bottom="1440" w:gutter="0" w:footer="0" w:header="0"/>
        </w:sectPr>
      </w:pPr>
    </w:p>
    <w:bookmarkStart w:id="28" w:name="page29"/>
    <w:bookmarkEnd w:id="2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61" w:lineRule="exact"/>
        <w:rPr>
          <w:sz w:val="20"/>
          <w:szCs w:val="20"/>
          <w:color w:val="auto"/>
        </w:rPr>
      </w:pPr>
    </w:p>
    <w:p>
      <w:pPr>
        <w:ind w:right="160"/>
        <w:spacing w:after="0" w:line="292" w:lineRule="auto"/>
        <w:rPr>
          <w:sz w:val="20"/>
          <w:szCs w:val="20"/>
          <w:color w:val="auto"/>
        </w:rPr>
      </w:pPr>
      <w:r>
        <w:rPr>
          <w:rFonts w:ascii="Arial" w:cs="Arial" w:eastAsia="Arial" w:hAnsi="Arial"/>
          <w:sz w:val="18"/>
          <w:szCs w:val="18"/>
          <w:color w:val="auto"/>
        </w:rPr>
        <w:t>associated with violations of these laws and regulations include significant fines, exclusion from participating in publicly funded programs, and the repayment of previously billed and collected revenues.</w:t>
      </w:r>
    </w:p>
    <w:p>
      <w:pPr>
        <w:spacing w:after="0" w:line="37"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We are involved in legal actions in the ordinary course of business, some of which seek monetary damages, including claims for punitive damages, which are not covered by insurance. We have accrued liabilities for certain matters for which we deem the loss to be both probable and reasonably estimable, but the outcome of legal actions is inherently uncertain and our estimates of such losses could change as a result of further developments of these matters. For certain pending matters, accruals have not been established because such matters have not progressed sufficiently through discovery, and/or development of important factual information and legal issues is insufficient to enable us to estimate a range of possible loss, if any. An adverse determination in one or more of these pending matters could have a material adverse effect on our consolidated financial position, results of operations, or cash flows.</w:t>
      </w:r>
    </w:p>
    <w:p>
      <w:pPr>
        <w:spacing w:after="0" w:line="69"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i w:val="1"/>
          <w:iCs w:val="1"/>
          <w:color w:val="auto"/>
        </w:rPr>
        <w:t xml:space="preserve">Marketplace Risk Corridor Program. </w:t>
      </w:r>
      <w:r>
        <w:rPr>
          <w:rFonts w:ascii="Arial" w:cs="Arial" w:eastAsia="Arial" w:hAnsi="Arial"/>
          <w:sz w:val="18"/>
          <w:szCs w:val="18"/>
          <w:color w:val="auto"/>
        </w:rPr>
        <w:t>On January 19, 2017, we filed suit against the United States of America in the United States Court of</w:t>
      </w:r>
      <w:r>
        <w:rPr>
          <w:rFonts w:ascii="Arial" w:cs="Arial" w:eastAsia="Arial" w:hAnsi="Arial"/>
          <w:sz w:val="18"/>
          <w:szCs w:val="18"/>
          <w:i w:val="1"/>
          <w:iCs w:val="1"/>
          <w:color w:val="auto"/>
        </w:rPr>
        <w:t xml:space="preserve"> </w:t>
      </w:r>
      <w:r>
        <w:rPr>
          <w:rFonts w:ascii="Arial" w:cs="Arial" w:eastAsia="Arial" w:hAnsi="Arial"/>
          <w:sz w:val="18"/>
          <w:szCs w:val="18"/>
          <w:color w:val="auto"/>
        </w:rPr>
        <w:t>Federal Claims, Case Number 1:55-cv-01000-UNJ, on behalf of our health plans seeking recovery from the federal government of approximately $52 million in Marketplace risk corridor payments for calendar year 2015. Based upon current estimates, we believe our health plans are also owed approximately $76 million in Marketplace risk corridor payments from the federal government for calendar year 2016. We have not recognized revenue, nor have we recorded a receivable, for any amount due from the federal government for unpaid Marketplace risk corridor payments as of September 30, 2017. We have fully recognized all liabilities due to the federal government that we have incurred under the Marketplace risk corridor program, and have paid all amounts due to the federal government as required.</w:t>
      </w:r>
    </w:p>
    <w:p>
      <w:pPr>
        <w:spacing w:after="0" w:line="69"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i w:val="1"/>
          <w:iCs w:val="1"/>
          <w:color w:val="auto"/>
        </w:rPr>
        <w:t xml:space="preserve">Rodriguez v. Providence Community Corrections. </w:t>
      </w:r>
      <w:r>
        <w:rPr>
          <w:rFonts w:ascii="Arial" w:cs="Arial" w:eastAsia="Arial" w:hAnsi="Arial"/>
          <w:sz w:val="18"/>
          <w:szCs w:val="18"/>
          <w:color w:val="auto"/>
        </w:rPr>
        <w:t>On October 1, 2015, seven individuals, on behalf of themselves and all others similarly</w:t>
      </w:r>
      <w:r>
        <w:rPr>
          <w:rFonts w:ascii="Arial" w:cs="Arial" w:eastAsia="Arial" w:hAnsi="Arial"/>
          <w:sz w:val="18"/>
          <w:szCs w:val="18"/>
          <w:i w:val="1"/>
          <w:iCs w:val="1"/>
          <w:color w:val="auto"/>
        </w:rPr>
        <w:t xml:space="preserve"> </w:t>
      </w:r>
      <w:r>
        <w:rPr>
          <w:rFonts w:ascii="Arial" w:cs="Arial" w:eastAsia="Arial" w:hAnsi="Arial"/>
          <w:sz w:val="18"/>
          <w:szCs w:val="18"/>
          <w:color w:val="auto"/>
        </w:rPr>
        <w:t>situated, filed a complaint in the District Court for the Middle District of Tennessee, Nashville Division, Case No. 3:15-cv-01048 (the Rodriquez Litigation), against Providence Community Corrections, Inc. (now known as Pathways Community Corrections, Inc., or PCC). Rutherford County, Tennessee formerly contracted with PCC for the administration of misdemeanor probation, which involved the collection of court costs and fees from probationers. The complaint alleges, among other things, that PCC illegally assessed fees and surcharges against probationers and made improper threats of arrest and probation revocation if the probationers did not pay such amounts. The plaintiffs in the Rodriguez Litigation seek alleged compensatory, treble, and punitive damages, plus attorneys’ fees, for alleged federal and state constitutional violations, as well as alleged violations of the Racketeer Influenced and Corrupt Organization Act. PCC’s agreement with Rutherford County terminated effective March 31, 2016. On November 1, 2015, one month after the Rodriguez Litigation commenced, we acquired PCC from The Providence Service Corporation (Providence) pursuant to a membership interest purchase agreement. In September 2016, the parties to the Rodriguez Litigation accepted a mediation proposal for settlement pursuant to which PCC and Rutherford County would pay the plaintiffs $14 million and $3 million, respectively. The parties are in the process of finalizing the settlement agreement. We expect to recover the full amount of the settlement under the indemnification provisions of the membership interest purchase agreement with Providence.</w:t>
      </w:r>
    </w:p>
    <w:p>
      <w:pPr>
        <w:spacing w:after="0" w:line="69"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i w:val="1"/>
          <w:iCs w:val="1"/>
          <w:color w:val="auto"/>
        </w:rPr>
        <w:t xml:space="preserve">United States of America, ex rel., Anita Silingo v. Mobile Medical Examination Services, Inc., et al. </w:t>
      </w:r>
      <w:r>
        <w:rPr>
          <w:rFonts w:ascii="Arial" w:cs="Arial" w:eastAsia="Arial" w:hAnsi="Arial"/>
          <w:sz w:val="18"/>
          <w:szCs w:val="18"/>
          <w:color w:val="auto"/>
        </w:rPr>
        <w:t>On or around October 14, 2014, Molina</w:t>
      </w:r>
      <w:r>
        <w:rPr>
          <w:rFonts w:ascii="Arial" w:cs="Arial" w:eastAsia="Arial" w:hAnsi="Arial"/>
          <w:sz w:val="18"/>
          <w:szCs w:val="18"/>
          <w:i w:val="1"/>
          <w:iCs w:val="1"/>
          <w:color w:val="auto"/>
        </w:rPr>
        <w:t xml:space="preserve"> </w:t>
      </w:r>
      <w:r>
        <w:rPr>
          <w:rFonts w:ascii="Arial" w:cs="Arial" w:eastAsia="Arial" w:hAnsi="Arial"/>
          <w:sz w:val="18"/>
          <w:szCs w:val="18"/>
          <w:color w:val="auto"/>
        </w:rPr>
        <w:t>Healthcare of California, Molina Healthcare of California Partner Plan, Inc., Mobile Medical Examination Services, Inc. (MedXM), and other health plan defendants were served with a complaint previously filed under seal in the Central District Court of California by Relator, Anita Silingo, Case No. SACV13-1348-FMO(SHx). The complaint alleges that MedXM improperly modified medical records and otherwise took inappropriate steps to increase members’ risk adjustment scores, and that the defendants, including Molina Healthcare of California and Molina Healthcare of California Partner Plan, Inc., purportedly turned a “blind eye” to these unlawful practices. On October 22, 2015, the Relator filed a third amended complaint, seeking general and compensatory damages, treble damages, civil penalties, plus interest and attorneys’ fees. On July 11, 2016, the District Court dismissed with prejudice the third amended complaint, without leave to amend. On September 23, 2016, the plaintiff filed an appeal with the Ninth Circuit Court of Appeals. The appeal has been fully briefed by the parties and we are awaiting the Court’s decision.</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States’ Budgets</w:t>
      </w:r>
    </w:p>
    <w:p>
      <w:pPr>
        <w:spacing w:after="0" w:line="117" w:lineRule="exact"/>
        <w:rPr>
          <w:sz w:val="20"/>
          <w:szCs w:val="20"/>
          <w:color w:val="auto"/>
        </w:rPr>
      </w:pPr>
    </w:p>
    <w:p>
      <w:pPr>
        <w:ind w:right="40"/>
        <w:spacing w:after="0" w:line="260" w:lineRule="auto"/>
        <w:rPr>
          <w:sz w:val="20"/>
          <w:szCs w:val="20"/>
          <w:color w:val="auto"/>
        </w:rPr>
      </w:pPr>
      <w:r>
        <w:rPr>
          <w:rFonts w:ascii="Arial" w:cs="Arial" w:eastAsia="Arial" w:hAnsi="Arial"/>
          <w:sz w:val="18"/>
          <w:szCs w:val="18"/>
          <w:color w:val="auto"/>
        </w:rPr>
        <w:t>From time to time, the states in which our health plans operate may experience financial difficulties, which could lead to delays in premium payments. Until July 4, 2017, the state of Illinois operated without a budget for its current fiscal year. As of September 30, 2017, our Illinois health plan served approximately 163,000 members, and recognized premium revenue of approximately $447 million in the nine months ended September 30, 2017. As of September 30, 2017, the state of Illinois owed us approximately $220 million for certain March through September 2017 premiums.</w:t>
      </w:r>
    </w:p>
    <w:p>
      <w:pPr>
        <w:spacing w:after="0" w:line="20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Molina Healthcare, Inc. 2017 Form 10-Q | 29</w:t>
      </w:r>
    </w:p>
    <w:p>
      <w:pPr>
        <w:sectPr>
          <w:pgSz w:w="11900" w:h="16838" w:orient="portrait"/>
          <w:cols w:equalWidth="0" w:num="1">
            <w:col w:w="11420"/>
          </w:cols>
          <w:pgMar w:left="240" w:top="115" w:right="239" w:bottom="1440" w:gutter="0" w:footer="0" w:header="0"/>
        </w:sectPr>
      </w:pPr>
    </w:p>
    <w:bookmarkStart w:id="29" w:name="page30"/>
    <w:bookmarkEnd w:id="2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61"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On May 3, 2017, Puerto Rico’s financial oversight board filed for a form of bankruptcy in the U.S. District Court in Puerto Rico under Title III of PROMESA. The Title III provision allows for a court debt restructuring process similar to U.S. bankruptcy protection. To the extent such bankruptcy results in our failure to receive payment of amounts due under our Medicaid contract with the Commonwealth or the inability of the Commonwealth to extend our Medicaid contract at the end of its current term, such bankruptcy could have a material adverse effect on our business, financial condition, cash flows, or results of operations. As of September 30, 2017, the plan served approximately 306,000 members and recorded premium revenue of approximately $553 million in the nine months ended September 30, 2017. As of October 27, 2017, the Commonwealth was current with its premium payments.</w:t>
      </w:r>
    </w:p>
    <w:p>
      <w:pPr>
        <w:spacing w:after="0" w:line="266" w:lineRule="exact"/>
        <w:rPr>
          <w:sz w:val="20"/>
          <w:szCs w:val="20"/>
          <w:color w:val="auto"/>
        </w:rPr>
      </w:pPr>
    </w:p>
    <w:p>
      <w:pPr>
        <w:spacing w:after="0"/>
        <w:rPr>
          <w:sz w:val="20"/>
          <w:szCs w:val="20"/>
          <w:color w:val="auto"/>
        </w:rPr>
      </w:pPr>
      <w:r>
        <w:rPr>
          <w:rFonts w:ascii="Arial" w:cs="Arial" w:eastAsia="Arial" w:hAnsi="Arial"/>
          <w:sz w:val="32"/>
          <w:szCs w:val="32"/>
          <w:b w:val="1"/>
          <w:bCs w:val="1"/>
          <w:color w:val="ACACAC"/>
        </w:rPr>
        <w:t>14. Related Party Transactions</w:t>
      </w:r>
    </w:p>
    <w:p>
      <w:pPr>
        <w:spacing w:after="0" w:line="138"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Our California health plan has entered into a provider agreement with Pacific Healthcare IPA (Pacific), which is 50% owned by the brother-in-law of Dr. J. Mario Molina and John C. Molina, who are members of our board of directors. Under the terms of this provider agreement, the California health plan pays Pacific for medical care Pacific provides to health plan members. For the three and nine months ended September 30, 2017 and 2016, the amounts paid to Pacific were insignificant.</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Refer to Note 15, “Variable Interest Entities (VIEs),” for a discussion of the Joseph M. Molina, M.D. Professional Corporations.</w:t>
      </w:r>
    </w:p>
    <w:p>
      <w:pPr>
        <w:spacing w:after="0" w:line="206" w:lineRule="exact"/>
        <w:rPr>
          <w:sz w:val="20"/>
          <w:szCs w:val="20"/>
          <w:color w:val="auto"/>
        </w:rPr>
      </w:pPr>
    </w:p>
    <w:p>
      <w:pPr>
        <w:spacing w:after="0"/>
        <w:rPr>
          <w:sz w:val="20"/>
          <w:szCs w:val="20"/>
          <w:color w:val="auto"/>
        </w:rPr>
      </w:pPr>
      <w:r>
        <w:rPr>
          <w:rFonts w:ascii="Arial" w:cs="Arial" w:eastAsia="Arial" w:hAnsi="Arial"/>
          <w:sz w:val="32"/>
          <w:szCs w:val="32"/>
          <w:b w:val="1"/>
          <w:bCs w:val="1"/>
          <w:color w:val="ACACAC"/>
        </w:rPr>
        <w:t>15. Variable Interest Entities (VIEs)</w:t>
      </w:r>
    </w:p>
    <w:p>
      <w:pPr>
        <w:spacing w:after="0" w:line="138" w:lineRule="exact"/>
        <w:rPr>
          <w:sz w:val="20"/>
          <w:szCs w:val="20"/>
          <w:color w:val="auto"/>
        </w:rPr>
      </w:pPr>
    </w:p>
    <w:p>
      <w:pPr>
        <w:ind w:right="480"/>
        <w:spacing w:after="0" w:line="294" w:lineRule="auto"/>
        <w:rPr>
          <w:sz w:val="20"/>
          <w:szCs w:val="20"/>
          <w:color w:val="auto"/>
        </w:rPr>
      </w:pPr>
      <w:r>
        <w:rPr>
          <w:rFonts w:ascii="Arial" w:cs="Arial" w:eastAsia="Arial" w:hAnsi="Arial"/>
          <w:sz w:val="17"/>
          <w:szCs w:val="17"/>
          <w:color w:val="auto"/>
        </w:rPr>
        <w:t>The Joseph M. Molina, M.D. Professional Corporations (JMMPC) were created to further advance our direct delivery business. Effective September 30, 2017, we terminated our relationship with JMMPC in Florida, Michigan, Washington, and Utah. Therefore, the agreements described below, for all of our health plans other than those in California and New Mexico, were terminated effective September 30, 2017.</w:t>
      </w:r>
    </w:p>
    <w:p>
      <w:pPr>
        <w:spacing w:after="0" w:line="38" w:lineRule="exact"/>
        <w:rPr>
          <w:sz w:val="20"/>
          <w:szCs w:val="20"/>
          <w:color w:val="auto"/>
        </w:rPr>
      </w:pPr>
    </w:p>
    <w:p>
      <w:pPr>
        <w:ind w:right="160"/>
        <w:spacing w:after="0" w:line="257" w:lineRule="auto"/>
        <w:rPr>
          <w:sz w:val="20"/>
          <w:szCs w:val="20"/>
          <w:color w:val="auto"/>
        </w:rPr>
      </w:pPr>
      <w:r>
        <w:rPr>
          <w:rFonts w:ascii="Arial" w:cs="Arial" w:eastAsia="Arial" w:hAnsi="Arial"/>
          <w:sz w:val="18"/>
          <w:szCs w:val="18"/>
          <w:color w:val="auto"/>
        </w:rPr>
        <w:t>JMMPC’s primary shareholder is Dr. J. Mario Molina, who is a member of our board of directors. Dr. Molina is paid no salary and receives no dividends in connection with his work for, or ownership of, JMMPC. JMMPC provides primary care medical services through its employed physicians and other medical professionals. JMMPC also provides certain specialty referral services to our California health plan members through a contracted provider network. The health plans had entered into primary care services agreements with JMMPC, under which the health plans paid $ 29 million and $ 31 million to JMMPC for health care services provided in the three months ended September 30, 2017 and 2016, respectively, and $89 million and $92 million for the nine months ended September 30, 2017 and 2016, respectively. JMMPC does not have agreements to provide professional medical services with any other entities.</w:t>
      </w:r>
    </w:p>
    <w:p>
      <w:pPr>
        <w:spacing w:after="0" w:line="69" w:lineRule="exact"/>
        <w:rPr>
          <w:sz w:val="20"/>
          <w:szCs w:val="20"/>
          <w:color w:val="auto"/>
        </w:rPr>
      </w:pPr>
    </w:p>
    <w:p>
      <w:pPr>
        <w:ind w:right="80"/>
        <w:spacing w:after="0" w:line="284" w:lineRule="auto"/>
        <w:rPr>
          <w:sz w:val="20"/>
          <w:szCs w:val="20"/>
          <w:color w:val="auto"/>
        </w:rPr>
      </w:pPr>
      <w:r>
        <w:rPr>
          <w:rFonts w:ascii="Arial" w:cs="Arial" w:eastAsia="Arial" w:hAnsi="Arial"/>
          <w:sz w:val="17"/>
          <w:szCs w:val="17"/>
          <w:color w:val="auto"/>
        </w:rPr>
        <w:t>Our wholly owned subsidiary, Molina Medical Management, Inc. (MMM), had also entered into services agreements with JMMPC to provide clinic facilities, clinic administrative support staff, patient scheduling services and medical supplies to JMMPC. For the three months ended September 30, 2017 and 2016, JMMPC paid $ 12 million and $13 million to MMM for clinic administrative services, respectively. For the nine months ended September 30, 2017 and 2016, JMMPC paid $38 million and $40 million, respectively, to MMM for clinic administrative services.</w:t>
      </w:r>
    </w:p>
    <w:p>
      <w:pPr>
        <w:spacing w:after="0" w:line="47"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As of September 30, 2017, we determined that JMMPC is a VIE, and that we are its primary beneficiary. We reached this conclusion under the power and benefits criterion model according to GAAP. Specifically, we had the power to direct the activities (excluding clinical decisions) that most significantly affected JMMPC’s economic performance, and the obligation to absorb losses or right to receive benefits that were potentially significant to the VIE, under the agreements described above. Because we were its primary beneficiary, we consolidated JMMPC. JMMPC’s assets may be used to settle only JMMPC’s obligations, and JMMPC’s creditors have no recourse to the general credit of Molina Healthcare, Inc. As of September 30, 2017, JMMPC had total assets of $20 million, and total liabilities of $24 million. As of December 31, 2016, JMMPC had total assets of $18 million, and total liabilities of $18 million.</w:t>
      </w:r>
    </w:p>
    <w:p>
      <w:pPr>
        <w:spacing w:after="0" w:line="69" w:lineRule="exact"/>
        <w:rPr>
          <w:sz w:val="20"/>
          <w:szCs w:val="20"/>
          <w:color w:val="auto"/>
        </w:rPr>
      </w:pPr>
    </w:p>
    <w:p>
      <w:pPr>
        <w:ind w:right="620"/>
        <w:spacing w:after="0" w:line="292" w:lineRule="auto"/>
        <w:rPr>
          <w:sz w:val="20"/>
          <w:szCs w:val="20"/>
          <w:color w:val="auto"/>
        </w:rPr>
      </w:pPr>
      <w:r>
        <w:rPr>
          <w:rFonts w:ascii="Arial" w:cs="Arial" w:eastAsia="Arial" w:hAnsi="Arial"/>
          <w:sz w:val="18"/>
          <w:szCs w:val="18"/>
          <w:color w:val="auto"/>
        </w:rPr>
        <w:t>Our maximum exposure to loss as a result of our involvement with JMMPC is generally limited to the amounts needed to fund JMMPC’s ongoing payroll, employee benefits and medical care costs associated with JMMPC’s specialty referral activities.</w:t>
      </w:r>
    </w:p>
    <w:p>
      <w:pPr>
        <w:spacing w:after="0" w:line="38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Molina Healthcare, Inc. 2017 Form 10-Q | 30</w:t>
      </w:r>
    </w:p>
    <w:p>
      <w:pPr>
        <w:sectPr>
          <w:pgSz w:w="11900" w:h="16838" w:orient="portrait"/>
          <w:cols w:equalWidth="0" w:num="1">
            <w:col w:w="11420"/>
          </w:cols>
          <w:pgMar w:left="240" w:top="115" w:right="239" w:bottom="1440" w:gutter="0" w:footer="0" w:header="0"/>
        </w:sectPr>
      </w:pPr>
    </w:p>
    <w:bookmarkStart w:id="30" w:name="page31"/>
    <w:bookmarkEnd w:id="3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4" w:lineRule="exact"/>
        <w:rPr>
          <w:sz w:val="20"/>
          <w:szCs w:val="20"/>
          <w:color w:val="auto"/>
        </w:rPr>
      </w:pPr>
    </w:p>
    <w:p>
      <w:pPr>
        <w:spacing w:after="0"/>
        <w:rPr>
          <w:sz w:val="20"/>
          <w:szCs w:val="20"/>
          <w:color w:val="auto"/>
        </w:rPr>
      </w:pPr>
      <w:r>
        <w:rPr>
          <w:rFonts w:ascii="Arial" w:cs="Arial" w:eastAsia="Arial" w:hAnsi="Arial"/>
          <w:sz w:val="32"/>
          <w:szCs w:val="32"/>
          <w:b w:val="1"/>
          <w:bCs w:val="1"/>
          <w:color w:val="ACACAC"/>
        </w:rPr>
        <w:t>16. Supplemental Condensed Consolidating Financial Information</w:t>
      </w:r>
    </w:p>
    <w:p>
      <w:pPr>
        <w:spacing w:after="0" w:line="138" w:lineRule="exact"/>
        <w:rPr>
          <w:sz w:val="20"/>
          <w:szCs w:val="20"/>
          <w:color w:val="auto"/>
        </w:rPr>
      </w:pPr>
    </w:p>
    <w:p>
      <w:pPr>
        <w:ind w:right="220"/>
        <w:spacing w:after="0" w:line="260" w:lineRule="auto"/>
        <w:rPr>
          <w:sz w:val="20"/>
          <w:szCs w:val="20"/>
          <w:color w:val="auto"/>
        </w:rPr>
      </w:pPr>
      <w:r>
        <w:rPr>
          <w:rFonts w:ascii="Arial" w:cs="Arial" w:eastAsia="Arial" w:hAnsi="Arial"/>
          <w:sz w:val="18"/>
          <w:szCs w:val="18"/>
          <w:color w:val="auto"/>
        </w:rPr>
        <w:t>The 5.375% Notes described in Note 7, “Debt,” are fully and unconditionally guaranteed by certain of our 100% owned subsidiaries on a joint and several basis, with certain exceptions considered customary for such guarantees. The 5.375% Notes and the guarantees are effectively subordinated to all of our and our guarantors’ existing and future secured debt to the extent of the assets securing such debt. In addition, the 5.375% Notes and the guarantees are structurally subordinated to all indebtedness and other liabilities and preferred stock, if any, of our subsidiaries that do not guarantee the 5.375% Notes.</w:t>
      </w:r>
    </w:p>
    <w:p>
      <w:pPr>
        <w:spacing w:after="0" w:line="67" w:lineRule="exact"/>
        <w:rPr>
          <w:sz w:val="20"/>
          <w:szCs w:val="20"/>
          <w:color w:val="auto"/>
        </w:rPr>
      </w:pPr>
    </w:p>
    <w:p>
      <w:pPr>
        <w:jc w:val="both"/>
        <w:ind w:right="260"/>
        <w:spacing w:after="0" w:line="264" w:lineRule="auto"/>
        <w:rPr>
          <w:sz w:val="20"/>
          <w:szCs w:val="20"/>
          <w:color w:val="auto"/>
        </w:rPr>
      </w:pPr>
      <w:r>
        <w:rPr>
          <w:rFonts w:ascii="Arial" w:cs="Arial" w:eastAsia="Arial" w:hAnsi="Arial"/>
          <w:sz w:val="18"/>
          <w:szCs w:val="18"/>
          <w:color w:val="auto"/>
        </w:rPr>
        <w:t>As discussed in Note 7, “Debt,” the First Amendment to the Credit Facility provided that all guarantors immediately prior to January 3, 2017, other than Molina Information Systems, LLC, d/b/a Molina Medicaid Solutions, Molina Pathways, LLC, and Pathways Health and Community Support LLC, were automatically and unconditionally released from their obligations as guarantors under the Credit Facility and the 5.375% Notes.</w:t>
      </w:r>
    </w:p>
    <w:p>
      <w:pPr>
        <w:spacing w:after="0" w:line="170" w:lineRule="exact"/>
        <w:rPr>
          <w:sz w:val="20"/>
          <w:szCs w:val="20"/>
          <w:color w:val="auto"/>
        </w:rPr>
      </w:pPr>
    </w:p>
    <w:p>
      <w:pPr>
        <w:ind w:right="220"/>
        <w:spacing w:after="0" w:line="271" w:lineRule="auto"/>
        <w:rPr>
          <w:sz w:val="20"/>
          <w:szCs w:val="20"/>
          <w:color w:val="auto"/>
        </w:rPr>
      </w:pPr>
      <w:r>
        <w:rPr>
          <w:rFonts w:ascii="Arial" w:cs="Arial" w:eastAsia="Arial" w:hAnsi="Arial"/>
          <w:sz w:val="18"/>
          <w:szCs w:val="18"/>
          <w:color w:val="auto"/>
        </w:rPr>
        <w:t>The following condensed consolidating financial statements present Molina Healthcare, Inc. (as parent guarantor), the subsidiary guarantors, the subsidiary non-guarantors and eliminations, according to the guarantor structure as assessed at the most recent balance sheet date, September 30, 2017.</w:t>
      </w: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STATEMENTS OF OPERATIONS</w:t>
      </w:r>
    </w:p>
    <w:p>
      <w:pPr>
        <w:spacing w:after="0" w:line="200" w:lineRule="exact"/>
        <w:rPr>
          <w:sz w:val="20"/>
          <w:szCs w:val="20"/>
          <w:color w:val="auto"/>
        </w:rPr>
      </w:pP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3540" w:type="dxa"/>
            <w:vAlign w:val="bottom"/>
          </w:tcPr>
          <w:p>
            <w:pPr>
              <w:spacing w:after="0"/>
              <w:rPr>
                <w:sz w:val="20"/>
                <w:szCs w:val="20"/>
                <w:color w:val="auto"/>
              </w:rPr>
            </w:pPr>
          </w:p>
        </w:tc>
        <w:tc>
          <w:tcPr>
            <w:tcW w:w="6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4340" w:type="dxa"/>
            <w:vAlign w:val="bottom"/>
            <w:tcBorders>
              <w:bottom w:val="single" w:sz="8" w:color="auto"/>
            </w:tcBorders>
            <w:gridSpan w:val="8"/>
          </w:tcPr>
          <w:p>
            <w:pPr>
              <w:jc w:val="center"/>
              <w:ind w:right="540"/>
              <w:spacing w:after="0"/>
              <w:rPr>
                <w:sz w:val="20"/>
                <w:szCs w:val="20"/>
                <w:color w:val="auto"/>
              </w:rPr>
            </w:pPr>
            <w:r>
              <w:rPr>
                <w:rFonts w:ascii="Arial" w:cs="Arial" w:eastAsia="Arial" w:hAnsi="Arial"/>
                <w:sz w:val="16"/>
                <w:szCs w:val="16"/>
                <w:b w:val="1"/>
                <w:bCs w:val="1"/>
                <w:color w:val="auto"/>
              </w:rPr>
              <w:t>Three Months Ended September 30, 2017</w:t>
            </w:r>
          </w:p>
        </w:tc>
        <w:tc>
          <w:tcPr>
            <w:tcW w:w="18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spacing w:after="0"/>
              <w:rPr>
                <w:sz w:val="20"/>
                <w:szCs w:val="20"/>
                <w:color w:val="auto"/>
              </w:rPr>
            </w:pPr>
          </w:p>
        </w:tc>
      </w:tr>
      <w:tr>
        <w:trPr>
          <w:trHeight w:val="264"/>
        </w:trPr>
        <w:tc>
          <w:tcPr>
            <w:tcW w:w="3540" w:type="dxa"/>
            <w:vAlign w:val="bottom"/>
          </w:tcPr>
          <w:p>
            <w:pPr>
              <w:spacing w:after="0"/>
              <w:rPr>
                <w:sz w:val="22"/>
                <w:szCs w:val="22"/>
                <w:color w:val="auto"/>
              </w:rPr>
            </w:pPr>
          </w:p>
        </w:tc>
        <w:tc>
          <w:tcPr>
            <w:tcW w:w="1640" w:type="dxa"/>
            <w:vAlign w:val="bottom"/>
            <w:tcBorders>
              <w:bottom w:val="single" w:sz="8" w:color="auto"/>
            </w:tcBorders>
            <w:gridSpan w:val="3"/>
          </w:tcPr>
          <w:p>
            <w:pPr>
              <w:ind w:left="100"/>
              <w:spacing w:after="0"/>
              <w:rPr>
                <w:sz w:val="20"/>
                <w:szCs w:val="20"/>
                <w:color w:val="auto"/>
              </w:rPr>
            </w:pPr>
            <w:r>
              <w:rPr>
                <w:rFonts w:ascii="Arial" w:cs="Arial" w:eastAsia="Arial" w:hAnsi="Arial"/>
                <w:sz w:val="16"/>
                <w:szCs w:val="16"/>
                <w:b w:val="1"/>
                <w:bCs w:val="1"/>
                <w:color w:val="auto"/>
              </w:rPr>
              <w:t>Parent Guarantor</w:t>
            </w:r>
          </w:p>
        </w:tc>
        <w:tc>
          <w:tcPr>
            <w:tcW w:w="1600" w:type="dxa"/>
            <w:vAlign w:val="bottom"/>
            <w:tcBorders>
              <w:bottom w:val="single" w:sz="8" w:color="auto"/>
            </w:tcBorders>
            <w:gridSpan w:val="3"/>
          </w:tcPr>
          <w:p>
            <w:pPr>
              <w:ind w:left="80"/>
              <w:spacing w:after="0"/>
              <w:rPr>
                <w:sz w:val="20"/>
                <w:szCs w:val="20"/>
                <w:color w:val="auto"/>
              </w:rPr>
            </w:pPr>
            <w:r>
              <w:rPr>
                <w:rFonts w:ascii="Arial" w:cs="Arial" w:eastAsia="Arial" w:hAnsi="Arial"/>
                <w:sz w:val="16"/>
                <w:szCs w:val="16"/>
                <w:b w:val="1"/>
                <w:bCs w:val="1"/>
                <w:color w:val="auto"/>
              </w:rPr>
              <w:t>Other Guarantors</w:t>
            </w:r>
          </w:p>
        </w:tc>
        <w:tc>
          <w:tcPr>
            <w:tcW w:w="1580" w:type="dxa"/>
            <w:vAlign w:val="bottom"/>
            <w:tcBorders>
              <w:bottom w:val="single" w:sz="8" w:color="auto"/>
            </w:tcBorders>
            <w:gridSpan w:val="3"/>
          </w:tcPr>
          <w:p>
            <w:pPr>
              <w:ind w:left="120"/>
              <w:spacing w:after="0"/>
              <w:rPr>
                <w:sz w:val="20"/>
                <w:szCs w:val="20"/>
                <w:color w:val="auto"/>
              </w:rPr>
            </w:pPr>
            <w:r>
              <w:rPr>
                <w:rFonts w:ascii="Arial" w:cs="Arial" w:eastAsia="Arial" w:hAnsi="Arial"/>
                <w:sz w:val="16"/>
                <w:szCs w:val="16"/>
                <w:b w:val="1"/>
                <w:bCs w:val="1"/>
                <w:color w:val="auto"/>
              </w:rPr>
              <w:t>Non-Guarantors</w:t>
            </w:r>
          </w:p>
        </w:tc>
        <w:tc>
          <w:tcPr>
            <w:tcW w:w="20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gridSpan w:val="2"/>
          </w:tcPr>
          <w:p>
            <w:pPr>
              <w:ind w:left="60"/>
              <w:spacing w:after="0"/>
              <w:rPr>
                <w:sz w:val="20"/>
                <w:szCs w:val="20"/>
                <w:color w:val="auto"/>
              </w:rPr>
            </w:pPr>
            <w:r>
              <w:rPr>
                <w:rFonts w:ascii="Arial" w:cs="Arial" w:eastAsia="Arial" w:hAnsi="Arial"/>
                <w:sz w:val="16"/>
                <w:szCs w:val="16"/>
                <w:b w:val="1"/>
                <w:bCs w:val="1"/>
                <w:color w:val="auto"/>
              </w:rPr>
              <w:t>Eliminations</w:t>
            </w:r>
          </w:p>
        </w:tc>
        <w:tc>
          <w:tcPr>
            <w:tcW w:w="18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b w:val="1"/>
                <w:bCs w:val="1"/>
                <w:color w:val="auto"/>
              </w:rPr>
              <w:t>Consolidated</w:t>
            </w:r>
          </w:p>
        </w:tc>
      </w:tr>
      <w:tr>
        <w:trPr>
          <w:trHeight w:val="250"/>
        </w:trPr>
        <w:tc>
          <w:tcPr>
            <w:tcW w:w="35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8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rPr>
              <w:t>(In millions)</w:t>
            </w:r>
          </w:p>
        </w:tc>
        <w:tc>
          <w:tcPr>
            <w:tcW w:w="2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spacing w:after="0"/>
              <w:rPr>
                <w:sz w:val="21"/>
                <w:szCs w:val="21"/>
                <w:color w:val="auto"/>
              </w:rPr>
            </w:pPr>
          </w:p>
        </w:tc>
      </w:tr>
      <w:tr>
        <w:trPr>
          <w:trHeight w:val="254"/>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Revenue:</w:t>
            </w:r>
          </w:p>
        </w:tc>
        <w:tc>
          <w:tcPr>
            <w:tcW w:w="62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spacing w:after="0"/>
              <w:rPr>
                <w:sz w:val="22"/>
                <w:szCs w:val="22"/>
                <w:color w:val="auto"/>
              </w:rPr>
            </w:pPr>
          </w:p>
        </w:tc>
      </w:tr>
      <w:tr>
        <w:trPr>
          <w:trHeight w:val="264"/>
        </w:trPr>
        <w:tc>
          <w:tcPr>
            <w:tcW w:w="354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Total revenue</w:t>
            </w:r>
          </w:p>
        </w:tc>
        <w:tc>
          <w:tcPr>
            <w:tcW w:w="62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380</w:t>
            </w:r>
          </w:p>
        </w:tc>
        <w:tc>
          <w:tcPr>
            <w:tcW w:w="120" w:type="dxa"/>
            <w:vAlign w:val="bottom"/>
            <w:tcBorders>
              <w:bottom w:val="single" w:sz="8" w:color="CCEEFF"/>
            </w:tcBorders>
          </w:tcPr>
          <w:p>
            <w:pPr>
              <w:spacing w:after="0"/>
              <w:rPr>
                <w:sz w:val="22"/>
                <w:szCs w:val="22"/>
                <w:color w:val="auto"/>
              </w:rPr>
            </w:pPr>
          </w:p>
        </w:tc>
        <w:tc>
          <w:tcPr>
            <w:tcW w:w="42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47</w:t>
            </w: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4,983</w:t>
            </w: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(379)</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5,031</w:t>
            </w:r>
          </w:p>
        </w:tc>
      </w:tr>
      <w:tr>
        <w:trPr>
          <w:trHeight w:val="250"/>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Expenses:</w:t>
            </w:r>
          </w:p>
        </w:tc>
        <w:tc>
          <w:tcPr>
            <w:tcW w:w="6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r>
      <w:tr>
        <w:trPr>
          <w:trHeight w:val="262"/>
        </w:trPr>
        <w:tc>
          <w:tcPr>
            <w:tcW w:w="3540" w:type="dxa"/>
            <w:vAlign w:val="bottom"/>
          </w:tcPr>
          <w:p>
            <w:pPr>
              <w:ind w:left="40"/>
              <w:spacing w:after="0"/>
              <w:rPr>
                <w:sz w:val="20"/>
                <w:szCs w:val="20"/>
                <w:color w:val="auto"/>
              </w:rPr>
            </w:pPr>
            <w:r>
              <w:rPr>
                <w:rFonts w:ascii="Arial" w:cs="Arial" w:eastAsia="Arial" w:hAnsi="Arial"/>
                <w:sz w:val="16"/>
                <w:szCs w:val="16"/>
                <w:color w:val="auto"/>
              </w:rPr>
              <w:t>Medical care costs</w:t>
            </w:r>
          </w:p>
        </w:tc>
        <w:tc>
          <w:tcPr>
            <w:tcW w:w="620" w:type="dxa"/>
            <w:vAlign w:val="bottom"/>
          </w:tcPr>
          <w:p>
            <w:pPr>
              <w:spacing w:after="0"/>
              <w:rPr>
                <w:sz w:val="22"/>
                <w:szCs w:val="22"/>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3</w:t>
            </w:r>
          </w:p>
        </w:tc>
        <w:tc>
          <w:tcPr>
            <w:tcW w:w="1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2"/>
                <w:szCs w:val="22"/>
                <w:color w:val="auto"/>
              </w:rPr>
            </w:pPr>
          </w:p>
        </w:tc>
        <w:tc>
          <w:tcPr>
            <w:tcW w:w="1280" w:type="dxa"/>
            <w:vAlign w:val="bottom"/>
          </w:tcPr>
          <w:p>
            <w:pPr>
              <w:jc w:val="right"/>
              <w:ind w:right="19"/>
              <w:spacing w:after="0"/>
              <w:rPr>
                <w:sz w:val="20"/>
                <w:szCs w:val="20"/>
                <w:color w:val="auto"/>
              </w:rPr>
            </w:pPr>
            <w:r>
              <w:rPr>
                <w:rFonts w:ascii="Arial" w:cs="Arial" w:eastAsia="Arial" w:hAnsi="Arial"/>
                <w:sz w:val="16"/>
                <w:szCs w:val="16"/>
                <w:color w:val="auto"/>
              </w:rPr>
              <w:t>4,217</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3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2"/>
                <w:szCs w:val="22"/>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4,220</w:t>
            </w:r>
          </w:p>
        </w:tc>
      </w:tr>
      <w:tr>
        <w:trPr>
          <w:trHeight w:val="278"/>
        </w:trPr>
        <w:tc>
          <w:tcPr>
            <w:tcW w:w="3540" w:type="dxa"/>
            <w:vAlign w:val="bottom"/>
            <w:shd w:val="clear" w:color="auto" w:fill="CCEEFF"/>
          </w:tcPr>
          <w:p>
            <w:pPr>
              <w:ind w:left="40"/>
              <w:spacing w:after="0"/>
              <w:rPr>
                <w:sz w:val="20"/>
                <w:szCs w:val="20"/>
                <w:color w:val="auto"/>
              </w:rPr>
            </w:pPr>
            <w:r>
              <w:rPr>
                <w:rFonts w:ascii="Arial" w:cs="Arial" w:eastAsia="Arial" w:hAnsi="Arial"/>
                <w:sz w:val="16"/>
                <w:szCs w:val="16"/>
                <w:color w:val="auto"/>
              </w:rPr>
              <w:t>Cost of service revenue</w:t>
            </w:r>
          </w:p>
        </w:tc>
        <w:tc>
          <w:tcPr>
            <w:tcW w:w="620" w:type="dxa"/>
            <w:vAlign w:val="bottom"/>
            <w:shd w:val="clear" w:color="auto" w:fill="CCEEFF"/>
          </w:tcPr>
          <w:p>
            <w:pPr>
              <w:spacing w:after="0"/>
              <w:rPr>
                <w:sz w:val="24"/>
                <w:szCs w:val="24"/>
                <w:color w:val="auto"/>
              </w:rPr>
            </w:pP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42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42</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2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81</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38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24"/>
                <w:szCs w:val="24"/>
                <w:color w:val="auto"/>
              </w:rPr>
            </w:pPr>
          </w:p>
        </w:tc>
        <w:tc>
          <w:tcPr>
            <w:tcW w:w="13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123</w:t>
            </w:r>
          </w:p>
        </w:tc>
      </w:tr>
      <w:tr>
        <w:trPr>
          <w:trHeight w:val="262"/>
        </w:trPr>
        <w:tc>
          <w:tcPr>
            <w:tcW w:w="3540" w:type="dxa"/>
            <w:vAlign w:val="bottom"/>
          </w:tcPr>
          <w:p>
            <w:pPr>
              <w:ind w:left="40"/>
              <w:spacing w:after="0"/>
              <w:rPr>
                <w:sz w:val="20"/>
                <w:szCs w:val="20"/>
                <w:color w:val="auto"/>
              </w:rPr>
            </w:pPr>
            <w:r>
              <w:rPr>
                <w:rFonts w:ascii="Arial" w:cs="Arial" w:eastAsia="Arial" w:hAnsi="Arial"/>
                <w:sz w:val="16"/>
                <w:szCs w:val="16"/>
                <w:color w:val="auto"/>
              </w:rPr>
              <w:t>General and administrative expenses</w:t>
            </w:r>
          </w:p>
        </w:tc>
        <w:tc>
          <w:tcPr>
            <w:tcW w:w="620" w:type="dxa"/>
            <w:vAlign w:val="bottom"/>
          </w:tcPr>
          <w:p>
            <w:pPr>
              <w:spacing w:after="0"/>
              <w:rPr>
                <w:sz w:val="22"/>
                <w:szCs w:val="22"/>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244</w:t>
            </w:r>
          </w:p>
        </w:tc>
        <w:tc>
          <w:tcPr>
            <w:tcW w:w="1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80" w:type="dxa"/>
            <w:vAlign w:val="bottom"/>
          </w:tcPr>
          <w:p>
            <w:pPr>
              <w:jc w:val="right"/>
              <w:ind w:right="19"/>
              <w:spacing w:after="0"/>
              <w:rPr>
                <w:sz w:val="20"/>
                <w:szCs w:val="20"/>
                <w:color w:val="auto"/>
              </w:rPr>
            </w:pPr>
            <w:r>
              <w:rPr>
                <w:rFonts w:ascii="Arial" w:cs="Arial" w:eastAsia="Arial" w:hAnsi="Arial"/>
                <w:sz w:val="16"/>
                <w:szCs w:val="16"/>
                <w:color w:val="auto"/>
              </w:rPr>
              <w:t>519</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(379)</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383</w:t>
            </w:r>
          </w:p>
        </w:tc>
      </w:tr>
      <w:tr>
        <w:trPr>
          <w:trHeight w:val="278"/>
        </w:trPr>
        <w:tc>
          <w:tcPr>
            <w:tcW w:w="3540" w:type="dxa"/>
            <w:vAlign w:val="bottom"/>
            <w:shd w:val="clear" w:color="auto" w:fill="CCEEFF"/>
          </w:tcPr>
          <w:p>
            <w:pPr>
              <w:ind w:left="40"/>
              <w:spacing w:after="0"/>
              <w:rPr>
                <w:sz w:val="20"/>
                <w:szCs w:val="20"/>
                <w:color w:val="auto"/>
              </w:rPr>
            </w:pPr>
            <w:r>
              <w:rPr>
                <w:rFonts w:ascii="Arial" w:cs="Arial" w:eastAsia="Arial" w:hAnsi="Arial"/>
                <w:sz w:val="16"/>
                <w:szCs w:val="16"/>
                <w:color w:val="auto"/>
              </w:rPr>
              <w:t>Premium tax expenses</w:t>
            </w:r>
          </w:p>
        </w:tc>
        <w:tc>
          <w:tcPr>
            <w:tcW w:w="620" w:type="dxa"/>
            <w:vAlign w:val="bottom"/>
            <w:shd w:val="clear" w:color="auto" w:fill="CCEEFF"/>
          </w:tcPr>
          <w:p>
            <w:pPr>
              <w:spacing w:after="0"/>
              <w:rPr>
                <w:sz w:val="24"/>
                <w:szCs w:val="24"/>
                <w:color w:val="auto"/>
              </w:rPr>
            </w:pP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420" w:type="dxa"/>
            <w:vAlign w:val="bottom"/>
            <w:shd w:val="clear" w:color="auto" w:fill="CCEEFF"/>
          </w:tcPr>
          <w:p>
            <w:pPr>
              <w:spacing w:after="0"/>
              <w:rPr>
                <w:sz w:val="24"/>
                <w:szCs w:val="24"/>
                <w:color w:val="auto"/>
              </w:rPr>
            </w:pP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24"/>
                <w:szCs w:val="24"/>
                <w:color w:val="auto"/>
              </w:rPr>
            </w:pPr>
          </w:p>
        </w:tc>
        <w:tc>
          <w:tcPr>
            <w:tcW w:w="12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106</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38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24"/>
                <w:szCs w:val="24"/>
                <w:color w:val="auto"/>
              </w:rPr>
            </w:pPr>
          </w:p>
        </w:tc>
        <w:tc>
          <w:tcPr>
            <w:tcW w:w="13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106</w:t>
            </w:r>
          </w:p>
        </w:tc>
      </w:tr>
      <w:tr>
        <w:trPr>
          <w:trHeight w:val="262"/>
        </w:trPr>
        <w:tc>
          <w:tcPr>
            <w:tcW w:w="3540" w:type="dxa"/>
            <w:vAlign w:val="bottom"/>
          </w:tcPr>
          <w:p>
            <w:pPr>
              <w:ind w:left="40"/>
              <w:spacing w:after="0"/>
              <w:rPr>
                <w:sz w:val="20"/>
                <w:szCs w:val="20"/>
                <w:color w:val="auto"/>
              </w:rPr>
            </w:pPr>
            <w:r>
              <w:rPr>
                <w:rFonts w:ascii="Arial" w:cs="Arial" w:eastAsia="Arial" w:hAnsi="Arial"/>
                <w:sz w:val="16"/>
                <w:szCs w:val="16"/>
                <w:color w:val="auto"/>
              </w:rPr>
              <w:t>Depreciation and amortization</w:t>
            </w:r>
          </w:p>
        </w:tc>
        <w:tc>
          <w:tcPr>
            <w:tcW w:w="620" w:type="dxa"/>
            <w:vAlign w:val="bottom"/>
          </w:tcPr>
          <w:p>
            <w:pPr>
              <w:spacing w:after="0"/>
              <w:rPr>
                <w:sz w:val="22"/>
                <w:szCs w:val="22"/>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23</w:t>
            </w:r>
          </w:p>
        </w:tc>
        <w:tc>
          <w:tcPr>
            <w:tcW w:w="1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080" w:type="dxa"/>
            <w:vAlign w:val="bottom"/>
          </w:tcPr>
          <w:p>
            <w:pPr>
              <w:jc w:val="right"/>
              <w:ind w:right="19"/>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80" w:type="dxa"/>
            <w:vAlign w:val="bottom"/>
          </w:tcPr>
          <w:p>
            <w:pPr>
              <w:jc w:val="right"/>
              <w:ind w:right="19"/>
              <w:spacing w:after="0"/>
              <w:rPr>
                <w:sz w:val="20"/>
                <w:szCs w:val="20"/>
                <w:color w:val="auto"/>
              </w:rPr>
            </w:pPr>
            <w:r>
              <w:rPr>
                <w:rFonts w:ascii="Arial" w:cs="Arial" w:eastAsia="Arial" w:hAnsi="Arial"/>
                <w:sz w:val="16"/>
                <w:szCs w:val="16"/>
                <w:color w:val="auto"/>
              </w:rPr>
              <w:t>9</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3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2"/>
                <w:szCs w:val="22"/>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33</w:t>
            </w:r>
          </w:p>
        </w:tc>
      </w:tr>
      <w:tr>
        <w:trPr>
          <w:trHeight w:val="278"/>
        </w:trPr>
        <w:tc>
          <w:tcPr>
            <w:tcW w:w="3540" w:type="dxa"/>
            <w:vAlign w:val="bottom"/>
            <w:shd w:val="clear" w:color="auto" w:fill="CCEEFF"/>
          </w:tcPr>
          <w:p>
            <w:pPr>
              <w:ind w:left="40"/>
              <w:spacing w:after="0"/>
              <w:rPr>
                <w:sz w:val="20"/>
                <w:szCs w:val="20"/>
                <w:color w:val="auto"/>
              </w:rPr>
            </w:pPr>
            <w:r>
              <w:rPr>
                <w:rFonts w:ascii="Arial" w:cs="Arial" w:eastAsia="Arial" w:hAnsi="Arial"/>
                <w:sz w:val="16"/>
                <w:szCs w:val="16"/>
                <w:color w:val="auto"/>
              </w:rPr>
              <w:t>Impairment losses</w:t>
            </w:r>
          </w:p>
        </w:tc>
        <w:tc>
          <w:tcPr>
            <w:tcW w:w="620" w:type="dxa"/>
            <w:vAlign w:val="bottom"/>
            <w:shd w:val="clear" w:color="auto" w:fill="CCEEFF"/>
          </w:tcPr>
          <w:p>
            <w:pPr>
              <w:spacing w:after="0"/>
              <w:rPr>
                <w:sz w:val="24"/>
                <w:szCs w:val="24"/>
                <w:color w:val="auto"/>
              </w:rPr>
            </w:pP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42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28</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2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101</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38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24"/>
                <w:szCs w:val="24"/>
                <w:color w:val="auto"/>
              </w:rPr>
            </w:pPr>
          </w:p>
        </w:tc>
        <w:tc>
          <w:tcPr>
            <w:tcW w:w="13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129</w:t>
            </w:r>
          </w:p>
        </w:tc>
      </w:tr>
      <w:tr>
        <w:trPr>
          <w:trHeight w:val="264"/>
        </w:trPr>
        <w:tc>
          <w:tcPr>
            <w:tcW w:w="3540" w:type="dxa"/>
            <w:vAlign w:val="bottom"/>
          </w:tcPr>
          <w:p>
            <w:pPr>
              <w:ind w:left="40"/>
              <w:spacing w:after="0"/>
              <w:rPr>
                <w:sz w:val="20"/>
                <w:szCs w:val="20"/>
                <w:color w:val="auto"/>
              </w:rPr>
            </w:pPr>
            <w:r>
              <w:rPr>
                <w:rFonts w:ascii="Arial" w:cs="Arial" w:eastAsia="Arial" w:hAnsi="Arial"/>
                <w:sz w:val="16"/>
                <w:szCs w:val="16"/>
                <w:color w:val="auto"/>
              </w:rPr>
              <w:t>Restructuring and separation costs</w:t>
            </w:r>
          </w:p>
        </w:tc>
        <w:tc>
          <w:tcPr>
            <w:tcW w:w="620" w:type="dxa"/>
            <w:vAlign w:val="bottom"/>
          </w:tcPr>
          <w:p>
            <w:pPr>
              <w:spacing w:after="0"/>
              <w:rPr>
                <w:sz w:val="22"/>
                <w:szCs w:val="22"/>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77</w:t>
            </w:r>
          </w:p>
        </w:tc>
        <w:tc>
          <w:tcPr>
            <w:tcW w:w="1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080" w:type="dxa"/>
            <w:vAlign w:val="bottom"/>
          </w:tcPr>
          <w:p>
            <w:pPr>
              <w:jc w:val="right"/>
              <w:ind w:right="19"/>
              <w:spacing w:after="0"/>
              <w:rPr>
                <w:sz w:val="20"/>
                <w:szCs w:val="20"/>
                <w:color w:val="auto"/>
              </w:rPr>
            </w:pPr>
            <w:r>
              <w:rPr>
                <w:rFonts w:ascii="Arial" w:cs="Arial" w:eastAsia="Arial" w:hAnsi="Arial"/>
                <w:sz w:val="16"/>
                <w:szCs w:val="16"/>
                <w:color w:val="auto"/>
              </w:rPr>
              <w:t>8</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80" w:type="dxa"/>
            <w:vAlign w:val="bottom"/>
          </w:tcPr>
          <w:p>
            <w:pPr>
              <w:jc w:val="right"/>
              <w:ind w:right="19"/>
              <w:spacing w:after="0"/>
              <w:rPr>
                <w:sz w:val="20"/>
                <w:szCs w:val="20"/>
                <w:color w:val="auto"/>
              </w:rPr>
            </w:pPr>
            <w:r>
              <w:rPr>
                <w:rFonts w:ascii="Arial" w:cs="Arial" w:eastAsia="Arial" w:hAnsi="Arial"/>
                <w:sz w:val="16"/>
                <w:szCs w:val="16"/>
                <w:color w:val="auto"/>
              </w:rPr>
              <w:t>33</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3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2"/>
                <w:szCs w:val="22"/>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118</w:t>
            </w:r>
          </w:p>
        </w:tc>
      </w:tr>
      <w:tr>
        <w:trPr>
          <w:trHeight w:val="257"/>
        </w:trPr>
        <w:tc>
          <w:tcPr>
            <w:tcW w:w="354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operating expenses</w:t>
            </w:r>
          </w:p>
        </w:tc>
        <w:tc>
          <w:tcPr>
            <w:tcW w:w="620" w:type="dxa"/>
            <w:vAlign w:val="bottom"/>
            <w:tcBorders>
              <w:top w:val="single" w:sz="8" w:color="auto"/>
              <w:bottom w:val="single" w:sz="8" w:color="auto"/>
            </w:tcBorders>
            <w:shd w:val="clear" w:color="auto" w:fill="CCEEFF"/>
          </w:tcPr>
          <w:p>
            <w:pPr>
              <w:spacing w:after="0"/>
              <w:rPr>
                <w:sz w:val="22"/>
                <w:szCs w:val="22"/>
                <w:color w:val="auto"/>
              </w:rPr>
            </w:pPr>
          </w:p>
        </w:tc>
        <w:tc>
          <w:tcPr>
            <w:tcW w:w="900" w:type="dxa"/>
            <w:vAlign w:val="bottom"/>
            <w:tcBorders>
              <w:top w:val="single" w:sz="8" w:color="auto"/>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347</w:t>
            </w:r>
          </w:p>
        </w:tc>
        <w:tc>
          <w:tcPr>
            <w:tcW w:w="120" w:type="dxa"/>
            <w:vAlign w:val="bottom"/>
            <w:tcBorders>
              <w:top w:val="single" w:sz="8" w:color="CCEEFF"/>
            </w:tcBorders>
            <w:shd w:val="clear" w:color="auto" w:fill="CCEEFF"/>
          </w:tcPr>
          <w:p>
            <w:pPr>
              <w:spacing w:after="0"/>
              <w:rPr>
                <w:sz w:val="22"/>
                <w:szCs w:val="22"/>
                <w:color w:val="auto"/>
              </w:rPr>
            </w:pPr>
          </w:p>
        </w:tc>
        <w:tc>
          <w:tcPr>
            <w:tcW w:w="420" w:type="dxa"/>
            <w:vAlign w:val="bottom"/>
            <w:tcBorders>
              <w:top w:val="single" w:sz="8" w:color="auto"/>
              <w:bottom w:val="single" w:sz="8" w:color="auto"/>
            </w:tcBorders>
            <w:shd w:val="clear" w:color="auto" w:fill="CCEEFF"/>
          </w:tcPr>
          <w:p>
            <w:pPr>
              <w:spacing w:after="0"/>
              <w:rPr>
                <w:sz w:val="22"/>
                <w:szCs w:val="22"/>
                <w:color w:val="auto"/>
              </w:rPr>
            </w:pPr>
          </w:p>
        </w:tc>
        <w:tc>
          <w:tcPr>
            <w:tcW w:w="108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78</w:t>
            </w:r>
          </w:p>
        </w:tc>
        <w:tc>
          <w:tcPr>
            <w:tcW w:w="100" w:type="dxa"/>
            <w:vAlign w:val="bottom"/>
            <w:tcBorders>
              <w:top w:val="single" w:sz="8" w:color="CCEEFF"/>
            </w:tcBorders>
            <w:shd w:val="clear" w:color="auto" w:fill="CCEEFF"/>
          </w:tcPr>
          <w:p>
            <w:pPr>
              <w:spacing w:after="0"/>
              <w:rPr>
                <w:sz w:val="22"/>
                <w:szCs w:val="22"/>
                <w:color w:val="auto"/>
              </w:rPr>
            </w:pPr>
          </w:p>
        </w:tc>
        <w:tc>
          <w:tcPr>
            <w:tcW w:w="200" w:type="dxa"/>
            <w:vAlign w:val="bottom"/>
            <w:tcBorders>
              <w:top w:val="single" w:sz="8" w:color="auto"/>
              <w:bottom w:val="single" w:sz="8" w:color="auto"/>
            </w:tcBorders>
            <w:shd w:val="clear" w:color="auto" w:fill="CCEEFF"/>
          </w:tcPr>
          <w:p>
            <w:pPr>
              <w:spacing w:after="0"/>
              <w:rPr>
                <w:sz w:val="22"/>
                <w:szCs w:val="22"/>
                <w:color w:val="auto"/>
              </w:rPr>
            </w:pPr>
          </w:p>
        </w:tc>
        <w:tc>
          <w:tcPr>
            <w:tcW w:w="128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5,066</w:t>
            </w:r>
          </w:p>
        </w:tc>
        <w:tc>
          <w:tcPr>
            <w:tcW w:w="100" w:type="dxa"/>
            <w:vAlign w:val="bottom"/>
            <w:tcBorders>
              <w:top w:val="single" w:sz="8" w:color="CCEEFF"/>
            </w:tcBorders>
            <w:shd w:val="clear" w:color="auto" w:fill="CCEEFF"/>
          </w:tcPr>
          <w:p>
            <w:pPr>
              <w:spacing w:after="0"/>
              <w:rPr>
                <w:sz w:val="22"/>
                <w:szCs w:val="22"/>
                <w:color w:val="auto"/>
              </w:rPr>
            </w:pPr>
          </w:p>
        </w:tc>
        <w:tc>
          <w:tcPr>
            <w:tcW w:w="200" w:type="dxa"/>
            <w:vAlign w:val="bottom"/>
            <w:tcBorders>
              <w:top w:val="single" w:sz="8" w:color="auto"/>
              <w:bottom w:val="single" w:sz="8" w:color="auto"/>
            </w:tcBorders>
            <w:shd w:val="clear" w:color="auto" w:fill="CCEEFF"/>
          </w:tcPr>
          <w:p>
            <w:pPr>
              <w:spacing w:after="0"/>
              <w:rPr>
                <w:sz w:val="22"/>
                <w:szCs w:val="22"/>
                <w:color w:val="auto"/>
              </w:rPr>
            </w:pP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(379)</w:t>
            </w:r>
          </w:p>
        </w:tc>
        <w:tc>
          <w:tcPr>
            <w:tcW w:w="100" w:type="dxa"/>
            <w:vAlign w:val="bottom"/>
            <w:tcBorders>
              <w:top w:val="single" w:sz="8" w:color="CCEEFF"/>
            </w:tcBorders>
            <w:shd w:val="clear" w:color="auto" w:fill="CCEEFF"/>
          </w:tcPr>
          <w:p>
            <w:pPr>
              <w:spacing w:after="0"/>
              <w:rPr>
                <w:sz w:val="22"/>
                <w:szCs w:val="22"/>
                <w:color w:val="auto"/>
              </w:rPr>
            </w:pPr>
          </w:p>
        </w:tc>
        <w:tc>
          <w:tcPr>
            <w:tcW w:w="180" w:type="dxa"/>
            <w:vAlign w:val="bottom"/>
            <w:tcBorders>
              <w:top w:val="single" w:sz="8" w:color="auto"/>
              <w:bottom w:val="single" w:sz="8" w:color="auto"/>
            </w:tcBorders>
            <w:shd w:val="clear" w:color="auto" w:fill="CCEEFF"/>
          </w:tcPr>
          <w:p>
            <w:pPr>
              <w:spacing w:after="0"/>
              <w:rPr>
                <w:sz w:val="22"/>
                <w:szCs w:val="22"/>
                <w:color w:val="auto"/>
              </w:rPr>
            </w:pPr>
          </w:p>
        </w:tc>
        <w:tc>
          <w:tcPr>
            <w:tcW w:w="130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5,112</w:t>
            </w:r>
          </w:p>
        </w:tc>
      </w:tr>
      <w:tr>
        <w:trPr>
          <w:trHeight w:val="242"/>
        </w:trPr>
        <w:tc>
          <w:tcPr>
            <w:tcW w:w="3540" w:type="dxa"/>
            <w:vAlign w:val="bottom"/>
          </w:tcPr>
          <w:p>
            <w:pPr>
              <w:ind w:left="40"/>
              <w:spacing w:after="0"/>
              <w:rPr>
                <w:sz w:val="20"/>
                <w:szCs w:val="20"/>
                <w:color w:val="auto"/>
              </w:rPr>
            </w:pPr>
            <w:r>
              <w:rPr>
                <w:rFonts w:ascii="Arial" w:cs="Arial" w:eastAsia="Arial" w:hAnsi="Arial"/>
                <w:sz w:val="16"/>
                <w:szCs w:val="16"/>
                <w:color w:val="auto"/>
              </w:rPr>
              <w:t>Operating income (loss)</w:t>
            </w:r>
          </w:p>
        </w:tc>
        <w:tc>
          <w:tcPr>
            <w:tcW w:w="620" w:type="dxa"/>
            <w:vAlign w:val="bottom"/>
          </w:tcPr>
          <w:p>
            <w:pPr>
              <w:spacing w:after="0"/>
              <w:rPr>
                <w:sz w:val="21"/>
                <w:szCs w:val="21"/>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33</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(31)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(83)</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(81)</w:t>
            </w:r>
          </w:p>
        </w:tc>
      </w:tr>
      <w:tr>
        <w:trPr>
          <w:trHeight w:val="278"/>
        </w:trPr>
        <w:tc>
          <w:tcPr>
            <w:tcW w:w="3540" w:type="dxa"/>
            <w:vAlign w:val="bottom"/>
            <w:shd w:val="clear" w:color="auto" w:fill="CCEEFF"/>
          </w:tcPr>
          <w:p>
            <w:pPr>
              <w:ind w:left="40"/>
              <w:spacing w:after="0"/>
              <w:rPr>
                <w:sz w:val="20"/>
                <w:szCs w:val="20"/>
                <w:color w:val="auto"/>
              </w:rPr>
            </w:pPr>
            <w:r>
              <w:rPr>
                <w:rFonts w:ascii="Arial" w:cs="Arial" w:eastAsia="Arial" w:hAnsi="Arial"/>
                <w:sz w:val="16"/>
                <w:szCs w:val="16"/>
                <w:color w:val="auto"/>
              </w:rPr>
              <w:t>Interest expense</w:t>
            </w:r>
          </w:p>
        </w:tc>
        <w:tc>
          <w:tcPr>
            <w:tcW w:w="620" w:type="dxa"/>
            <w:vAlign w:val="bottom"/>
            <w:tcBorders>
              <w:bottom w:val="single" w:sz="8" w:color="auto"/>
            </w:tcBorders>
            <w:shd w:val="clear" w:color="auto" w:fill="CCEEFF"/>
          </w:tcPr>
          <w:p>
            <w:pPr>
              <w:spacing w:after="0"/>
              <w:rPr>
                <w:sz w:val="24"/>
                <w:szCs w:val="24"/>
                <w:color w:val="auto"/>
              </w:rPr>
            </w:pPr>
          </w:p>
        </w:tc>
        <w:tc>
          <w:tcPr>
            <w:tcW w:w="90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32</w:t>
            </w:r>
          </w:p>
        </w:tc>
        <w:tc>
          <w:tcPr>
            <w:tcW w:w="120" w:type="dxa"/>
            <w:vAlign w:val="bottom"/>
            <w:shd w:val="clear" w:color="auto" w:fill="CCEEFF"/>
          </w:tcPr>
          <w:p>
            <w:pPr>
              <w:spacing w:after="0"/>
              <w:rPr>
                <w:sz w:val="24"/>
                <w:szCs w:val="24"/>
                <w:color w:val="auto"/>
              </w:rPr>
            </w:pPr>
          </w:p>
        </w:tc>
        <w:tc>
          <w:tcPr>
            <w:tcW w:w="420" w:type="dxa"/>
            <w:vAlign w:val="bottom"/>
            <w:tcBorders>
              <w:bottom w:val="single" w:sz="8" w:color="auto"/>
            </w:tcBorders>
            <w:shd w:val="clear" w:color="auto" w:fill="CCEEFF"/>
          </w:tcPr>
          <w:p>
            <w:pPr>
              <w:spacing w:after="0"/>
              <w:rPr>
                <w:sz w:val="24"/>
                <w:szCs w:val="24"/>
                <w:color w:val="auto"/>
              </w:rPr>
            </w:pPr>
          </w:p>
        </w:tc>
        <w:tc>
          <w:tcPr>
            <w:tcW w:w="10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24"/>
                <w:szCs w:val="24"/>
                <w:color w:val="auto"/>
              </w:rPr>
            </w:pPr>
          </w:p>
        </w:tc>
        <w:tc>
          <w:tcPr>
            <w:tcW w:w="200" w:type="dxa"/>
            <w:vAlign w:val="bottom"/>
            <w:tcBorders>
              <w:bottom w:val="single" w:sz="8" w:color="auto"/>
            </w:tcBorders>
            <w:shd w:val="clear" w:color="auto" w:fill="CCEEFF"/>
          </w:tcPr>
          <w:p>
            <w:pPr>
              <w:spacing w:after="0"/>
              <w:rPr>
                <w:sz w:val="24"/>
                <w:szCs w:val="24"/>
                <w:color w:val="auto"/>
              </w:rPr>
            </w:pPr>
          </w:p>
        </w:tc>
        <w:tc>
          <w:tcPr>
            <w:tcW w:w="12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24"/>
                <w:szCs w:val="24"/>
                <w:color w:val="auto"/>
              </w:rPr>
            </w:pPr>
          </w:p>
        </w:tc>
        <w:tc>
          <w:tcPr>
            <w:tcW w:w="200" w:type="dxa"/>
            <w:vAlign w:val="bottom"/>
            <w:tcBorders>
              <w:bottom w:val="single" w:sz="8" w:color="auto"/>
            </w:tcBorders>
            <w:shd w:val="clear" w:color="auto" w:fill="CCEEFF"/>
          </w:tcPr>
          <w:p>
            <w:pPr>
              <w:spacing w:after="0"/>
              <w:rPr>
                <w:sz w:val="24"/>
                <w:szCs w:val="24"/>
                <w:color w:val="auto"/>
              </w:rPr>
            </w:pPr>
          </w:p>
        </w:tc>
        <w:tc>
          <w:tcPr>
            <w:tcW w:w="12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24"/>
                <w:szCs w:val="24"/>
                <w:color w:val="auto"/>
              </w:rPr>
            </w:pPr>
          </w:p>
        </w:tc>
        <w:tc>
          <w:tcPr>
            <w:tcW w:w="180" w:type="dxa"/>
            <w:vAlign w:val="bottom"/>
            <w:tcBorders>
              <w:bottom w:val="single" w:sz="8" w:color="auto"/>
            </w:tcBorders>
            <w:shd w:val="clear" w:color="auto" w:fill="CCEEFF"/>
          </w:tcPr>
          <w:p>
            <w:pPr>
              <w:spacing w:after="0"/>
              <w:rPr>
                <w:sz w:val="24"/>
                <w:szCs w:val="24"/>
                <w:color w:val="auto"/>
              </w:rPr>
            </w:pPr>
          </w:p>
        </w:tc>
        <w:tc>
          <w:tcPr>
            <w:tcW w:w="13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32</w:t>
            </w:r>
          </w:p>
        </w:tc>
      </w:tr>
      <w:tr>
        <w:trPr>
          <w:trHeight w:val="242"/>
        </w:trPr>
        <w:tc>
          <w:tcPr>
            <w:tcW w:w="3540" w:type="dxa"/>
            <w:vAlign w:val="bottom"/>
          </w:tcPr>
          <w:p>
            <w:pPr>
              <w:ind w:left="40"/>
              <w:spacing w:after="0"/>
              <w:rPr>
                <w:sz w:val="20"/>
                <w:szCs w:val="20"/>
                <w:color w:val="auto"/>
              </w:rPr>
            </w:pPr>
            <w:r>
              <w:rPr>
                <w:rFonts w:ascii="Arial" w:cs="Arial" w:eastAsia="Arial" w:hAnsi="Arial"/>
                <w:sz w:val="16"/>
                <w:szCs w:val="16"/>
                <w:color w:val="auto"/>
              </w:rPr>
              <w:t>Income (loss) before income taxes</w:t>
            </w:r>
          </w:p>
        </w:tc>
        <w:tc>
          <w:tcPr>
            <w:tcW w:w="620" w:type="dxa"/>
            <w:vAlign w:val="bottom"/>
          </w:tcPr>
          <w:p>
            <w:pPr>
              <w:spacing w:after="0"/>
              <w:rPr>
                <w:sz w:val="21"/>
                <w:szCs w:val="21"/>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1</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(31)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(83)</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(113)</w:t>
            </w:r>
          </w:p>
        </w:tc>
      </w:tr>
      <w:tr>
        <w:trPr>
          <w:trHeight w:val="278"/>
        </w:trPr>
        <w:tc>
          <w:tcPr>
            <w:tcW w:w="3540" w:type="dxa"/>
            <w:vAlign w:val="bottom"/>
            <w:shd w:val="clear" w:color="auto" w:fill="CCEEFF"/>
          </w:tcPr>
          <w:p>
            <w:pPr>
              <w:ind w:left="40"/>
              <w:spacing w:after="0"/>
              <w:rPr>
                <w:sz w:val="20"/>
                <w:szCs w:val="20"/>
                <w:color w:val="auto"/>
              </w:rPr>
            </w:pPr>
            <w:r>
              <w:rPr>
                <w:rFonts w:ascii="Arial" w:cs="Arial" w:eastAsia="Arial" w:hAnsi="Arial"/>
                <w:sz w:val="16"/>
                <w:szCs w:val="16"/>
                <w:color w:val="auto"/>
              </w:rPr>
              <w:t>Income tax expense (benefit)</w:t>
            </w:r>
          </w:p>
        </w:tc>
        <w:tc>
          <w:tcPr>
            <w:tcW w:w="62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9</w:t>
            </w:r>
          </w:p>
        </w:tc>
        <w:tc>
          <w:tcPr>
            <w:tcW w:w="12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38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24"/>
                <w:szCs w:val="24"/>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w:t>
            </w:r>
          </w:p>
        </w:tc>
      </w:tr>
      <w:tr>
        <w:trPr>
          <w:trHeight w:val="178"/>
        </w:trPr>
        <w:tc>
          <w:tcPr>
            <w:tcW w:w="3540" w:type="dxa"/>
            <w:vAlign w:val="bottom"/>
          </w:tcPr>
          <w:p>
            <w:pPr>
              <w:ind w:left="40"/>
              <w:spacing w:after="0" w:line="178" w:lineRule="exact"/>
              <w:rPr>
                <w:sz w:val="20"/>
                <w:szCs w:val="20"/>
                <w:color w:val="auto"/>
              </w:rPr>
            </w:pPr>
            <w:r>
              <w:rPr>
                <w:rFonts w:ascii="Arial" w:cs="Arial" w:eastAsia="Arial" w:hAnsi="Arial"/>
                <w:sz w:val="16"/>
                <w:szCs w:val="16"/>
                <w:color w:val="auto"/>
              </w:rPr>
              <w:t>Net loss before equity in net losses of</w:t>
            </w:r>
          </w:p>
        </w:tc>
        <w:tc>
          <w:tcPr>
            <w:tcW w:w="620" w:type="dxa"/>
            <w:vAlign w:val="bottom"/>
            <w:tcBorders>
              <w:top w:val="single" w:sz="8" w:color="auto"/>
            </w:tcBorders>
          </w:tcPr>
          <w:p>
            <w:pPr>
              <w:spacing w:after="0"/>
              <w:rPr>
                <w:sz w:val="15"/>
                <w:szCs w:val="15"/>
                <w:color w:val="auto"/>
              </w:rPr>
            </w:pPr>
          </w:p>
        </w:tc>
        <w:tc>
          <w:tcPr>
            <w:tcW w:w="90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420" w:type="dxa"/>
            <w:vAlign w:val="bottom"/>
            <w:tcBorders>
              <w:top w:val="single" w:sz="8" w:color="auto"/>
            </w:tcBorders>
          </w:tcPr>
          <w:p>
            <w:pPr>
              <w:spacing w:after="0"/>
              <w:rPr>
                <w:sz w:val="15"/>
                <w:szCs w:val="15"/>
                <w:color w:val="auto"/>
              </w:rPr>
            </w:pPr>
          </w:p>
        </w:tc>
        <w:tc>
          <w:tcPr>
            <w:tcW w:w="108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128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128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1300" w:type="dxa"/>
            <w:vAlign w:val="bottom"/>
            <w:tcBorders>
              <w:top w:val="single" w:sz="8" w:color="auto"/>
            </w:tcBorders>
          </w:tcPr>
          <w:p>
            <w:pPr>
              <w:spacing w:after="0"/>
              <w:rPr>
                <w:sz w:val="15"/>
                <w:szCs w:val="15"/>
                <w:color w:val="auto"/>
              </w:rPr>
            </w:pPr>
          </w:p>
        </w:tc>
      </w:tr>
      <w:tr>
        <w:trPr>
          <w:trHeight w:val="226"/>
        </w:trPr>
        <w:tc>
          <w:tcPr>
            <w:tcW w:w="3540" w:type="dxa"/>
            <w:vAlign w:val="bottom"/>
          </w:tcPr>
          <w:p>
            <w:pPr>
              <w:ind w:left="200"/>
              <w:spacing w:after="0"/>
              <w:rPr>
                <w:sz w:val="20"/>
                <w:szCs w:val="20"/>
                <w:color w:val="auto"/>
              </w:rPr>
            </w:pPr>
            <w:r>
              <w:rPr>
                <w:rFonts w:ascii="Arial" w:cs="Arial" w:eastAsia="Arial" w:hAnsi="Arial"/>
                <w:sz w:val="16"/>
                <w:szCs w:val="16"/>
                <w:color w:val="auto"/>
              </w:rPr>
              <w:t>subsidiaries</w:t>
            </w:r>
          </w:p>
        </w:tc>
        <w:tc>
          <w:tcPr>
            <w:tcW w:w="6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(8)</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(21)</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(68)</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(97)</w:t>
            </w:r>
          </w:p>
        </w:tc>
      </w:tr>
      <w:tr>
        <w:trPr>
          <w:trHeight w:val="278"/>
        </w:trPr>
        <w:tc>
          <w:tcPr>
            <w:tcW w:w="3540" w:type="dxa"/>
            <w:vAlign w:val="bottom"/>
            <w:shd w:val="clear" w:color="auto" w:fill="CCEEFF"/>
          </w:tcPr>
          <w:p>
            <w:pPr>
              <w:ind w:left="40"/>
              <w:spacing w:after="0"/>
              <w:rPr>
                <w:sz w:val="20"/>
                <w:szCs w:val="20"/>
                <w:color w:val="auto"/>
              </w:rPr>
            </w:pPr>
            <w:r>
              <w:rPr>
                <w:rFonts w:ascii="Arial" w:cs="Arial" w:eastAsia="Arial" w:hAnsi="Arial"/>
                <w:sz w:val="16"/>
                <w:szCs w:val="16"/>
                <w:color w:val="auto"/>
              </w:rPr>
              <w:t>Equity in net losses of subsidiaries</w:t>
            </w:r>
          </w:p>
        </w:tc>
        <w:tc>
          <w:tcPr>
            <w:tcW w:w="620" w:type="dxa"/>
            <w:vAlign w:val="bottom"/>
            <w:shd w:val="clear" w:color="auto" w:fill="CCEEFF"/>
          </w:tcPr>
          <w:p>
            <w:pPr>
              <w:spacing w:after="0"/>
              <w:rPr>
                <w:sz w:val="24"/>
                <w:szCs w:val="2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(89)</w:t>
            </w:r>
          </w:p>
        </w:tc>
        <w:tc>
          <w:tcPr>
            <w:tcW w:w="12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(77)</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38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24"/>
                <w:szCs w:val="24"/>
                <w:color w:val="auto"/>
              </w:rPr>
            </w:pPr>
          </w:p>
        </w:tc>
        <w:tc>
          <w:tcPr>
            <w:tcW w:w="12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166</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3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30"/>
        </w:trPr>
        <w:tc>
          <w:tcPr>
            <w:tcW w:w="3540" w:type="dxa"/>
            <w:vAlign w:val="bottom"/>
          </w:tcPr>
          <w:p>
            <w:pPr>
              <w:ind w:left="40"/>
              <w:spacing w:after="0"/>
              <w:rPr>
                <w:sz w:val="20"/>
                <w:szCs w:val="20"/>
                <w:color w:val="auto"/>
              </w:rPr>
            </w:pPr>
            <w:r>
              <w:rPr>
                <w:rFonts w:ascii="Arial" w:cs="Arial" w:eastAsia="Arial" w:hAnsi="Arial"/>
                <w:sz w:val="16"/>
                <w:szCs w:val="16"/>
                <w:color w:val="auto"/>
              </w:rPr>
              <w:t>Net loss</w:t>
            </w:r>
          </w:p>
        </w:tc>
        <w:tc>
          <w:tcPr>
            <w:tcW w:w="620" w:type="dxa"/>
            <w:vAlign w:val="bottom"/>
            <w:tcBorders>
              <w:top w:val="single" w:sz="8" w:color="auto"/>
              <w:bottom w:val="single" w:sz="8" w:color="auto"/>
            </w:tcBorders>
          </w:tcPr>
          <w:p>
            <w:pPr>
              <w:jc w:val="right"/>
              <w:ind w:right="419"/>
              <w:spacing w:after="0"/>
              <w:rPr>
                <w:sz w:val="20"/>
                <w:szCs w:val="20"/>
                <w:color w:val="auto"/>
              </w:rPr>
            </w:pPr>
            <w:r>
              <w:rPr>
                <w:rFonts w:ascii="Arial" w:cs="Arial" w:eastAsia="Arial" w:hAnsi="Arial"/>
                <w:sz w:val="16"/>
                <w:szCs w:val="16"/>
                <w:color w:val="auto"/>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(97)</w:t>
            </w:r>
          </w:p>
        </w:tc>
        <w:tc>
          <w:tcPr>
            <w:tcW w:w="120" w:type="dxa"/>
            <w:vAlign w:val="bottom"/>
          </w:tcPr>
          <w:p>
            <w:pPr>
              <w:spacing w:after="0"/>
              <w:rPr>
                <w:sz w:val="20"/>
                <w:szCs w:val="20"/>
                <w:color w:val="auto"/>
              </w:rPr>
            </w:pPr>
          </w:p>
        </w:tc>
        <w:tc>
          <w:tcPr>
            <w:tcW w:w="420" w:type="dxa"/>
            <w:vAlign w:val="bottom"/>
            <w:tcBorders>
              <w:top w:val="single" w:sz="8" w:color="auto"/>
              <w:bottom w:val="single" w:sz="8" w:color="auto"/>
            </w:tcBorders>
          </w:tcPr>
          <w:p>
            <w:pPr>
              <w:jc w:val="right"/>
              <w:ind w:right="219"/>
              <w:spacing w:after="0"/>
              <w:rPr>
                <w:sz w:val="20"/>
                <w:szCs w:val="20"/>
                <w:color w:val="auto"/>
              </w:rPr>
            </w:pPr>
            <w:r>
              <w:rPr>
                <w:rFonts w:ascii="Arial" w:cs="Arial" w:eastAsia="Arial" w:hAnsi="Arial"/>
                <w:sz w:val="16"/>
                <w:szCs w:val="16"/>
                <w:color w:val="auto"/>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(98)</w:t>
            </w:r>
          </w:p>
        </w:tc>
        <w:tc>
          <w:tcPr>
            <w:tcW w:w="100" w:type="dxa"/>
            <w:vAlign w:val="bottom"/>
          </w:tcPr>
          <w:p>
            <w:pPr>
              <w:spacing w:after="0"/>
              <w:rPr>
                <w:sz w:val="20"/>
                <w:szCs w:val="20"/>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(68)</w:t>
            </w:r>
          </w:p>
        </w:tc>
        <w:tc>
          <w:tcPr>
            <w:tcW w:w="100" w:type="dxa"/>
            <w:vAlign w:val="bottom"/>
          </w:tcPr>
          <w:p>
            <w:pPr>
              <w:spacing w:after="0"/>
              <w:rPr>
                <w:sz w:val="20"/>
                <w:szCs w:val="20"/>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8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166</w:t>
            </w:r>
          </w:p>
        </w:tc>
        <w:tc>
          <w:tcPr>
            <w:tcW w:w="100" w:type="dxa"/>
            <w:vAlign w:val="bottom"/>
          </w:tcPr>
          <w:p>
            <w:pPr>
              <w:spacing w:after="0"/>
              <w:rPr>
                <w:sz w:val="20"/>
                <w:szCs w:val="20"/>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(97)</w:t>
            </w:r>
          </w:p>
        </w:tc>
      </w:tr>
      <w:tr>
        <w:trPr>
          <w:trHeight w:val="20"/>
        </w:trPr>
        <w:tc>
          <w:tcPr>
            <w:tcW w:w="354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32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Molina Healthcare, Inc. 2017 Form 10-Q | 31</w:t>
      </w:r>
    </w:p>
    <w:p>
      <w:pPr>
        <w:sectPr>
          <w:pgSz w:w="11900" w:h="16838" w:orient="portrait"/>
          <w:cols w:equalWidth="0" w:num="1">
            <w:col w:w="11420"/>
          </w:cols>
          <w:pgMar w:left="240" w:top="115" w:right="239" w:bottom="1440" w:gutter="0" w:footer="0" w:header="0"/>
        </w:sectPr>
      </w:pPr>
    </w:p>
    <w:bookmarkStart w:id="31" w:name="page32"/>
    <w:bookmarkEnd w:id="3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STATEMENTS OF COMPREHENSIVE LOSS</w:t>
      </w:r>
    </w:p>
    <w:p>
      <w:pPr>
        <w:spacing w:after="0" w:line="200" w:lineRule="exact"/>
        <w:rPr>
          <w:sz w:val="20"/>
          <w:szCs w:val="20"/>
          <w:color w:val="auto"/>
        </w:rPr>
      </w:pP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3540" w:type="dxa"/>
            <w:vAlign w:val="bottom"/>
          </w:tcPr>
          <w:p>
            <w:pPr>
              <w:spacing w:after="0"/>
              <w:rPr>
                <w:sz w:val="20"/>
                <w:szCs w:val="20"/>
                <w:color w:val="auto"/>
              </w:rPr>
            </w:pPr>
          </w:p>
        </w:tc>
        <w:tc>
          <w:tcPr>
            <w:tcW w:w="6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4340" w:type="dxa"/>
            <w:vAlign w:val="bottom"/>
            <w:tcBorders>
              <w:bottom w:val="single" w:sz="8" w:color="auto"/>
            </w:tcBorders>
            <w:gridSpan w:val="8"/>
          </w:tcPr>
          <w:p>
            <w:pPr>
              <w:jc w:val="center"/>
              <w:ind w:right="540"/>
              <w:spacing w:after="0"/>
              <w:rPr>
                <w:sz w:val="20"/>
                <w:szCs w:val="20"/>
                <w:color w:val="auto"/>
              </w:rPr>
            </w:pPr>
            <w:r>
              <w:rPr>
                <w:rFonts w:ascii="Arial" w:cs="Arial" w:eastAsia="Arial" w:hAnsi="Arial"/>
                <w:sz w:val="16"/>
                <w:szCs w:val="16"/>
                <w:b w:val="1"/>
                <w:bCs w:val="1"/>
                <w:color w:val="auto"/>
              </w:rPr>
              <w:t>Three Months Ended September 30, 2017</w:t>
            </w:r>
          </w:p>
        </w:tc>
        <w:tc>
          <w:tcPr>
            <w:tcW w:w="18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spacing w:after="0"/>
              <w:rPr>
                <w:sz w:val="20"/>
                <w:szCs w:val="20"/>
                <w:color w:val="auto"/>
              </w:rPr>
            </w:pPr>
          </w:p>
        </w:tc>
      </w:tr>
      <w:tr>
        <w:trPr>
          <w:trHeight w:val="264"/>
        </w:trPr>
        <w:tc>
          <w:tcPr>
            <w:tcW w:w="3540" w:type="dxa"/>
            <w:vAlign w:val="bottom"/>
          </w:tcPr>
          <w:p>
            <w:pPr>
              <w:spacing w:after="0"/>
              <w:rPr>
                <w:sz w:val="22"/>
                <w:szCs w:val="22"/>
                <w:color w:val="auto"/>
              </w:rPr>
            </w:pPr>
          </w:p>
        </w:tc>
        <w:tc>
          <w:tcPr>
            <w:tcW w:w="1640" w:type="dxa"/>
            <w:vAlign w:val="bottom"/>
            <w:tcBorders>
              <w:bottom w:val="single" w:sz="8" w:color="auto"/>
            </w:tcBorders>
            <w:gridSpan w:val="3"/>
          </w:tcPr>
          <w:p>
            <w:pPr>
              <w:ind w:left="100"/>
              <w:spacing w:after="0"/>
              <w:rPr>
                <w:sz w:val="20"/>
                <w:szCs w:val="20"/>
                <w:color w:val="auto"/>
              </w:rPr>
            </w:pPr>
            <w:r>
              <w:rPr>
                <w:rFonts w:ascii="Arial" w:cs="Arial" w:eastAsia="Arial" w:hAnsi="Arial"/>
                <w:sz w:val="16"/>
                <w:szCs w:val="16"/>
                <w:b w:val="1"/>
                <w:bCs w:val="1"/>
                <w:color w:val="auto"/>
              </w:rPr>
              <w:t>Parent Guarantor</w:t>
            </w:r>
          </w:p>
        </w:tc>
        <w:tc>
          <w:tcPr>
            <w:tcW w:w="1600" w:type="dxa"/>
            <w:vAlign w:val="bottom"/>
            <w:tcBorders>
              <w:bottom w:val="single" w:sz="8" w:color="auto"/>
            </w:tcBorders>
            <w:gridSpan w:val="3"/>
          </w:tcPr>
          <w:p>
            <w:pPr>
              <w:ind w:left="80"/>
              <w:spacing w:after="0"/>
              <w:rPr>
                <w:sz w:val="20"/>
                <w:szCs w:val="20"/>
                <w:color w:val="auto"/>
              </w:rPr>
            </w:pPr>
            <w:r>
              <w:rPr>
                <w:rFonts w:ascii="Arial" w:cs="Arial" w:eastAsia="Arial" w:hAnsi="Arial"/>
                <w:sz w:val="16"/>
                <w:szCs w:val="16"/>
                <w:b w:val="1"/>
                <w:bCs w:val="1"/>
                <w:color w:val="auto"/>
              </w:rPr>
              <w:t>Other Guarantors</w:t>
            </w:r>
          </w:p>
        </w:tc>
        <w:tc>
          <w:tcPr>
            <w:tcW w:w="1580" w:type="dxa"/>
            <w:vAlign w:val="bottom"/>
            <w:tcBorders>
              <w:bottom w:val="single" w:sz="8" w:color="auto"/>
            </w:tcBorders>
            <w:gridSpan w:val="3"/>
          </w:tcPr>
          <w:p>
            <w:pPr>
              <w:ind w:left="120"/>
              <w:spacing w:after="0"/>
              <w:rPr>
                <w:sz w:val="20"/>
                <w:szCs w:val="20"/>
                <w:color w:val="auto"/>
              </w:rPr>
            </w:pPr>
            <w:r>
              <w:rPr>
                <w:rFonts w:ascii="Arial" w:cs="Arial" w:eastAsia="Arial" w:hAnsi="Arial"/>
                <w:sz w:val="16"/>
                <w:szCs w:val="16"/>
                <w:b w:val="1"/>
                <w:bCs w:val="1"/>
                <w:color w:val="auto"/>
              </w:rPr>
              <w:t>Non-Guarantors</w:t>
            </w:r>
          </w:p>
        </w:tc>
        <w:tc>
          <w:tcPr>
            <w:tcW w:w="20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gridSpan w:val="2"/>
          </w:tcPr>
          <w:p>
            <w:pPr>
              <w:ind w:left="60"/>
              <w:spacing w:after="0"/>
              <w:rPr>
                <w:sz w:val="20"/>
                <w:szCs w:val="20"/>
                <w:color w:val="auto"/>
              </w:rPr>
            </w:pPr>
            <w:r>
              <w:rPr>
                <w:rFonts w:ascii="Arial" w:cs="Arial" w:eastAsia="Arial" w:hAnsi="Arial"/>
                <w:sz w:val="16"/>
                <w:szCs w:val="16"/>
                <w:b w:val="1"/>
                <w:bCs w:val="1"/>
                <w:color w:val="auto"/>
              </w:rPr>
              <w:t>Eliminations</w:t>
            </w:r>
          </w:p>
        </w:tc>
        <w:tc>
          <w:tcPr>
            <w:tcW w:w="18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b w:val="1"/>
                <w:bCs w:val="1"/>
                <w:color w:val="auto"/>
              </w:rPr>
              <w:t>Consolidated</w:t>
            </w:r>
          </w:p>
        </w:tc>
      </w:tr>
      <w:tr>
        <w:trPr>
          <w:trHeight w:val="250"/>
        </w:trPr>
        <w:tc>
          <w:tcPr>
            <w:tcW w:w="354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8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rPr>
              <w:t>(In millions)</w:t>
            </w:r>
          </w:p>
        </w:tc>
        <w:tc>
          <w:tcPr>
            <w:tcW w:w="2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spacing w:after="0"/>
              <w:rPr>
                <w:sz w:val="21"/>
                <w:szCs w:val="21"/>
                <w:color w:val="auto"/>
              </w:rPr>
            </w:pPr>
          </w:p>
        </w:tc>
      </w:tr>
      <w:tr>
        <w:trPr>
          <w:trHeight w:val="274"/>
        </w:trPr>
        <w:tc>
          <w:tcPr>
            <w:tcW w:w="3540" w:type="dxa"/>
            <w:vAlign w:val="bottom"/>
            <w:shd w:val="clear" w:color="auto" w:fill="CCEEFF"/>
          </w:tcPr>
          <w:p>
            <w:pPr>
              <w:ind w:left="40"/>
              <w:spacing w:after="0"/>
              <w:rPr>
                <w:sz w:val="20"/>
                <w:szCs w:val="20"/>
                <w:color w:val="auto"/>
              </w:rPr>
            </w:pPr>
            <w:r>
              <w:rPr>
                <w:rFonts w:ascii="Arial" w:cs="Arial" w:eastAsia="Arial" w:hAnsi="Arial"/>
                <w:sz w:val="16"/>
                <w:szCs w:val="16"/>
                <w:color w:val="auto"/>
              </w:rPr>
              <w:t>Net loss</w:t>
            </w:r>
          </w:p>
        </w:tc>
        <w:tc>
          <w:tcPr>
            <w:tcW w:w="640" w:type="dxa"/>
            <w:vAlign w:val="bottom"/>
            <w:shd w:val="clear" w:color="auto" w:fill="CCEEFF"/>
          </w:tcPr>
          <w:p>
            <w:pPr>
              <w:jc w:val="right"/>
              <w:ind w:right="439"/>
              <w:spacing w:after="0"/>
              <w:rPr>
                <w:sz w:val="20"/>
                <w:szCs w:val="20"/>
                <w:color w:val="auto"/>
              </w:rPr>
            </w:pPr>
            <w:r>
              <w:rPr>
                <w:rFonts w:ascii="Arial" w:cs="Arial" w:eastAsia="Arial" w:hAnsi="Arial"/>
                <w:sz w:val="16"/>
                <w:szCs w:val="16"/>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(97)</w:t>
            </w:r>
          </w:p>
        </w:tc>
        <w:tc>
          <w:tcPr>
            <w:tcW w:w="120" w:type="dxa"/>
            <w:vAlign w:val="bottom"/>
            <w:shd w:val="clear" w:color="auto" w:fill="CCEEFF"/>
          </w:tcPr>
          <w:p>
            <w:pPr>
              <w:spacing w:after="0"/>
              <w:rPr>
                <w:sz w:val="23"/>
                <w:szCs w:val="23"/>
                <w:color w:val="auto"/>
              </w:rPr>
            </w:pPr>
          </w:p>
        </w:tc>
        <w:tc>
          <w:tcPr>
            <w:tcW w:w="420" w:type="dxa"/>
            <w:vAlign w:val="bottom"/>
            <w:shd w:val="clear" w:color="auto" w:fill="CCEEFF"/>
          </w:tcPr>
          <w:p>
            <w:pPr>
              <w:jc w:val="right"/>
              <w:ind w:right="219"/>
              <w:spacing w:after="0"/>
              <w:rPr>
                <w:sz w:val="20"/>
                <w:szCs w:val="20"/>
                <w:color w:val="auto"/>
              </w:rPr>
            </w:pPr>
            <w:r>
              <w:rPr>
                <w:rFonts w:ascii="Arial" w:cs="Arial" w:eastAsia="Arial" w:hAnsi="Arial"/>
                <w:sz w:val="16"/>
                <w:szCs w:val="16"/>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(98)</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(68)</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166</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(97)</w:t>
            </w:r>
          </w:p>
        </w:tc>
      </w:tr>
      <w:tr>
        <w:trPr>
          <w:trHeight w:val="264"/>
        </w:trPr>
        <w:tc>
          <w:tcPr>
            <w:tcW w:w="3540" w:type="dxa"/>
            <w:vAlign w:val="bottom"/>
          </w:tcPr>
          <w:p>
            <w:pPr>
              <w:ind w:left="40"/>
              <w:spacing w:after="0"/>
              <w:rPr>
                <w:sz w:val="20"/>
                <w:szCs w:val="20"/>
                <w:color w:val="auto"/>
              </w:rPr>
            </w:pPr>
            <w:r>
              <w:rPr>
                <w:rFonts w:ascii="Arial" w:cs="Arial" w:eastAsia="Arial" w:hAnsi="Arial"/>
                <w:sz w:val="16"/>
                <w:szCs w:val="16"/>
                <w:color w:val="auto"/>
              </w:rPr>
              <w:t>Other comprehensive loss, net of tax</w:t>
            </w:r>
          </w:p>
        </w:tc>
        <w:tc>
          <w:tcPr>
            <w:tcW w:w="640" w:type="dxa"/>
            <w:vAlign w:val="bottom"/>
          </w:tcPr>
          <w:p>
            <w:pPr>
              <w:spacing w:after="0"/>
              <w:rPr>
                <w:sz w:val="22"/>
                <w:szCs w:val="22"/>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420" w:type="dxa"/>
            <w:vAlign w:val="bottom"/>
          </w:tcPr>
          <w:p>
            <w:pPr>
              <w:spacing w:after="0"/>
              <w:rPr>
                <w:sz w:val="22"/>
                <w:szCs w:val="22"/>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2"/>
                <w:szCs w:val="22"/>
                <w:color w:val="auto"/>
              </w:rPr>
            </w:pPr>
          </w:p>
        </w:tc>
        <w:tc>
          <w:tcPr>
            <w:tcW w:w="13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2"/>
                <w:szCs w:val="22"/>
                <w:color w:val="auto"/>
              </w:rPr>
            </w:pPr>
          </w:p>
        </w:tc>
        <w:tc>
          <w:tcPr>
            <w:tcW w:w="13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2"/>
                <w:szCs w:val="22"/>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242"/>
        </w:trPr>
        <w:tc>
          <w:tcPr>
            <w:tcW w:w="35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Comprehensive loss</w:t>
            </w:r>
          </w:p>
        </w:tc>
        <w:tc>
          <w:tcPr>
            <w:tcW w:w="640" w:type="dxa"/>
            <w:vAlign w:val="bottom"/>
            <w:tcBorders>
              <w:top w:val="single" w:sz="8" w:color="auto"/>
              <w:bottom w:val="single" w:sz="8" w:color="auto"/>
            </w:tcBorders>
            <w:shd w:val="clear" w:color="auto" w:fill="CCEEFF"/>
          </w:tcPr>
          <w:p>
            <w:pPr>
              <w:jc w:val="right"/>
              <w:ind w:right="439"/>
              <w:spacing w:after="0"/>
              <w:rPr>
                <w:sz w:val="20"/>
                <w:szCs w:val="20"/>
                <w:color w:val="auto"/>
              </w:rPr>
            </w:pPr>
            <w:r>
              <w:rPr>
                <w:rFonts w:ascii="Arial" w:cs="Arial" w:eastAsia="Arial" w:hAnsi="Arial"/>
                <w:sz w:val="16"/>
                <w:szCs w:val="16"/>
                <w:color w:val="auto"/>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(97)</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420" w:type="dxa"/>
            <w:vAlign w:val="bottom"/>
            <w:tcBorders>
              <w:top w:val="single" w:sz="8" w:color="auto"/>
              <w:bottom w:val="single" w:sz="8" w:color="auto"/>
            </w:tcBorders>
            <w:shd w:val="clear" w:color="auto" w:fill="CCEEFF"/>
          </w:tcPr>
          <w:p>
            <w:pPr>
              <w:jc w:val="right"/>
              <w:ind w:right="219"/>
              <w:spacing w:after="0"/>
              <w:rPr>
                <w:sz w:val="20"/>
                <w:szCs w:val="20"/>
                <w:color w:val="auto"/>
              </w:rPr>
            </w:pPr>
            <w:r>
              <w:rPr>
                <w:rFonts w:ascii="Arial" w:cs="Arial" w:eastAsia="Arial" w:hAnsi="Arial"/>
                <w:sz w:val="16"/>
                <w:szCs w:val="16"/>
                <w:color w:val="auto"/>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8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166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(97)</w:t>
            </w:r>
          </w:p>
        </w:tc>
      </w:tr>
      <w:tr>
        <w:trPr>
          <w:trHeight w:val="20"/>
        </w:trPr>
        <w:tc>
          <w:tcPr>
            <w:tcW w:w="354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STATEMENTS OF INCOME</w:t>
      </w:r>
    </w:p>
    <w:p>
      <w:pPr>
        <w:spacing w:after="0" w:line="200" w:lineRule="exact"/>
        <w:rPr>
          <w:sz w:val="20"/>
          <w:szCs w:val="20"/>
          <w:color w:val="auto"/>
        </w:rPr>
      </w:pP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3540" w:type="dxa"/>
            <w:vAlign w:val="bottom"/>
          </w:tcPr>
          <w:p>
            <w:pPr>
              <w:spacing w:after="0"/>
              <w:rPr>
                <w:sz w:val="20"/>
                <w:szCs w:val="20"/>
                <w:color w:val="auto"/>
              </w:rPr>
            </w:pPr>
          </w:p>
        </w:tc>
        <w:tc>
          <w:tcPr>
            <w:tcW w:w="6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4340" w:type="dxa"/>
            <w:vAlign w:val="bottom"/>
            <w:tcBorders>
              <w:bottom w:val="single" w:sz="8" w:color="auto"/>
            </w:tcBorders>
            <w:gridSpan w:val="8"/>
          </w:tcPr>
          <w:p>
            <w:pPr>
              <w:jc w:val="center"/>
              <w:ind w:right="540"/>
              <w:spacing w:after="0"/>
              <w:rPr>
                <w:sz w:val="20"/>
                <w:szCs w:val="20"/>
                <w:color w:val="auto"/>
              </w:rPr>
            </w:pPr>
            <w:r>
              <w:rPr>
                <w:rFonts w:ascii="Arial" w:cs="Arial" w:eastAsia="Arial" w:hAnsi="Arial"/>
                <w:sz w:val="16"/>
                <w:szCs w:val="16"/>
                <w:b w:val="1"/>
                <w:bCs w:val="1"/>
                <w:color w:val="auto"/>
              </w:rPr>
              <w:t>Three Months Ended September 30, 2016</w:t>
            </w:r>
          </w:p>
        </w:tc>
        <w:tc>
          <w:tcPr>
            <w:tcW w:w="18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spacing w:after="0"/>
              <w:rPr>
                <w:sz w:val="20"/>
                <w:szCs w:val="20"/>
                <w:color w:val="auto"/>
              </w:rPr>
            </w:pPr>
          </w:p>
        </w:tc>
      </w:tr>
      <w:tr>
        <w:trPr>
          <w:trHeight w:val="264"/>
        </w:trPr>
        <w:tc>
          <w:tcPr>
            <w:tcW w:w="3540" w:type="dxa"/>
            <w:vAlign w:val="bottom"/>
          </w:tcPr>
          <w:p>
            <w:pPr>
              <w:spacing w:after="0"/>
              <w:rPr>
                <w:sz w:val="22"/>
                <w:szCs w:val="22"/>
                <w:color w:val="auto"/>
              </w:rPr>
            </w:pPr>
          </w:p>
        </w:tc>
        <w:tc>
          <w:tcPr>
            <w:tcW w:w="1640" w:type="dxa"/>
            <w:vAlign w:val="bottom"/>
            <w:tcBorders>
              <w:bottom w:val="single" w:sz="8" w:color="auto"/>
            </w:tcBorders>
            <w:gridSpan w:val="3"/>
          </w:tcPr>
          <w:p>
            <w:pPr>
              <w:ind w:left="100"/>
              <w:spacing w:after="0"/>
              <w:rPr>
                <w:sz w:val="20"/>
                <w:szCs w:val="20"/>
                <w:color w:val="auto"/>
              </w:rPr>
            </w:pPr>
            <w:r>
              <w:rPr>
                <w:rFonts w:ascii="Arial" w:cs="Arial" w:eastAsia="Arial" w:hAnsi="Arial"/>
                <w:sz w:val="16"/>
                <w:szCs w:val="16"/>
                <w:b w:val="1"/>
                <w:bCs w:val="1"/>
                <w:color w:val="auto"/>
              </w:rPr>
              <w:t>Parent Guarantor</w:t>
            </w:r>
          </w:p>
        </w:tc>
        <w:tc>
          <w:tcPr>
            <w:tcW w:w="1600" w:type="dxa"/>
            <w:vAlign w:val="bottom"/>
            <w:tcBorders>
              <w:bottom w:val="single" w:sz="8" w:color="auto"/>
            </w:tcBorders>
            <w:gridSpan w:val="3"/>
          </w:tcPr>
          <w:p>
            <w:pPr>
              <w:ind w:left="80"/>
              <w:spacing w:after="0"/>
              <w:rPr>
                <w:sz w:val="20"/>
                <w:szCs w:val="20"/>
                <w:color w:val="auto"/>
              </w:rPr>
            </w:pPr>
            <w:r>
              <w:rPr>
                <w:rFonts w:ascii="Arial" w:cs="Arial" w:eastAsia="Arial" w:hAnsi="Arial"/>
                <w:sz w:val="16"/>
                <w:szCs w:val="16"/>
                <w:b w:val="1"/>
                <w:bCs w:val="1"/>
                <w:color w:val="auto"/>
              </w:rPr>
              <w:t>Other Guarantors</w:t>
            </w:r>
          </w:p>
        </w:tc>
        <w:tc>
          <w:tcPr>
            <w:tcW w:w="1580" w:type="dxa"/>
            <w:vAlign w:val="bottom"/>
            <w:tcBorders>
              <w:bottom w:val="single" w:sz="8" w:color="auto"/>
            </w:tcBorders>
            <w:gridSpan w:val="3"/>
          </w:tcPr>
          <w:p>
            <w:pPr>
              <w:ind w:left="120"/>
              <w:spacing w:after="0"/>
              <w:rPr>
                <w:sz w:val="20"/>
                <w:szCs w:val="20"/>
                <w:color w:val="auto"/>
              </w:rPr>
            </w:pPr>
            <w:r>
              <w:rPr>
                <w:rFonts w:ascii="Arial" w:cs="Arial" w:eastAsia="Arial" w:hAnsi="Arial"/>
                <w:sz w:val="16"/>
                <w:szCs w:val="16"/>
                <w:b w:val="1"/>
                <w:bCs w:val="1"/>
                <w:color w:val="auto"/>
              </w:rPr>
              <w:t>Non-Guarantors</w:t>
            </w:r>
          </w:p>
        </w:tc>
        <w:tc>
          <w:tcPr>
            <w:tcW w:w="20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gridSpan w:val="2"/>
          </w:tcPr>
          <w:p>
            <w:pPr>
              <w:ind w:left="60"/>
              <w:spacing w:after="0"/>
              <w:rPr>
                <w:sz w:val="20"/>
                <w:szCs w:val="20"/>
                <w:color w:val="auto"/>
              </w:rPr>
            </w:pPr>
            <w:r>
              <w:rPr>
                <w:rFonts w:ascii="Arial" w:cs="Arial" w:eastAsia="Arial" w:hAnsi="Arial"/>
                <w:sz w:val="16"/>
                <w:szCs w:val="16"/>
                <w:b w:val="1"/>
                <w:bCs w:val="1"/>
                <w:color w:val="auto"/>
              </w:rPr>
              <w:t>Eliminations</w:t>
            </w:r>
          </w:p>
        </w:tc>
        <w:tc>
          <w:tcPr>
            <w:tcW w:w="18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b w:val="1"/>
                <w:bCs w:val="1"/>
                <w:color w:val="auto"/>
              </w:rPr>
              <w:t>Consolidated</w:t>
            </w:r>
          </w:p>
        </w:tc>
      </w:tr>
      <w:tr>
        <w:trPr>
          <w:trHeight w:val="250"/>
        </w:trPr>
        <w:tc>
          <w:tcPr>
            <w:tcW w:w="35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8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rPr>
              <w:t>(In millions)</w:t>
            </w:r>
          </w:p>
        </w:tc>
        <w:tc>
          <w:tcPr>
            <w:tcW w:w="2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spacing w:after="0"/>
              <w:rPr>
                <w:sz w:val="21"/>
                <w:szCs w:val="21"/>
                <w:color w:val="auto"/>
              </w:rPr>
            </w:pPr>
          </w:p>
        </w:tc>
      </w:tr>
      <w:tr>
        <w:trPr>
          <w:trHeight w:val="254"/>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Revenue:</w:t>
            </w:r>
          </w:p>
        </w:tc>
        <w:tc>
          <w:tcPr>
            <w:tcW w:w="62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spacing w:after="0"/>
              <w:rPr>
                <w:sz w:val="22"/>
                <w:szCs w:val="22"/>
                <w:color w:val="auto"/>
              </w:rPr>
            </w:pPr>
          </w:p>
        </w:tc>
      </w:tr>
      <w:tr>
        <w:trPr>
          <w:trHeight w:val="264"/>
        </w:trPr>
        <w:tc>
          <w:tcPr>
            <w:tcW w:w="354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Total revenue</w:t>
            </w:r>
          </w:p>
        </w:tc>
        <w:tc>
          <w:tcPr>
            <w:tcW w:w="62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274</w:t>
            </w:r>
          </w:p>
        </w:tc>
        <w:tc>
          <w:tcPr>
            <w:tcW w:w="120" w:type="dxa"/>
            <w:vAlign w:val="bottom"/>
            <w:tcBorders>
              <w:bottom w:val="single" w:sz="8" w:color="CCEEFF"/>
            </w:tcBorders>
          </w:tcPr>
          <w:p>
            <w:pPr>
              <w:spacing w:after="0"/>
              <w:rPr>
                <w:sz w:val="22"/>
                <w:szCs w:val="22"/>
                <w:color w:val="auto"/>
              </w:rPr>
            </w:pPr>
          </w:p>
        </w:tc>
        <w:tc>
          <w:tcPr>
            <w:tcW w:w="42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48</w:t>
            </w: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4,498</w:t>
            </w: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(274)</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4,546</w:t>
            </w:r>
          </w:p>
        </w:tc>
      </w:tr>
      <w:tr>
        <w:trPr>
          <w:trHeight w:val="250"/>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Expenses:</w:t>
            </w:r>
          </w:p>
        </w:tc>
        <w:tc>
          <w:tcPr>
            <w:tcW w:w="6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r>
      <w:tr>
        <w:trPr>
          <w:trHeight w:val="262"/>
        </w:trPr>
        <w:tc>
          <w:tcPr>
            <w:tcW w:w="3540" w:type="dxa"/>
            <w:vAlign w:val="bottom"/>
          </w:tcPr>
          <w:p>
            <w:pPr>
              <w:ind w:left="40"/>
              <w:spacing w:after="0"/>
              <w:rPr>
                <w:sz w:val="20"/>
                <w:szCs w:val="20"/>
                <w:color w:val="auto"/>
              </w:rPr>
            </w:pPr>
            <w:r>
              <w:rPr>
                <w:rFonts w:ascii="Arial" w:cs="Arial" w:eastAsia="Arial" w:hAnsi="Arial"/>
                <w:sz w:val="16"/>
                <w:szCs w:val="16"/>
                <w:color w:val="auto"/>
              </w:rPr>
              <w:t>Medical care costs</w:t>
            </w:r>
          </w:p>
        </w:tc>
        <w:tc>
          <w:tcPr>
            <w:tcW w:w="620" w:type="dxa"/>
            <w:vAlign w:val="bottom"/>
          </w:tcPr>
          <w:p>
            <w:pPr>
              <w:spacing w:after="0"/>
              <w:rPr>
                <w:sz w:val="22"/>
                <w:szCs w:val="22"/>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19</w:t>
            </w:r>
          </w:p>
        </w:tc>
        <w:tc>
          <w:tcPr>
            <w:tcW w:w="1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2"/>
                <w:szCs w:val="22"/>
                <w:color w:val="auto"/>
              </w:rPr>
            </w:pPr>
          </w:p>
        </w:tc>
        <w:tc>
          <w:tcPr>
            <w:tcW w:w="1280" w:type="dxa"/>
            <w:vAlign w:val="bottom"/>
          </w:tcPr>
          <w:p>
            <w:pPr>
              <w:jc w:val="right"/>
              <w:ind w:right="19"/>
              <w:spacing w:after="0"/>
              <w:rPr>
                <w:sz w:val="20"/>
                <w:szCs w:val="20"/>
                <w:color w:val="auto"/>
              </w:rPr>
            </w:pPr>
            <w:r>
              <w:rPr>
                <w:rFonts w:ascii="Arial" w:cs="Arial" w:eastAsia="Arial" w:hAnsi="Arial"/>
                <w:sz w:val="16"/>
                <w:szCs w:val="16"/>
                <w:color w:val="auto"/>
              </w:rPr>
              <w:t>3,730</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3,748</w:t>
            </w:r>
          </w:p>
        </w:tc>
      </w:tr>
      <w:tr>
        <w:trPr>
          <w:trHeight w:val="278"/>
        </w:trPr>
        <w:tc>
          <w:tcPr>
            <w:tcW w:w="3540" w:type="dxa"/>
            <w:vAlign w:val="bottom"/>
            <w:shd w:val="clear" w:color="auto" w:fill="CCEEFF"/>
          </w:tcPr>
          <w:p>
            <w:pPr>
              <w:ind w:left="40"/>
              <w:spacing w:after="0"/>
              <w:rPr>
                <w:sz w:val="20"/>
                <w:szCs w:val="20"/>
                <w:color w:val="auto"/>
              </w:rPr>
            </w:pPr>
            <w:r>
              <w:rPr>
                <w:rFonts w:ascii="Arial" w:cs="Arial" w:eastAsia="Arial" w:hAnsi="Arial"/>
                <w:sz w:val="16"/>
                <w:szCs w:val="16"/>
                <w:color w:val="auto"/>
              </w:rPr>
              <w:t>Cost of service revenue</w:t>
            </w:r>
          </w:p>
        </w:tc>
        <w:tc>
          <w:tcPr>
            <w:tcW w:w="620" w:type="dxa"/>
            <w:vAlign w:val="bottom"/>
            <w:shd w:val="clear" w:color="auto" w:fill="CCEEFF"/>
          </w:tcPr>
          <w:p>
            <w:pPr>
              <w:spacing w:after="0"/>
              <w:rPr>
                <w:sz w:val="24"/>
                <w:szCs w:val="24"/>
                <w:color w:val="auto"/>
              </w:rPr>
            </w:pP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42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42</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2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77</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38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24"/>
                <w:szCs w:val="24"/>
                <w:color w:val="auto"/>
              </w:rPr>
            </w:pPr>
          </w:p>
        </w:tc>
        <w:tc>
          <w:tcPr>
            <w:tcW w:w="13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119</w:t>
            </w:r>
          </w:p>
        </w:tc>
      </w:tr>
      <w:tr>
        <w:trPr>
          <w:trHeight w:val="262"/>
        </w:trPr>
        <w:tc>
          <w:tcPr>
            <w:tcW w:w="3540" w:type="dxa"/>
            <w:vAlign w:val="bottom"/>
          </w:tcPr>
          <w:p>
            <w:pPr>
              <w:ind w:left="40"/>
              <w:spacing w:after="0"/>
              <w:rPr>
                <w:sz w:val="20"/>
                <w:szCs w:val="20"/>
                <w:color w:val="auto"/>
              </w:rPr>
            </w:pPr>
            <w:r>
              <w:rPr>
                <w:rFonts w:ascii="Arial" w:cs="Arial" w:eastAsia="Arial" w:hAnsi="Arial"/>
                <w:sz w:val="16"/>
                <w:szCs w:val="16"/>
                <w:color w:val="auto"/>
              </w:rPr>
              <w:t>General and administrative expenses</w:t>
            </w:r>
          </w:p>
        </w:tc>
        <w:tc>
          <w:tcPr>
            <w:tcW w:w="620" w:type="dxa"/>
            <w:vAlign w:val="bottom"/>
          </w:tcPr>
          <w:p>
            <w:pPr>
              <w:spacing w:after="0"/>
              <w:rPr>
                <w:sz w:val="22"/>
                <w:szCs w:val="22"/>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223</w:t>
            </w:r>
          </w:p>
        </w:tc>
        <w:tc>
          <w:tcPr>
            <w:tcW w:w="1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(4)</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80" w:type="dxa"/>
            <w:vAlign w:val="bottom"/>
          </w:tcPr>
          <w:p>
            <w:pPr>
              <w:jc w:val="right"/>
              <w:ind w:right="19"/>
              <w:spacing w:after="0"/>
              <w:rPr>
                <w:sz w:val="20"/>
                <w:szCs w:val="20"/>
                <w:color w:val="auto"/>
              </w:rPr>
            </w:pPr>
            <w:r>
              <w:rPr>
                <w:rFonts w:ascii="Arial" w:cs="Arial" w:eastAsia="Arial" w:hAnsi="Arial"/>
                <w:sz w:val="16"/>
                <w:szCs w:val="16"/>
                <w:color w:val="auto"/>
              </w:rPr>
              <w:t>397</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(273)</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343</w:t>
            </w:r>
          </w:p>
        </w:tc>
      </w:tr>
      <w:tr>
        <w:trPr>
          <w:trHeight w:val="278"/>
        </w:trPr>
        <w:tc>
          <w:tcPr>
            <w:tcW w:w="3540" w:type="dxa"/>
            <w:vAlign w:val="bottom"/>
            <w:shd w:val="clear" w:color="auto" w:fill="CCEEFF"/>
          </w:tcPr>
          <w:p>
            <w:pPr>
              <w:ind w:left="40"/>
              <w:spacing w:after="0"/>
              <w:rPr>
                <w:sz w:val="20"/>
                <w:szCs w:val="20"/>
                <w:color w:val="auto"/>
              </w:rPr>
            </w:pPr>
            <w:r>
              <w:rPr>
                <w:rFonts w:ascii="Arial" w:cs="Arial" w:eastAsia="Arial" w:hAnsi="Arial"/>
                <w:sz w:val="16"/>
                <w:szCs w:val="16"/>
                <w:color w:val="auto"/>
              </w:rPr>
              <w:t>Premium tax expenses</w:t>
            </w:r>
          </w:p>
        </w:tc>
        <w:tc>
          <w:tcPr>
            <w:tcW w:w="620" w:type="dxa"/>
            <w:vAlign w:val="bottom"/>
            <w:shd w:val="clear" w:color="auto" w:fill="CCEEFF"/>
          </w:tcPr>
          <w:p>
            <w:pPr>
              <w:spacing w:after="0"/>
              <w:rPr>
                <w:sz w:val="24"/>
                <w:szCs w:val="24"/>
                <w:color w:val="auto"/>
              </w:rPr>
            </w:pP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420" w:type="dxa"/>
            <w:vAlign w:val="bottom"/>
            <w:shd w:val="clear" w:color="auto" w:fill="CCEEFF"/>
          </w:tcPr>
          <w:p>
            <w:pPr>
              <w:spacing w:after="0"/>
              <w:rPr>
                <w:sz w:val="24"/>
                <w:szCs w:val="24"/>
                <w:color w:val="auto"/>
              </w:rPr>
            </w:pP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24"/>
                <w:szCs w:val="24"/>
                <w:color w:val="auto"/>
              </w:rPr>
            </w:pPr>
          </w:p>
        </w:tc>
        <w:tc>
          <w:tcPr>
            <w:tcW w:w="12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127</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38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24"/>
                <w:szCs w:val="24"/>
                <w:color w:val="auto"/>
              </w:rPr>
            </w:pPr>
          </w:p>
        </w:tc>
        <w:tc>
          <w:tcPr>
            <w:tcW w:w="13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127</w:t>
            </w:r>
          </w:p>
        </w:tc>
      </w:tr>
      <w:tr>
        <w:trPr>
          <w:trHeight w:val="262"/>
        </w:trPr>
        <w:tc>
          <w:tcPr>
            <w:tcW w:w="3540" w:type="dxa"/>
            <w:vAlign w:val="bottom"/>
          </w:tcPr>
          <w:p>
            <w:pPr>
              <w:ind w:left="40"/>
              <w:spacing w:after="0"/>
              <w:rPr>
                <w:sz w:val="20"/>
                <w:szCs w:val="20"/>
                <w:color w:val="auto"/>
              </w:rPr>
            </w:pPr>
            <w:r>
              <w:rPr>
                <w:rFonts w:ascii="Arial" w:cs="Arial" w:eastAsia="Arial" w:hAnsi="Arial"/>
                <w:sz w:val="16"/>
                <w:szCs w:val="16"/>
                <w:color w:val="auto"/>
              </w:rPr>
              <w:t>Health insurer fee expenses</w:t>
            </w:r>
          </w:p>
        </w:tc>
        <w:tc>
          <w:tcPr>
            <w:tcW w:w="620" w:type="dxa"/>
            <w:vAlign w:val="bottom"/>
          </w:tcPr>
          <w:p>
            <w:pPr>
              <w:spacing w:after="0"/>
              <w:rPr>
                <w:sz w:val="22"/>
                <w:szCs w:val="22"/>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420" w:type="dxa"/>
            <w:vAlign w:val="bottom"/>
          </w:tcPr>
          <w:p>
            <w:pPr>
              <w:spacing w:after="0"/>
              <w:rPr>
                <w:sz w:val="22"/>
                <w:szCs w:val="22"/>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2"/>
                <w:szCs w:val="22"/>
                <w:color w:val="auto"/>
              </w:rPr>
            </w:pPr>
          </w:p>
        </w:tc>
        <w:tc>
          <w:tcPr>
            <w:tcW w:w="1280" w:type="dxa"/>
            <w:vAlign w:val="bottom"/>
          </w:tcPr>
          <w:p>
            <w:pPr>
              <w:jc w:val="right"/>
              <w:ind w:right="19"/>
              <w:spacing w:after="0"/>
              <w:rPr>
                <w:sz w:val="20"/>
                <w:szCs w:val="20"/>
                <w:color w:val="auto"/>
              </w:rPr>
            </w:pPr>
            <w:r>
              <w:rPr>
                <w:rFonts w:ascii="Arial" w:cs="Arial" w:eastAsia="Arial" w:hAnsi="Arial"/>
                <w:sz w:val="16"/>
                <w:szCs w:val="16"/>
                <w:color w:val="auto"/>
              </w:rPr>
              <w:t>55</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3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2"/>
                <w:szCs w:val="22"/>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55</w:t>
            </w:r>
          </w:p>
        </w:tc>
      </w:tr>
      <w:tr>
        <w:trPr>
          <w:trHeight w:val="278"/>
        </w:trPr>
        <w:tc>
          <w:tcPr>
            <w:tcW w:w="3540" w:type="dxa"/>
            <w:vAlign w:val="bottom"/>
            <w:shd w:val="clear" w:color="auto" w:fill="CCEEFF"/>
          </w:tcPr>
          <w:p>
            <w:pPr>
              <w:ind w:left="40"/>
              <w:spacing w:after="0"/>
              <w:rPr>
                <w:sz w:val="20"/>
                <w:szCs w:val="20"/>
                <w:color w:val="auto"/>
              </w:rPr>
            </w:pPr>
            <w:r>
              <w:rPr>
                <w:rFonts w:ascii="Arial" w:cs="Arial" w:eastAsia="Arial" w:hAnsi="Arial"/>
                <w:sz w:val="16"/>
                <w:szCs w:val="16"/>
                <w:color w:val="auto"/>
              </w:rPr>
              <w:t>Depreciation and amortization</w:t>
            </w:r>
          </w:p>
        </w:tc>
        <w:tc>
          <w:tcPr>
            <w:tcW w:w="62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25</w:t>
            </w:r>
          </w:p>
        </w:tc>
        <w:tc>
          <w:tcPr>
            <w:tcW w:w="12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2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9</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38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24"/>
                <w:szCs w:val="24"/>
                <w:color w:val="auto"/>
              </w:rPr>
            </w:pPr>
          </w:p>
        </w:tc>
        <w:tc>
          <w:tcPr>
            <w:tcW w:w="13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36</w:t>
            </w:r>
          </w:p>
        </w:tc>
      </w:tr>
      <w:tr>
        <w:trPr>
          <w:trHeight w:val="244"/>
        </w:trPr>
        <w:tc>
          <w:tcPr>
            <w:tcW w:w="354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Total operating expenses</w:t>
            </w:r>
          </w:p>
        </w:tc>
        <w:tc>
          <w:tcPr>
            <w:tcW w:w="620" w:type="dxa"/>
            <w:vAlign w:val="bottom"/>
            <w:tcBorders>
              <w:top w:val="single" w:sz="8" w:color="auto"/>
              <w:bottom w:val="single" w:sz="8" w:color="auto"/>
            </w:tcBorders>
          </w:tcPr>
          <w:p>
            <w:pPr>
              <w:spacing w:after="0"/>
              <w:rPr>
                <w:sz w:val="21"/>
                <w:szCs w:val="21"/>
                <w:color w:val="auto"/>
              </w:rPr>
            </w:pPr>
          </w:p>
        </w:tc>
        <w:tc>
          <w:tcPr>
            <w:tcW w:w="90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267</w:t>
            </w:r>
          </w:p>
        </w:tc>
        <w:tc>
          <w:tcPr>
            <w:tcW w:w="120" w:type="dxa"/>
            <w:vAlign w:val="bottom"/>
            <w:tcBorders>
              <w:bottom w:val="single" w:sz="8" w:color="CCEEFF"/>
            </w:tcBorders>
          </w:tcPr>
          <w:p>
            <w:pPr>
              <w:spacing w:after="0"/>
              <w:rPr>
                <w:sz w:val="21"/>
                <w:szCs w:val="21"/>
                <w:color w:val="auto"/>
              </w:rPr>
            </w:pPr>
          </w:p>
        </w:tc>
        <w:tc>
          <w:tcPr>
            <w:tcW w:w="420" w:type="dxa"/>
            <w:vAlign w:val="bottom"/>
            <w:tcBorders>
              <w:top w:val="single" w:sz="8" w:color="auto"/>
              <w:bottom w:val="single" w:sz="8" w:color="auto"/>
            </w:tcBorders>
          </w:tcPr>
          <w:p>
            <w:pPr>
              <w:spacing w:after="0"/>
              <w:rPr>
                <w:sz w:val="21"/>
                <w:szCs w:val="21"/>
                <w:color w:val="auto"/>
              </w:rPr>
            </w:pPr>
          </w:p>
        </w:tc>
        <w:tc>
          <w:tcPr>
            <w:tcW w:w="108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40</w:t>
            </w:r>
          </w:p>
        </w:tc>
        <w:tc>
          <w:tcPr>
            <w:tcW w:w="100" w:type="dxa"/>
            <w:vAlign w:val="bottom"/>
            <w:tcBorders>
              <w:bottom w:val="single" w:sz="8" w:color="CCEEFF"/>
            </w:tcBorders>
          </w:tcPr>
          <w:p>
            <w:pPr>
              <w:spacing w:after="0"/>
              <w:rPr>
                <w:sz w:val="21"/>
                <w:szCs w:val="21"/>
                <w:color w:val="auto"/>
              </w:rPr>
            </w:pPr>
          </w:p>
        </w:tc>
        <w:tc>
          <w:tcPr>
            <w:tcW w:w="200" w:type="dxa"/>
            <w:vAlign w:val="bottom"/>
            <w:tcBorders>
              <w:top w:val="single" w:sz="8" w:color="auto"/>
              <w:bottom w:val="single" w:sz="8" w:color="auto"/>
            </w:tcBorders>
          </w:tcPr>
          <w:p>
            <w:pPr>
              <w:spacing w:after="0"/>
              <w:rPr>
                <w:sz w:val="21"/>
                <w:szCs w:val="21"/>
                <w:color w:val="auto"/>
              </w:rPr>
            </w:pPr>
          </w:p>
        </w:tc>
        <w:tc>
          <w:tcPr>
            <w:tcW w:w="128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4,395</w:t>
            </w:r>
          </w:p>
        </w:tc>
        <w:tc>
          <w:tcPr>
            <w:tcW w:w="100" w:type="dxa"/>
            <w:vAlign w:val="bottom"/>
            <w:tcBorders>
              <w:bottom w:val="single" w:sz="8" w:color="CCEEFF"/>
            </w:tcBorders>
          </w:tcPr>
          <w:p>
            <w:pPr>
              <w:spacing w:after="0"/>
              <w:rPr>
                <w:sz w:val="21"/>
                <w:szCs w:val="21"/>
                <w:color w:val="auto"/>
              </w:rPr>
            </w:pPr>
          </w:p>
        </w:tc>
        <w:tc>
          <w:tcPr>
            <w:tcW w:w="200" w:type="dxa"/>
            <w:vAlign w:val="bottom"/>
            <w:tcBorders>
              <w:top w:val="single" w:sz="8" w:color="auto"/>
              <w:bottom w:val="single" w:sz="8" w:color="auto"/>
            </w:tcBorders>
          </w:tcPr>
          <w:p>
            <w:pPr>
              <w:spacing w:after="0"/>
              <w:rPr>
                <w:sz w:val="21"/>
                <w:szCs w:val="21"/>
                <w:color w:val="auto"/>
              </w:rPr>
            </w:pP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(274)</w:t>
            </w:r>
          </w:p>
        </w:tc>
        <w:tc>
          <w:tcPr>
            <w:tcW w:w="100" w:type="dxa"/>
            <w:vAlign w:val="bottom"/>
            <w:tcBorders>
              <w:bottom w:val="single" w:sz="8" w:color="CCEEFF"/>
            </w:tcBorders>
          </w:tcPr>
          <w:p>
            <w:pPr>
              <w:spacing w:after="0"/>
              <w:rPr>
                <w:sz w:val="21"/>
                <w:szCs w:val="21"/>
                <w:color w:val="auto"/>
              </w:rPr>
            </w:pPr>
          </w:p>
        </w:tc>
        <w:tc>
          <w:tcPr>
            <w:tcW w:w="180" w:type="dxa"/>
            <w:vAlign w:val="bottom"/>
            <w:tcBorders>
              <w:top w:val="single" w:sz="8" w:color="auto"/>
              <w:bottom w:val="single" w:sz="8" w:color="auto"/>
            </w:tcBorders>
          </w:tcPr>
          <w:p>
            <w:pPr>
              <w:spacing w:after="0"/>
              <w:rPr>
                <w:sz w:val="21"/>
                <w:szCs w:val="21"/>
                <w:color w:val="auto"/>
              </w:rPr>
            </w:pPr>
          </w:p>
        </w:tc>
        <w:tc>
          <w:tcPr>
            <w:tcW w:w="13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4,428</w:t>
            </w:r>
          </w:p>
        </w:tc>
      </w:tr>
      <w:tr>
        <w:trPr>
          <w:trHeight w:val="257"/>
        </w:trPr>
        <w:tc>
          <w:tcPr>
            <w:tcW w:w="3540" w:type="dxa"/>
            <w:vAlign w:val="bottom"/>
            <w:shd w:val="clear" w:color="auto" w:fill="CCEEFF"/>
          </w:tcPr>
          <w:p>
            <w:pPr>
              <w:ind w:left="40"/>
              <w:spacing w:after="0"/>
              <w:rPr>
                <w:sz w:val="20"/>
                <w:szCs w:val="20"/>
                <w:color w:val="auto"/>
              </w:rPr>
            </w:pPr>
            <w:r>
              <w:rPr>
                <w:rFonts w:ascii="Arial" w:cs="Arial" w:eastAsia="Arial" w:hAnsi="Arial"/>
                <w:sz w:val="16"/>
                <w:szCs w:val="16"/>
                <w:color w:val="auto"/>
              </w:rPr>
              <w:t>Operating income</w:t>
            </w:r>
          </w:p>
        </w:tc>
        <w:tc>
          <w:tcPr>
            <w:tcW w:w="620" w:type="dxa"/>
            <w:vAlign w:val="bottom"/>
            <w:shd w:val="clear" w:color="auto" w:fill="CCEEFF"/>
          </w:tcPr>
          <w:p>
            <w:pPr>
              <w:spacing w:after="0"/>
              <w:rPr>
                <w:sz w:val="22"/>
                <w:szCs w:val="22"/>
                <w:color w:val="auto"/>
              </w:rPr>
            </w:pPr>
          </w:p>
        </w:tc>
        <w:tc>
          <w:tcPr>
            <w:tcW w:w="9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7</w:t>
            </w:r>
          </w:p>
        </w:tc>
        <w:tc>
          <w:tcPr>
            <w:tcW w:w="12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10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8</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2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103</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38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22"/>
                <w:szCs w:val="22"/>
                <w:color w:val="auto"/>
              </w:rPr>
            </w:pPr>
          </w:p>
        </w:tc>
        <w:tc>
          <w:tcPr>
            <w:tcW w:w="13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118</w:t>
            </w:r>
          </w:p>
        </w:tc>
      </w:tr>
    </w:tbl>
    <w:p>
      <w:pPr>
        <w:spacing w:after="0" w:line="9" w:lineRule="exact"/>
        <w:rPr>
          <w:sz w:val="20"/>
          <w:szCs w:val="20"/>
          <w:color w:val="auto"/>
        </w:rPr>
      </w:pPr>
    </w:p>
    <w:p>
      <w:pPr>
        <w:sectPr>
          <w:pgSz w:w="11900" w:h="16838" w:orient="portrait"/>
          <w:cols w:equalWidth="0" w:num="1">
            <w:col w:w="11420"/>
          </w:cols>
          <w:pgMar w:left="240" w:top="115" w:right="239" w:bottom="1440" w:gutter="0" w:footer="0" w:header="0"/>
        </w:sectPr>
      </w:pPr>
    </w:p>
    <w:p>
      <w:pPr>
        <w:ind w:left="40"/>
        <w:spacing w:after="0"/>
        <w:rPr>
          <w:sz w:val="20"/>
          <w:szCs w:val="20"/>
          <w:color w:val="auto"/>
        </w:rPr>
      </w:pPr>
      <w:r>
        <w:rPr>
          <w:rFonts w:ascii="Arial" w:cs="Arial" w:eastAsia="Arial" w:hAnsi="Arial"/>
          <w:sz w:val="16"/>
          <w:szCs w:val="16"/>
          <w:color w:val="auto"/>
        </w:rPr>
        <w:t>Interest expense</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(Loss) income before income taxes</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Income tax expense</w:t>
      </w:r>
    </w:p>
    <w:p>
      <w:pPr>
        <w:spacing w:after="0" w:line="86" w:lineRule="exact"/>
        <w:rPr>
          <w:sz w:val="20"/>
          <w:szCs w:val="20"/>
          <w:color w:val="auto"/>
        </w:rPr>
      </w:pPr>
    </w:p>
    <w:p>
      <w:pPr>
        <w:ind w:left="200" w:right="600" w:hanging="161"/>
        <w:spacing w:after="0" w:line="281" w:lineRule="auto"/>
        <w:rPr>
          <w:sz w:val="20"/>
          <w:szCs w:val="20"/>
          <w:color w:val="auto"/>
        </w:rPr>
      </w:pPr>
      <w:r>
        <w:rPr>
          <w:rFonts w:ascii="Arial" w:cs="Arial" w:eastAsia="Arial" w:hAnsi="Arial"/>
          <w:sz w:val="16"/>
          <w:szCs w:val="16"/>
          <w:color w:val="auto"/>
        </w:rPr>
        <w:t>Net (loss) income before equity in net earnings of subsidiaries</w:t>
      </w:r>
    </w:p>
    <w:p>
      <w:pPr>
        <w:spacing w:after="0" w:line="1" w:lineRule="exact"/>
        <w:rPr>
          <w:sz w:val="20"/>
          <w:szCs w:val="20"/>
          <w:color w:val="auto"/>
        </w:rPr>
      </w:pPr>
    </w:p>
    <w:p>
      <w:pPr>
        <w:ind w:left="40"/>
        <w:spacing w:after="0"/>
        <w:rPr>
          <w:sz w:val="20"/>
          <w:szCs w:val="20"/>
          <w:color w:val="auto"/>
        </w:rPr>
      </w:pPr>
      <w:r>
        <w:rPr>
          <w:rFonts w:ascii="Arial" w:cs="Arial" w:eastAsia="Arial" w:hAnsi="Arial"/>
          <w:sz w:val="16"/>
          <w:szCs w:val="16"/>
          <w:color w:val="auto"/>
        </w:rPr>
        <w:t>Equity in net earnings of subsidiaries</w:t>
      </w:r>
    </w:p>
    <w:p>
      <w:pPr>
        <w:spacing w:after="0" w:line="86" w:lineRule="exact"/>
        <w:rPr>
          <w:sz w:val="20"/>
          <w:szCs w:val="20"/>
          <w:color w:val="auto"/>
        </w:rPr>
      </w:pPr>
    </w:p>
    <w:p>
      <w:pPr>
        <w:ind w:left="40"/>
        <w:spacing w:after="0"/>
        <w:tabs>
          <w:tab w:leader="none" w:pos="3560" w:val="left"/>
        </w:tabs>
        <w:rPr>
          <w:sz w:val="20"/>
          <w:szCs w:val="20"/>
          <w:color w:val="auto"/>
        </w:rPr>
      </w:pPr>
      <w:r>
        <w:rPr>
          <w:rFonts w:ascii="Arial" w:cs="Arial" w:eastAsia="Arial" w:hAnsi="Arial"/>
          <w:sz w:val="16"/>
          <w:szCs w:val="16"/>
          <w:color w:val="auto"/>
        </w:rPr>
        <w:t>Net income</w:t>
      </w:r>
      <w:r>
        <w:rPr>
          <w:sz w:val="20"/>
          <w:szCs w:val="20"/>
          <w:color w:val="auto"/>
        </w:rPr>
        <w:tab/>
      </w:r>
      <w:r>
        <w:rPr>
          <w:rFonts w:ascii="Arial" w:cs="Arial" w:eastAsia="Arial" w:hAnsi="Arial"/>
          <w:sz w:val="14"/>
          <w:szCs w:val="14"/>
          <w:color w:val="auto"/>
        </w:rPr>
        <w:t>$</w:t>
      </w:r>
    </w:p>
    <w:p>
      <w:pPr>
        <w:spacing w:after="0" w:line="20" w:lineRule="exact"/>
        <w:rPr>
          <w:sz w:val="20"/>
          <w:szCs w:val="20"/>
          <w:color w:val="auto"/>
        </w:rPr>
      </w:pPr>
      <w:r>
        <w:rPr>
          <w:sz w:val="20"/>
          <w:szCs w:val="20"/>
          <w:color w:val="auto"/>
        </w:rPr>
        <w:br w:type="column"/>
      </w:r>
    </w:p>
    <w:p>
      <w:pPr>
        <w:spacing w:after="0" w:line="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8"/>
        </w:trPr>
        <w:tc>
          <w:tcPr>
            <w:tcW w:w="480" w:type="dxa"/>
            <w:vAlign w:val="bottom"/>
          </w:tcPr>
          <w:p>
            <w:pPr>
              <w:jc w:val="right"/>
              <w:ind w:right="159"/>
              <w:spacing w:after="0"/>
              <w:rPr>
                <w:sz w:val="20"/>
                <w:szCs w:val="20"/>
                <w:color w:val="auto"/>
              </w:rPr>
            </w:pPr>
            <w:r>
              <w:rPr>
                <w:rFonts w:ascii="Arial" w:cs="Arial" w:eastAsia="Arial" w:hAnsi="Arial"/>
                <w:sz w:val="16"/>
                <w:szCs w:val="16"/>
                <w:color w:val="auto"/>
              </w:rPr>
              <w:t>26</w:t>
            </w:r>
          </w:p>
        </w:tc>
        <w:tc>
          <w:tcPr>
            <w:tcW w:w="6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26</w:t>
            </w:r>
          </w:p>
        </w:tc>
      </w:tr>
      <w:tr>
        <w:trPr>
          <w:trHeight w:val="241"/>
        </w:trPr>
        <w:tc>
          <w:tcPr>
            <w:tcW w:w="480" w:type="dxa"/>
            <w:vAlign w:val="bottom"/>
          </w:tcPr>
          <w:p>
            <w:pPr>
              <w:jc w:val="right"/>
              <w:ind w:right="99"/>
              <w:spacing w:after="0"/>
              <w:rPr>
                <w:sz w:val="20"/>
                <w:szCs w:val="20"/>
                <w:color w:val="auto"/>
              </w:rPr>
            </w:pPr>
            <w:r>
              <w:rPr>
                <w:rFonts w:ascii="Arial" w:cs="Arial" w:eastAsia="Arial" w:hAnsi="Arial"/>
                <w:sz w:val="16"/>
                <w:szCs w:val="16"/>
                <w:color w:val="auto"/>
                <w:w w:val="98"/>
              </w:rPr>
              <w:t>(19)</w:t>
            </w:r>
          </w:p>
        </w:tc>
        <w:tc>
          <w:tcPr>
            <w:tcW w:w="680" w:type="dxa"/>
            <w:vAlign w:val="bottom"/>
          </w:tcPr>
          <w:p>
            <w:pPr>
              <w:spacing w:after="0"/>
              <w:rPr>
                <w:sz w:val="20"/>
                <w:szCs w:val="20"/>
                <w:color w:val="auto"/>
              </w:rPr>
            </w:pPr>
          </w:p>
        </w:tc>
        <w:tc>
          <w:tcPr>
            <w:tcW w:w="820" w:type="dxa"/>
            <w:vAlign w:val="bottom"/>
          </w:tcPr>
          <w:p>
            <w:pPr>
              <w:jc w:val="right"/>
              <w:ind w:right="19"/>
              <w:spacing w:after="0"/>
              <w:rPr>
                <w:sz w:val="20"/>
                <w:szCs w:val="20"/>
                <w:color w:val="auto"/>
              </w:rPr>
            </w:pPr>
            <w:r>
              <w:rPr>
                <w:rFonts w:ascii="Arial" w:cs="Arial" w:eastAsia="Arial" w:hAnsi="Arial"/>
                <w:sz w:val="16"/>
                <w:szCs w:val="16"/>
                <w:color w:val="auto"/>
              </w:rPr>
              <w:t>8</w:t>
            </w: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103</w:t>
            </w: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660" w:type="dxa"/>
            <w:vAlign w:val="bottom"/>
          </w:tcPr>
          <w:p>
            <w:pPr>
              <w:spacing w:after="0"/>
              <w:rPr>
                <w:sz w:val="20"/>
                <w:szCs w:val="20"/>
                <w:color w:val="auto"/>
              </w:rPr>
            </w:pPr>
          </w:p>
        </w:tc>
        <w:tc>
          <w:tcPr>
            <w:tcW w:w="820" w:type="dxa"/>
            <w:vAlign w:val="bottom"/>
          </w:tcPr>
          <w:p>
            <w:pPr>
              <w:jc w:val="right"/>
              <w:ind w:right="19"/>
              <w:spacing w:after="0"/>
              <w:rPr>
                <w:sz w:val="20"/>
                <w:szCs w:val="20"/>
                <w:color w:val="auto"/>
              </w:rPr>
            </w:pPr>
            <w:r>
              <w:rPr>
                <w:rFonts w:ascii="Arial" w:cs="Arial" w:eastAsia="Arial" w:hAnsi="Arial"/>
                <w:sz w:val="16"/>
                <w:szCs w:val="16"/>
                <w:color w:val="auto"/>
              </w:rPr>
              <w:t>92</w:t>
            </w:r>
          </w:p>
        </w:tc>
      </w:tr>
      <w:tr>
        <w:trPr>
          <w:trHeight w:val="279"/>
        </w:trPr>
        <w:tc>
          <w:tcPr>
            <w:tcW w:w="480" w:type="dxa"/>
            <w:vAlign w:val="bottom"/>
          </w:tcPr>
          <w:p>
            <w:pPr>
              <w:jc w:val="right"/>
              <w:ind w:right="159"/>
              <w:spacing w:after="0"/>
              <w:rPr>
                <w:sz w:val="20"/>
                <w:szCs w:val="20"/>
                <w:color w:val="auto"/>
              </w:rPr>
            </w:pPr>
            <w:r>
              <w:rPr>
                <w:rFonts w:ascii="Arial" w:cs="Arial" w:eastAsia="Arial" w:hAnsi="Arial"/>
                <w:sz w:val="16"/>
                <w:szCs w:val="16"/>
                <w:color w:val="auto"/>
              </w:rPr>
              <w:t>4</w:t>
            </w:r>
          </w:p>
        </w:tc>
        <w:tc>
          <w:tcPr>
            <w:tcW w:w="68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46</w:t>
            </w:r>
          </w:p>
        </w:tc>
        <w:tc>
          <w:tcPr>
            <w:tcW w:w="100" w:type="dxa"/>
            <w:vAlign w:val="bottom"/>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50</w:t>
            </w:r>
          </w:p>
        </w:tc>
      </w:tr>
      <w:tr>
        <w:trPr>
          <w:trHeight w:val="403"/>
        </w:trPr>
        <w:tc>
          <w:tcPr>
            <w:tcW w:w="480" w:type="dxa"/>
            <w:vAlign w:val="bottom"/>
          </w:tcPr>
          <w:p>
            <w:pPr>
              <w:jc w:val="right"/>
              <w:ind w:right="99"/>
              <w:spacing w:after="0"/>
              <w:rPr>
                <w:sz w:val="20"/>
                <w:szCs w:val="20"/>
                <w:color w:val="auto"/>
              </w:rPr>
            </w:pPr>
            <w:r>
              <w:rPr>
                <w:rFonts w:ascii="Arial" w:cs="Arial" w:eastAsia="Arial" w:hAnsi="Arial"/>
                <w:sz w:val="16"/>
                <w:szCs w:val="16"/>
                <w:color w:val="auto"/>
                <w:w w:val="98"/>
              </w:rPr>
              <w:t>(23)</w:t>
            </w:r>
          </w:p>
        </w:tc>
        <w:tc>
          <w:tcPr>
            <w:tcW w:w="680" w:type="dxa"/>
            <w:vAlign w:val="bottom"/>
          </w:tcPr>
          <w:p>
            <w:pPr>
              <w:spacing w:after="0"/>
              <w:rPr>
                <w:sz w:val="24"/>
                <w:szCs w:val="24"/>
                <w:color w:val="auto"/>
              </w:rPr>
            </w:pPr>
          </w:p>
        </w:tc>
        <w:tc>
          <w:tcPr>
            <w:tcW w:w="820" w:type="dxa"/>
            <w:vAlign w:val="bottom"/>
          </w:tcPr>
          <w:p>
            <w:pPr>
              <w:jc w:val="right"/>
              <w:ind w:right="19"/>
              <w:spacing w:after="0"/>
              <w:rPr>
                <w:sz w:val="20"/>
                <w:szCs w:val="20"/>
                <w:color w:val="auto"/>
              </w:rPr>
            </w:pPr>
            <w:r>
              <w:rPr>
                <w:rFonts w:ascii="Arial" w:cs="Arial" w:eastAsia="Arial" w:hAnsi="Arial"/>
                <w:sz w:val="16"/>
                <w:szCs w:val="16"/>
                <w:color w:val="auto"/>
              </w:rPr>
              <w:t>8</w:t>
            </w: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57</w:t>
            </w: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660" w:type="dxa"/>
            <w:vAlign w:val="bottom"/>
          </w:tcPr>
          <w:p>
            <w:pPr>
              <w:spacing w:after="0"/>
              <w:rPr>
                <w:sz w:val="24"/>
                <w:szCs w:val="24"/>
                <w:color w:val="auto"/>
              </w:rPr>
            </w:pPr>
          </w:p>
        </w:tc>
        <w:tc>
          <w:tcPr>
            <w:tcW w:w="820" w:type="dxa"/>
            <w:vAlign w:val="bottom"/>
          </w:tcPr>
          <w:p>
            <w:pPr>
              <w:jc w:val="right"/>
              <w:ind w:right="19"/>
              <w:spacing w:after="0"/>
              <w:rPr>
                <w:sz w:val="20"/>
                <w:szCs w:val="20"/>
                <w:color w:val="auto"/>
              </w:rPr>
            </w:pPr>
            <w:r>
              <w:rPr>
                <w:rFonts w:ascii="Arial" w:cs="Arial" w:eastAsia="Arial" w:hAnsi="Arial"/>
                <w:sz w:val="16"/>
                <w:szCs w:val="16"/>
                <w:color w:val="auto"/>
              </w:rPr>
              <w:t>42</w:t>
            </w:r>
          </w:p>
        </w:tc>
      </w:tr>
      <w:tr>
        <w:trPr>
          <w:trHeight w:val="279"/>
        </w:trPr>
        <w:tc>
          <w:tcPr>
            <w:tcW w:w="480" w:type="dxa"/>
            <w:vAlign w:val="bottom"/>
          </w:tcPr>
          <w:p>
            <w:pPr>
              <w:jc w:val="right"/>
              <w:ind w:right="159"/>
              <w:spacing w:after="0"/>
              <w:rPr>
                <w:sz w:val="20"/>
                <w:szCs w:val="20"/>
                <w:color w:val="auto"/>
              </w:rPr>
            </w:pPr>
            <w:r>
              <w:rPr>
                <w:rFonts w:ascii="Arial" w:cs="Arial" w:eastAsia="Arial" w:hAnsi="Arial"/>
                <w:sz w:val="16"/>
                <w:szCs w:val="16"/>
                <w:color w:val="auto"/>
              </w:rPr>
              <w:t>65</w:t>
            </w:r>
          </w:p>
        </w:tc>
        <w:tc>
          <w:tcPr>
            <w:tcW w:w="680" w:type="dxa"/>
            <w:vAlign w:val="bottom"/>
          </w:tcPr>
          <w:p>
            <w:pPr>
              <w:spacing w:after="0"/>
              <w:rPr>
                <w:sz w:val="24"/>
                <w:szCs w:val="24"/>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620" w:type="dxa"/>
            <w:vAlign w:val="bottom"/>
          </w:tcPr>
          <w:p>
            <w:pPr>
              <w:spacing w:after="0"/>
              <w:rPr>
                <w:sz w:val="24"/>
                <w:szCs w:val="24"/>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64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(65)</w:t>
            </w: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2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237"/>
        </w:trPr>
        <w:tc>
          <w:tcPr>
            <w:tcW w:w="480" w:type="dxa"/>
            <w:vAlign w:val="bottom"/>
          </w:tcPr>
          <w:p>
            <w:pPr>
              <w:jc w:val="right"/>
              <w:ind w:right="159"/>
              <w:spacing w:after="0"/>
              <w:rPr>
                <w:sz w:val="20"/>
                <w:szCs w:val="20"/>
                <w:color w:val="auto"/>
              </w:rPr>
            </w:pPr>
            <w:r>
              <w:rPr>
                <w:rFonts w:ascii="Arial" w:cs="Arial" w:eastAsia="Arial" w:hAnsi="Arial"/>
                <w:sz w:val="16"/>
                <w:szCs w:val="16"/>
                <w:color w:val="auto"/>
              </w:rPr>
              <w:t>42</w:t>
            </w:r>
          </w:p>
        </w:tc>
        <w:tc>
          <w:tcPr>
            <w:tcW w:w="680" w:type="dxa"/>
            <w:vAlign w:val="bottom"/>
            <w:tcBorders>
              <w:top w:val="single" w:sz="8" w:color="auto"/>
              <w:bottom w:val="single" w:sz="8" w:color="auto"/>
            </w:tcBorders>
          </w:tcPr>
          <w:p>
            <w:pPr>
              <w:jc w:val="right"/>
              <w:ind w:right="479"/>
              <w:spacing w:after="0"/>
              <w:rPr>
                <w:sz w:val="20"/>
                <w:szCs w:val="20"/>
                <w:color w:val="auto"/>
              </w:rPr>
            </w:pPr>
            <w:r>
              <w:rPr>
                <w:rFonts w:ascii="Arial" w:cs="Arial" w:eastAsia="Arial" w:hAnsi="Arial"/>
                <w:sz w:val="16"/>
                <w:szCs w:val="16"/>
                <w:color w:val="auto"/>
              </w:rPr>
              <w:t>$</w:t>
            </w:r>
          </w:p>
        </w:tc>
        <w:tc>
          <w:tcPr>
            <w:tcW w:w="82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8</w:t>
            </w:r>
          </w:p>
        </w:tc>
        <w:tc>
          <w:tcPr>
            <w:tcW w:w="100" w:type="dxa"/>
            <w:vAlign w:val="bottom"/>
          </w:tcPr>
          <w:p>
            <w:pPr>
              <w:spacing w:after="0"/>
              <w:rPr>
                <w:sz w:val="20"/>
                <w:szCs w:val="20"/>
                <w:color w:val="auto"/>
              </w:rPr>
            </w:pPr>
          </w:p>
        </w:tc>
        <w:tc>
          <w:tcPr>
            <w:tcW w:w="620" w:type="dxa"/>
            <w:vAlign w:val="bottom"/>
            <w:tcBorders>
              <w:top w:val="single" w:sz="8" w:color="auto"/>
              <w:bottom w:val="single" w:sz="8" w:color="auto"/>
            </w:tcBorders>
          </w:tcPr>
          <w:p>
            <w:pPr>
              <w:jc w:val="right"/>
              <w:ind w:right="419"/>
              <w:spacing w:after="0"/>
              <w:rPr>
                <w:sz w:val="20"/>
                <w:szCs w:val="20"/>
                <w:color w:val="auto"/>
              </w:rPr>
            </w:pPr>
            <w:r>
              <w:rPr>
                <w:rFonts w:ascii="Arial" w:cs="Arial" w:eastAsia="Arial" w:hAnsi="Arial"/>
                <w:sz w:val="16"/>
                <w:szCs w:val="16"/>
                <w:color w:val="auto"/>
              </w:rPr>
              <w:t>$</w:t>
            </w:r>
          </w:p>
        </w:tc>
        <w:tc>
          <w:tcPr>
            <w:tcW w:w="86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57</w:t>
            </w:r>
          </w:p>
        </w:tc>
        <w:tc>
          <w:tcPr>
            <w:tcW w:w="100" w:type="dxa"/>
            <w:vAlign w:val="bottom"/>
          </w:tcPr>
          <w:p>
            <w:pPr>
              <w:spacing w:after="0"/>
              <w:rPr>
                <w:sz w:val="20"/>
                <w:szCs w:val="20"/>
                <w:color w:val="auto"/>
              </w:rPr>
            </w:pPr>
          </w:p>
        </w:tc>
        <w:tc>
          <w:tcPr>
            <w:tcW w:w="640" w:type="dxa"/>
            <w:vAlign w:val="bottom"/>
            <w:tcBorders>
              <w:top w:val="single" w:sz="8" w:color="auto"/>
              <w:bottom w:val="single" w:sz="8" w:color="auto"/>
            </w:tcBorders>
          </w:tcPr>
          <w:p>
            <w:pPr>
              <w:jc w:val="right"/>
              <w:ind w:right="439"/>
              <w:spacing w:after="0"/>
              <w:rPr>
                <w:sz w:val="20"/>
                <w:szCs w:val="20"/>
                <w:color w:val="auto"/>
              </w:rPr>
            </w:pPr>
            <w:r>
              <w:rPr>
                <w:rFonts w:ascii="Arial" w:cs="Arial" w:eastAsia="Arial" w:hAnsi="Arial"/>
                <w:sz w:val="16"/>
                <w:szCs w:val="16"/>
                <w:color w:val="auto"/>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(65)</w:t>
            </w:r>
          </w:p>
        </w:tc>
        <w:tc>
          <w:tcPr>
            <w:tcW w:w="100" w:type="dxa"/>
            <w:vAlign w:val="bottom"/>
          </w:tcPr>
          <w:p>
            <w:pPr>
              <w:spacing w:after="0"/>
              <w:rPr>
                <w:sz w:val="20"/>
                <w:szCs w:val="20"/>
                <w:color w:val="auto"/>
              </w:rPr>
            </w:pPr>
          </w:p>
        </w:tc>
        <w:tc>
          <w:tcPr>
            <w:tcW w:w="660" w:type="dxa"/>
            <w:vAlign w:val="bottom"/>
            <w:tcBorders>
              <w:top w:val="single" w:sz="8" w:color="auto"/>
              <w:bottom w:val="single" w:sz="8" w:color="auto"/>
            </w:tcBorders>
          </w:tcPr>
          <w:p>
            <w:pPr>
              <w:jc w:val="right"/>
              <w:ind w:right="459"/>
              <w:spacing w:after="0"/>
              <w:rPr>
                <w:sz w:val="20"/>
                <w:szCs w:val="20"/>
                <w:color w:val="auto"/>
              </w:rPr>
            </w:pPr>
            <w:r>
              <w:rPr>
                <w:rFonts w:ascii="Arial" w:cs="Arial" w:eastAsia="Arial" w:hAnsi="Arial"/>
                <w:sz w:val="16"/>
                <w:szCs w:val="16"/>
                <w:color w:val="auto"/>
              </w:rPr>
              <w:t>$</w:t>
            </w:r>
          </w:p>
        </w:tc>
        <w:tc>
          <w:tcPr>
            <w:tcW w:w="82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42</w:t>
            </w:r>
          </w:p>
        </w:tc>
      </w:tr>
      <w:tr>
        <w:trPr>
          <w:trHeight w:val="20"/>
        </w:trPr>
        <w:tc>
          <w:tcPr>
            <w:tcW w:w="48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-2978785</wp:posOffset>
            </wp:positionH>
            <wp:positionV relativeFrom="paragraph">
              <wp:posOffset>-187960</wp:posOffset>
            </wp:positionV>
            <wp:extent cx="7246620" cy="18859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188595"/>
                    </a:xfrm>
                    <a:prstGeom prst="rect">
                      <a:avLst/>
                    </a:prstGeom>
                    <a:noFill/>
                  </pic:spPr>
                </pic:pic>
              </a:graphicData>
            </a:graphic>
          </wp:anchor>
        </w:drawing>
        <w:drawing>
          <wp:anchor simplePos="0" relativeHeight="251657728" behindDoc="1" locked="0" layoutInCell="0" allowOverlap="1">
            <wp:simplePos x="0" y="0"/>
            <wp:positionH relativeFrom="column">
              <wp:posOffset>-2978785</wp:posOffset>
            </wp:positionH>
            <wp:positionV relativeFrom="paragraph">
              <wp:posOffset>-633730</wp:posOffset>
            </wp:positionV>
            <wp:extent cx="7246620" cy="27432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274320"/>
                    </a:xfrm>
                    <a:prstGeom prst="rect">
                      <a:avLst/>
                    </a:prstGeom>
                    <a:noFill/>
                  </pic:spPr>
                </pic:pic>
              </a:graphicData>
            </a:graphic>
          </wp:anchor>
        </w:drawing>
        <w:drawing>
          <wp:anchor simplePos="0" relativeHeight="251657728" behindDoc="1" locked="0" layoutInCell="0" allowOverlap="1">
            <wp:simplePos x="0" y="0"/>
            <wp:positionH relativeFrom="column">
              <wp:posOffset>-2978785</wp:posOffset>
            </wp:positionH>
            <wp:positionV relativeFrom="paragraph">
              <wp:posOffset>-977265</wp:posOffset>
            </wp:positionV>
            <wp:extent cx="7246620" cy="17145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3980" w:space="720"/>
            <w:col w:w="6720"/>
          </w:cols>
          <w:pgMar w:left="240" w:top="115" w:right="239" w:bottom="1440" w:gutter="0" w:footer="0" w:header="0"/>
          <w:type w:val="continuous"/>
        </w:sect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STATEMENTS OF COMPREHENSIVE INCOME</w:t>
      </w:r>
    </w:p>
    <w:p>
      <w:pPr>
        <w:spacing w:after="0" w:line="200" w:lineRule="exact"/>
        <w:rPr>
          <w:sz w:val="20"/>
          <w:szCs w:val="20"/>
          <w:color w:val="auto"/>
        </w:rPr>
      </w:pP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3540" w:type="dxa"/>
            <w:vAlign w:val="bottom"/>
          </w:tcPr>
          <w:p>
            <w:pPr>
              <w:spacing w:after="0"/>
              <w:rPr>
                <w:sz w:val="20"/>
                <w:szCs w:val="20"/>
                <w:color w:val="auto"/>
              </w:rPr>
            </w:pPr>
          </w:p>
        </w:tc>
        <w:tc>
          <w:tcPr>
            <w:tcW w:w="68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4340" w:type="dxa"/>
            <w:vAlign w:val="bottom"/>
            <w:tcBorders>
              <w:bottom w:val="single" w:sz="8" w:color="auto"/>
            </w:tcBorders>
            <w:gridSpan w:val="8"/>
          </w:tcPr>
          <w:p>
            <w:pPr>
              <w:jc w:val="center"/>
              <w:ind w:right="540"/>
              <w:spacing w:after="0"/>
              <w:rPr>
                <w:sz w:val="20"/>
                <w:szCs w:val="20"/>
                <w:color w:val="auto"/>
              </w:rPr>
            </w:pPr>
            <w:r>
              <w:rPr>
                <w:rFonts w:ascii="Arial" w:cs="Arial" w:eastAsia="Arial" w:hAnsi="Arial"/>
                <w:sz w:val="16"/>
                <w:szCs w:val="16"/>
                <w:b w:val="1"/>
                <w:bCs w:val="1"/>
                <w:color w:val="auto"/>
              </w:rPr>
              <w:t>Three Months Ended September 30, 2016</w:t>
            </w:r>
          </w:p>
        </w:tc>
        <w:tc>
          <w:tcPr>
            <w:tcW w:w="18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spacing w:after="0"/>
              <w:rPr>
                <w:sz w:val="20"/>
                <w:szCs w:val="20"/>
                <w:color w:val="auto"/>
              </w:rPr>
            </w:pPr>
          </w:p>
        </w:tc>
      </w:tr>
      <w:tr>
        <w:trPr>
          <w:trHeight w:val="264"/>
        </w:trPr>
        <w:tc>
          <w:tcPr>
            <w:tcW w:w="3540" w:type="dxa"/>
            <w:vAlign w:val="bottom"/>
          </w:tcPr>
          <w:p>
            <w:pPr>
              <w:spacing w:after="0"/>
              <w:rPr>
                <w:sz w:val="22"/>
                <w:szCs w:val="22"/>
                <w:color w:val="auto"/>
              </w:rPr>
            </w:pPr>
          </w:p>
        </w:tc>
        <w:tc>
          <w:tcPr>
            <w:tcW w:w="1520" w:type="dxa"/>
            <w:vAlign w:val="bottom"/>
            <w:tcBorders>
              <w:bottom w:val="single" w:sz="8" w:color="auto"/>
            </w:tcBorders>
            <w:gridSpan w:val="2"/>
          </w:tcPr>
          <w:p>
            <w:pPr>
              <w:jc w:val="right"/>
              <w:ind w:right="19"/>
              <w:spacing w:after="0"/>
              <w:rPr>
                <w:sz w:val="20"/>
                <w:szCs w:val="20"/>
                <w:color w:val="auto"/>
              </w:rPr>
            </w:pPr>
            <w:r>
              <w:rPr>
                <w:rFonts w:ascii="Arial" w:cs="Arial" w:eastAsia="Arial" w:hAnsi="Arial"/>
                <w:sz w:val="16"/>
                <w:szCs w:val="16"/>
                <w:b w:val="1"/>
                <w:bCs w:val="1"/>
                <w:color w:val="auto"/>
              </w:rPr>
              <w:t>Parent Guarantor</w:t>
            </w:r>
          </w:p>
        </w:tc>
        <w:tc>
          <w:tcPr>
            <w:tcW w:w="120" w:type="dxa"/>
            <w:vAlign w:val="bottom"/>
          </w:tcPr>
          <w:p>
            <w:pPr>
              <w:spacing w:after="0"/>
              <w:rPr>
                <w:sz w:val="22"/>
                <w:szCs w:val="22"/>
                <w:color w:val="auto"/>
              </w:rPr>
            </w:pPr>
          </w:p>
        </w:tc>
        <w:tc>
          <w:tcPr>
            <w:tcW w:w="150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b w:val="1"/>
                <w:bCs w:val="1"/>
                <w:color w:val="auto"/>
              </w:rPr>
              <w:t>Other Guarantors</w:t>
            </w:r>
          </w:p>
        </w:tc>
        <w:tc>
          <w:tcPr>
            <w:tcW w:w="100" w:type="dxa"/>
            <w:vAlign w:val="bottom"/>
          </w:tcPr>
          <w:p>
            <w:pPr>
              <w:spacing w:after="0"/>
              <w:rPr>
                <w:sz w:val="22"/>
                <w:szCs w:val="22"/>
                <w:color w:val="auto"/>
              </w:rPr>
            </w:pPr>
          </w:p>
        </w:tc>
        <w:tc>
          <w:tcPr>
            <w:tcW w:w="1480" w:type="dxa"/>
            <w:vAlign w:val="bottom"/>
            <w:tcBorders>
              <w:bottom w:val="single" w:sz="8" w:color="auto"/>
            </w:tcBorders>
            <w:gridSpan w:val="2"/>
          </w:tcPr>
          <w:p>
            <w:pPr>
              <w:jc w:val="right"/>
              <w:ind w:right="39"/>
              <w:spacing w:after="0"/>
              <w:rPr>
                <w:sz w:val="20"/>
                <w:szCs w:val="20"/>
                <w:color w:val="auto"/>
              </w:rPr>
            </w:pPr>
            <w:r>
              <w:rPr>
                <w:rFonts w:ascii="Arial" w:cs="Arial" w:eastAsia="Arial" w:hAnsi="Arial"/>
                <w:sz w:val="16"/>
                <w:szCs w:val="16"/>
                <w:b w:val="1"/>
                <w:bCs w:val="1"/>
                <w:color w:val="auto"/>
              </w:rPr>
              <w:t>Non-Guarantors</w:t>
            </w:r>
          </w:p>
        </w:tc>
        <w:tc>
          <w:tcPr>
            <w:tcW w:w="10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b w:val="1"/>
                <w:bCs w:val="1"/>
                <w:color w:val="auto"/>
              </w:rPr>
              <w:t>Eliminations</w:t>
            </w:r>
          </w:p>
        </w:tc>
        <w:tc>
          <w:tcPr>
            <w:tcW w:w="10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b w:val="1"/>
                <w:bCs w:val="1"/>
                <w:color w:val="auto"/>
              </w:rPr>
              <w:t>Consolidated</w:t>
            </w:r>
          </w:p>
        </w:tc>
      </w:tr>
      <w:tr>
        <w:trPr>
          <w:trHeight w:val="385"/>
        </w:trPr>
        <w:tc>
          <w:tcPr>
            <w:tcW w:w="35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8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rPr>
              <w:t>(In millions)</w:t>
            </w:r>
          </w:p>
        </w:tc>
        <w:tc>
          <w:tcPr>
            <w:tcW w:w="2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274"/>
        </w:trPr>
        <w:tc>
          <w:tcPr>
            <w:tcW w:w="3540" w:type="dxa"/>
            <w:vAlign w:val="bottom"/>
            <w:shd w:val="clear" w:color="auto" w:fill="CCEEFF"/>
          </w:tcPr>
          <w:p>
            <w:pPr>
              <w:ind w:left="40"/>
              <w:spacing w:after="0"/>
              <w:rPr>
                <w:sz w:val="20"/>
                <w:szCs w:val="20"/>
                <w:color w:val="auto"/>
              </w:rPr>
            </w:pPr>
            <w:r>
              <w:rPr>
                <w:rFonts w:ascii="Arial" w:cs="Arial" w:eastAsia="Arial" w:hAnsi="Arial"/>
                <w:sz w:val="16"/>
                <w:szCs w:val="16"/>
                <w:color w:val="auto"/>
              </w:rPr>
              <w:t>Net income</w:t>
            </w:r>
          </w:p>
        </w:tc>
        <w:tc>
          <w:tcPr>
            <w:tcW w:w="680" w:type="dxa"/>
            <w:vAlign w:val="bottom"/>
            <w:shd w:val="clear" w:color="auto" w:fill="CCEEFF"/>
          </w:tcPr>
          <w:p>
            <w:pPr>
              <w:jc w:val="right"/>
              <w:ind w:right="479"/>
              <w:spacing w:after="0"/>
              <w:rPr>
                <w:sz w:val="20"/>
                <w:szCs w:val="20"/>
                <w:color w:val="auto"/>
              </w:rPr>
            </w:pPr>
            <w:r>
              <w:rPr>
                <w:rFonts w:ascii="Arial" w:cs="Arial" w:eastAsia="Arial" w:hAnsi="Arial"/>
                <w:sz w:val="16"/>
                <w:szCs w:val="16"/>
                <w:color w:val="auto"/>
              </w:rPr>
              <w:t>$</w:t>
            </w:r>
          </w:p>
        </w:tc>
        <w:tc>
          <w:tcPr>
            <w:tcW w:w="8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42</w:t>
            </w:r>
          </w:p>
        </w:tc>
        <w:tc>
          <w:tcPr>
            <w:tcW w:w="120" w:type="dxa"/>
            <w:vAlign w:val="bottom"/>
            <w:shd w:val="clear" w:color="auto" w:fill="CCEEFF"/>
          </w:tcPr>
          <w:p>
            <w:pPr>
              <w:spacing w:after="0"/>
              <w:rPr>
                <w:sz w:val="23"/>
                <w:szCs w:val="23"/>
                <w:color w:val="auto"/>
              </w:rPr>
            </w:pPr>
          </w:p>
        </w:tc>
        <w:tc>
          <w:tcPr>
            <w:tcW w:w="420" w:type="dxa"/>
            <w:vAlign w:val="bottom"/>
            <w:shd w:val="clear" w:color="auto" w:fill="CCEEFF"/>
          </w:tcPr>
          <w:p>
            <w:pPr>
              <w:jc w:val="right"/>
              <w:ind w:right="219"/>
              <w:spacing w:after="0"/>
              <w:rPr>
                <w:sz w:val="20"/>
                <w:szCs w:val="20"/>
                <w:color w:val="auto"/>
              </w:rPr>
            </w:pPr>
            <w:r>
              <w:rPr>
                <w:rFonts w:ascii="Arial" w:cs="Arial" w:eastAsia="Arial" w:hAnsi="Arial"/>
                <w:sz w:val="16"/>
                <w:szCs w:val="16"/>
                <w:color w:val="auto"/>
              </w:rPr>
              <w:t>$</w:t>
            </w:r>
          </w:p>
        </w:tc>
        <w:tc>
          <w:tcPr>
            <w:tcW w:w="10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8</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57</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(65)</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42</w:t>
            </w:r>
          </w:p>
        </w:tc>
      </w:tr>
      <w:tr>
        <w:trPr>
          <w:trHeight w:val="264"/>
        </w:trPr>
        <w:tc>
          <w:tcPr>
            <w:tcW w:w="3540" w:type="dxa"/>
            <w:vAlign w:val="bottom"/>
          </w:tcPr>
          <w:p>
            <w:pPr>
              <w:ind w:left="40"/>
              <w:spacing w:after="0"/>
              <w:rPr>
                <w:sz w:val="20"/>
                <w:szCs w:val="20"/>
                <w:color w:val="auto"/>
              </w:rPr>
            </w:pPr>
            <w:r>
              <w:rPr>
                <w:rFonts w:ascii="Arial" w:cs="Arial" w:eastAsia="Arial" w:hAnsi="Arial"/>
                <w:sz w:val="16"/>
                <w:szCs w:val="16"/>
                <w:color w:val="auto"/>
              </w:rPr>
              <w:t>Other comprehensive loss, net of tax</w:t>
            </w:r>
          </w:p>
        </w:tc>
        <w:tc>
          <w:tcPr>
            <w:tcW w:w="68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w:t>
            </w:r>
          </w:p>
        </w:tc>
        <w:tc>
          <w:tcPr>
            <w:tcW w:w="1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2"/>
                <w:szCs w:val="22"/>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80" w:type="dxa"/>
            <w:vAlign w:val="bottom"/>
          </w:tcPr>
          <w:p>
            <w:pPr>
              <w:jc w:val="right"/>
              <w:ind w:right="19"/>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w:t>
            </w:r>
          </w:p>
        </w:tc>
      </w:tr>
      <w:tr>
        <w:trPr>
          <w:trHeight w:val="242"/>
        </w:trPr>
        <w:tc>
          <w:tcPr>
            <w:tcW w:w="35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Comprehensive income</w:t>
            </w:r>
          </w:p>
        </w:tc>
        <w:tc>
          <w:tcPr>
            <w:tcW w:w="680" w:type="dxa"/>
            <w:vAlign w:val="bottom"/>
            <w:tcBorders>
              <w:top w:val="single" w:sz="8" w:color="auto"/>
              <w:bottom w:val="single" w:sz="8" w:color="auto"/>
            </w:tcBorders>
            <w:shd w:val="clear" w:color="auto" w:fill="CCEEFF"/>
          </w:tcPr>
          <w:p>
            <w:pPr>
              <w:jc w:val="right"/>
              <w:ind w:right="479"/>
              <w:spacing w:after="0"/>
              <w:rPr>
                <w:sz w:val="20"/>
                <w:szCs w:val="20"/>
                <w:color w:val="auto"/>
              </w:rPr>
            </w:pPr>
            <w:r>
              <w:rPr>
                <w:rFonts w:ascii="Arial" w:cs="Arial" w:eastAsia="Arial" w:hAnsi="Arial"/>
                <w:sz w:val="16"/>
                <w:szCs w:val="16"/>
                <w:color w:val="auto"/>
              </w:rPr>
              <w:t>$</w:t>
            </w:r>
          </w:p>
        </w:tc>
        <w:tc>
          <w:tcPr>
            <w:tcW w:w="840" w:type="dxa"/>
            <w:vAlign w:val="bottom"/>
            <w:tcBorders>
              <w:top w:val="single" w:sz="8" w:color="auto"/>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41</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420" w:type="dxa"/>
            <w:vAlign w:val="bottom"/>
            <w:tcBorders>
              <w:top w:val="single" w:sz="8" w:color="auto"/>
              <w:bottom w:val="single" w:sz="8" w:color="auto"/>
            </w:tcBorders>
            <w:shd w:val="clear" w:color="auto" w:fill="CCEEFF"/>
          </w:tcPr>
          <w:p>
            <w:pPr>
              <w:jc w:val="right"/>
              <w:ind w:right="219"/>
              <w:spacing w:after="0"/>
              <w:rPr>
                <w:sz w:val="20"/>
                <w:szCs w:val="20"/>
                <w:color w:val="auto"/>
              </w:rPr>
            </w:pPr>
            <w:r>
              <w:rPr>
                <w:rFonts w:ascii="Arial" w:cs="Arial" w:eastAsia="Arial" w:hAnsi="Arial"/>
                <w:sz w:val="16"/>
                <w:szCs w:val="16"/>
                <w:color w:val="auto"/>
              </w:rPr>
              <w:t>$</w:t>
            </w:r>
          </w:p>
        </w:tc>
        <w:tc>
          <w:tcPr>
            <w:tcW w:w="108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8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56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0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41</w:t>
            </w:r>
          </w:p>
        </w:tc>
      </w:tr>
      <w:tr>
        <w:trPr>
          <w:trHeight w:val="20"/>
        </w:trPr>
        <w:tc>
          <w:tcPr>
            <w:tcW w:w="354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15" w:right="239" w:bottom="1440" w:gutter="0" w:footer="0" w:header="0"/>
          <w:type w:val="continuous"/>
        </w:sectPr>
      </w:pPr>
    </w:p>
    <w:p>
      <w:pPr>
        <w:spacing w:after="0" w:line="128" w:lineRule="exact"/>
        <w:rPr>
          <w:sz w:val="20"/>
          <w:szCs w:val="20"/>
          <w:color w:val="auto"/>
        </w:rPr>
      </w:pPr>
    </w:p>
    <w:p>
      <w:pPr>
        <w:ind w:left="7860"/>
        <w:spacing w:after="0"/>
        <w:rPr>
          <w:sz w:val="20"/>
          <w:szCs w:val="20"/>
          <w:color w:val="auto"/>
        </w:rPr>
      </w:pPr>
      <w:r>
        <w:rPr>
          <w:rFonts w:ascii="Arial" w:cs="Arial" w:eastAsia="Arial" w:hAnsi="Arial"/>
          <w:sz w:val="18"/>
          <w:szCs w:val="18"/>
          <w:color w:val="auto"/>
        </w:rPr>
        <w:t>Molina Healthcare, Inc. 2017 Form 10-Q | 32</w:t>
      </w:r>
    </w:p>
    <w:p>
      <w:pPr>
        <w:sectPr>
          <w:pgSz w:w="11900" w:h="16838" w:orient="portrait"/>
          <w:cols w:equalWidth="0" w:num="1">
            <w:col w:w="11420"/>
          </w:cols>
          <w:pgMar w:left="240" w:top="115" w:right="239" w:bottom="1440" w:gutter="0" w:footer="0" w:header="0"/>
          <w:type w:val="continuous"/>
        </w:sectPr>
      </w:pPr>
    </w:p>
    <w:bookmarkStart w:id="32" w:name="page33"/>
    <w:bookmarkEnd w:id="3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STATEMENTS OF OPERATIONS</w:t>
      </w:r>
    </w:p>
    <w:p>
      <w:pPr>
        <w:spacing w:after="0" w:line="200" w:lineRule="exact"/>
        <w:rPr>
          <w:sz w:val="20"/>
          <w:szCs w:val="20"/>
          <w:color w:val="auto"/>
        </w:rPr>
      </w:pP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3540" w:type="dxa"/>
            <w:vAlign w:val="bottom"/>
          </w:tcPr>
          <w:p>
            <w:pPr>
              <w:spacing w:after="0"/>
              <w:rPr>
                <w:sz w:val="20"/>
                <w:szCs w:val="20"/>
                <w:color w:val="auto"/>
              </w:rPr>
            </w:pPr>
          </w:p>
        </w:tc>
        <w:tc>
          <w:tcPr>
            <w:tcW w:w="5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4320" w:type="dxa"/>
            <w:vAlign w:val="bottom"/>
            <w:tcBorders>
              <w:bottom w:val="single" w:sz="8" w:color="auto"/>
            </w:tcBorders>
            <w:gridSpan w:val="8"/>
          </w:tcPr>
          <w:p>
            <w:pPr>
              <w:jc w:val="center"/>
              <w:ind w:right="560"/>
              <w:spacing w:after="0"/>
              <w:rPr>
                <w:sz w:val="20"/>
                <w:szCs w:val="20"/>
                <w:color w:val="auto"/>
              </w:rPr>
            </w:pPr>
            <w:r>
              <w:rPr>
                <w:rFonts w:ascii="Arial" w:cs="Arial" w:eastAsia="Arial" w:hAnsi="Arial"/>
                <w:sz w:val="16"/>
                <w:szCs w:val="16"/>
                <w:b w:val="1"/>
                <w:bCs w:val="1"/>
                <w:color w:val="auto"/>
              </w:rPr>
              <w:t>Nine Months Ended September 30, 2017</w:t>
            </w:r>
          </w:p>
        </w:tc>
        <w:tc>
          <w:tcPr>
            <w:tcW w:w="18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spacing w:after="0"/>
              <w:rPr>
                <w:sz w:val="20"/>
                <w:szCs w:val="20"/>
                <w:color w:val="auto"/>
              </w:rPr>
            </w:pPr>
          </w:p>
        </w:tc>
      </w:tr>
      <w:tr>
        <w:trPr>
          <w:trHeight w:val="264"/>
        </w:trPr>
        <w:tc>
          <w:tcPr>
            <w:tcW w:w="3540" w:type="dxa"/>
            <w:vAlign w:val="bottom"/>
          </w:tcPr>
          <w:p>
            <w:pPr>
              <w:spacing w:after="0"/>
              <w:rPr>
                <w:sz w:val="22"/>
                <w:szCs w:val="22"/>
                <w:color w:val="auto"/>
              </w:rPr>
            </w:pPr>
          </w:p>
        </w:tc>
        <w:tc>
          <w:tcPr>
            <w:tcW w:w="1640" w:type="dxa"/>
            <w:vAlign w:val="bottom"/>
            <w:tcBorders>
              <w:bottom w:val="single" w:sz="8" w:color="auto"/>
            </w:tcBorders>
            <w:gridSpan w:val="3"/>
          </w:tcPr>
          <w:p>
            <w:pPr>
              <w:ind w:left="100"/>
              <w:spacing w:after="0"/>
              <w:rPr>
                <w:sz w:val="20"/>
                <w:szCs w:val="20"/>
                <w:color w:val="auto"/>
              </w:rPr>
            </w:pPr>
            <w:r>
              <w:rPr>
                <w:rFonts w:ascii="Arial" w:cs="Arial" w:eastAsia="Arial" w:hAnsi="Arial"/>
                <w:sz w:val="16"/>
                <w:szCs w:val="16"/>
                <w:b w:val="1"/>
                <w:bCs w:val="1"/>
                <w:color w:val="auto"/>
              </w:rPr>
              <w:t>Parent Guarantor</w:t>
            </w:r>
          </w:p>
        </w:tc>
        <w:tc>
          <w:tcPr>
            <w:tcW w:w="1600" w:type="dxa"/>
            <w:vAlign w:val="bottom"/>
            <w:tcBorders>
              <w:bottom w:val="single" w:sz="8" w:color="auto"/>
            </w:tcBorders>
            <w:gridSpan w:val="3"/>
          </w:tcPr>
          <w:p>
            <w:pPr>
              <w:ind w:left="80"/>
              <w:spacing w:after="0"/>
              <w:rPr>
                <w:sz w:val="20"/>
                <w:szCs w:val="20"/>
                <w:color w:val="auto"/>
              </w:rPr>
            </w:pPr>
            <w:r>
              <w:rPr>
                <w:rFonts w:ascii="Arial" w:cs="Arial" w:eastAsia="Arial" w:hAnsi="Arial"/>
                <w:sz w:val="16"/>
                <w:szCs w:val="16"/>
                <w:b w:val="1"/>
                <w:bCs w:val="1"/>
                <w:color w:val="auto"/>
              </w:rPr>
              <w:t>Other Guarantors</w:t>
            </w:r>
          </w:p>
        </w:tc>
        <w:tc>
          <w:tcPr>
            <w:tcW w:w="1580" w:type="dxa"/>
            <w:vAlign w:val="bottom"/>
            <w:tcBorders>
              <w:bottom w:val="single" w:sz="8" w:color="auto"/>
            </w:tcBorders>
            <w:gridSpan w:val="3"/>
          </w:tcPr>
          <w:p>
            <w:pPr>
              <w:ind w:left="120"/>
              <w:spacing w:after="0"/>
              <w:rPr>
                <w:sz w:val="20"/>
                <w:szCs w:val="20"/>
                <w:color w:val="auto"/>
              </w:rPr>
            </w:pPr>
            <w:r>
              <w:rPr>
                <w:rFonts w:ascii="Arial" w:cs="Arial" w:eastAsia="Arial" w:hAnsi="Arial"/>
                <w:sz w:val="16"/>
                <w:szCs w:val="16"/>
                <w:b w:val="1"/>
                <w:bCs w:val="1"/>
                <w:color w:val="auto"/>
              </w:rPr>
              <w:t>Non-Guarantors</w:t>
            </w:r>
          </w:p>
        </w:tc>
        <w:tc>
          <w:tcPr>
            <w:tcW w:w="20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gridSpan w:val="2"/>
          </w:tcPr>
          <w:p>
            <w:pPr>
              <w:ind w:left="60"/>
              <w:spacing w:after="0"/>
              <w:rPr>
                <w:sz w:val="20"/>
                <w:szCs w:val="20"/>
                <w:color w:val="auto"/>
              </w:rPr>
            </w:pPr>
            <w:r>
              <w:rPr>
                <w:rFonts w:ascii="Arial" w:cs="Arial" w:eastAsia="Arial" w:hAnsi="Arial"/>
                <w:sz w:val="16"/>
                <w:szCs w:val="16"/>
                <w:b w:val="1"/>
                <w:bCs w:val="1"/>
                <w:color w:val="auto"/>
              </w:rPr>
              <w:t>Eliminations</w:t>
            </w:r>
          </w:p>
        </w:tc>
        <w:tc>
          <w:tcPr>
            <w:tcW w:w="18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b w:val="1"/>
                <w:bCs w:val="1"/>
                <w:color w:val="auto"/>
              </w:rPr>
              <w:t>Consolidated</w:t>
            </w:r>
          </w:p>
        </w:tc>
      </w:tr>
      <w:tr>
        <w:trPr>
          <w:trHeight w:val="250"/>
        </w:trPr>
        <w:tc>
          <w:tcPr>
            <w:tcW w:w="35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8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rPr>
              <w:t>(In millions)</w:t>
            </w:r>
          </w:p>
        </w:tc>
        <w:tc>
          <w:tcPr>
            <w:tcW w:w="2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spacing w:after="0"/>
              <w:rPr>
                <w:sz w:val="21"/>
                <w:szCs w:val="21"/>
                <w:color w:val="auto"/>
              </w:rPr>
            </w:pPr>
          </w:p>
        </w:tc>
      </w:tr>
      <w:tr>
        <w:trPr>
          <w:trHeight w:val="254"/>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Revenue:</w:t>
            </w:r>
          </w:p>
        </w:tc>
        <w:tc>
          <w:tcPr>
            <w:tcW w:w="56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spacing w:after="0"/>
              <w:rPr>
                <w:sz w:val="22"/>
                <w:szCs w:val="22"/>
                <w:color w:val="auto"/>
              </w:rPr>
            </w:pPr>
          </w:p>
        </w:tc>
      </w:tr>
      <w:tr>
        <w:trPr>
          <w:trHeight w:val="264"/>
        </w:trPr>
        <w:tc>
          <w:tcPr>
            <w:tcW w:w="354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Total revenue</w:t>
            </w:r>
          </w:p>
        </w:tc>
        <w:tc>
          <w:tcPr>
            <w:tcW w:w="56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1,010</w:t>
            </w:r>
          </w:p>
        </w:tc>
        <w:tc>
          <w:tcPr>
            <w:tcW w:w="120" w:type="dxa"/>
            <w:vAlign w:val="bottom"/>
            <w:tcBorders>
              <w:bottom w:val="single" w:sz="8" w:color="CCEEFF"/>
            </w:tcBorders>
          </w:tcPr>
          <w:p>
            <w:pPr>
              <w:spacing w:after="0"/>
              <w:rPr>
                <w:sz w:val="22"/>
                <w:szCs w:val="22"/>
                <w:color w:val="auto"/>
              </w:rPr>
            </w:pPr>
          </w:p>
        </w:tc>
        <w:tc>
          <w:tcPr>
            <w:tcW w:w="44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146</w:t>
            </w: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14,792</w:t>
            </w: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(1,014)</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14,934</w:t>
            </w:r>
          </w:p>
        </w:tc>
      </w:tr>
      <w:tr>
        <w:trPr>
          <w:trHeight w:val="250"/>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Expenses:</w:t>
            </w:r>
          </w:p>
        </w:tc>
        <w:tc>
          <w:tcPr>
            <w:tcW w:w="5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r>
      <w:tr>
        <w:trPr>
          <w:trHeight w:val="262"/>
        </w:trPr>
        <w:tc>
          <w:tcPr>
            <w:tcW w:w="3540" w:type="dxa"/>
            <w:vAlign w:val="bottom"/>
          </w:tcPr>
          <w:p>
            <w:pPr>
              <w:ind w:left="40"/>
              <w:spacing w:after="0"/>
              <w:rPr>
                <w:sz w:val="20"/>
                <w:szCs w:val="20"/>
                <w:color w:val="auto"/>
              </w:rPr>
            </w:pPr>
            <w:r>
              <w:rPr>
                <w:rFonts w:ascii="Arial" w:cs="Arial" w:eastAsia="Arial" w:hAnsi="Arial"/>
                <w:sz w:val="16"/>
                <w:szCs w:val="16"/>
                <w:color w:val="auto"/>
              </w:rPr>
              <w:t>Medical care costs</w:t>
            </w:r>
          </w:p>
        </w:tc>
        <w:tc>
          <w:tcPr>
            <w:tcW w:w="560" w:type="dxa"/>
            <w:vAlign w:val="bottom"/>
          </w:tcPr>
          <w:p>
            <w:pPr>
              <w:spacing w:after="0"/>
              <w:rPr>
                <w:sz w:val="22"/>
                <w:szCs w:val="22"/>
                <w:color w:val="auto"/>
              </w:rPr>
            </w:pPr>
          </w:p>
        </w:tc>
        <w:tc>
          <w:tcPr>
            <w:tcW w:w="960" w:type="dxa"/>
            <w:vAlign w:val="bottom"/>
          </w:tcPr>
          <w:p>
            <w:pPr>
              <w:jc w:val="right"/>
              <w:ind w:right="39"/>
              <w:spacing w:after="0"/>
              <w:rPr>
                <w:sz w:val="20"/>
                <w:szCs w:val="20"/>
                <w:color w:val="auto"/>
              </w:rPr>
            </w:pPr>
            <w:r>
              <w:rPr>
                <w:rFonts w:ascii="Arial" w:cs="Arial" w:eastAsia="Arial" w:hAnsi="Arial"/>
                <w:sz w:val="16"/>
                <w:szCs w:val="16"/>
                <w:color w:val="auto"/>
              </w:rPr>
              <w:t>10</w:t>
            </w:r>
          </w:p>
        </w:tc>
        <w:tc>
          <w:tcPr>
            <w:tcW w:w="1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2"/>
                <w:szCs w:val="22"/>
                <w:color w:val="auto"/>
              </w:rPr>
            </w:pPr>
          </w:p>
        </w:tc>
        <w:tc>
          <w:tcPr>
            <w:tcW w:w="1280" w:type="dxa"/>
            <w:vAlign w:val="bottom"/>
          </w:tcPr>
          <w:p>
            <w:pPr>
              <w:jc w:val="right"/>
              <w:ind w:right="19"/>
              <w:spacing w:after="0"/>
              <w:rPr>
                <w:sz w:val="20"/>
                <w:szCs w:val="20"/>
                <w:color w:val="auto"/>
              </w:rPr>
            </w:pPr>
            <w:r>
              <w:rPr>
                <w:rFonts w:ascii="Arial" w:cs="Arial" w:eastAsia="Arial" w:hAnsi="Arial"/>
                <w:sz w:val="16"/>
                <w:szCs w:val="16"/>
                <w:color w:val="auto"/>
              </w:rPr>
              <w:t>12,812</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3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2"/>
                <w:szCs w:val="22"/>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12,822</w:t>
            </w:r>
          </w:p>
        </w:tc>
      </w:tr>
      <w:tr>
        <w:trPr>
          <w:trHeight w:val="278"/>
        </w:trPr>
        <w:tc>
          <w:tcPr>
            <w:tcW w:w="3540" w:type="dxa"/>
            <w:vAlign w:val="bottom"/>
            <w:shd w:val="clear" w:color="auto" w:fill="CCEEFF"/>
          </w:tcPr>
          <w:p>
            <w:pPr>
              <w:ind w:left="40"/>
              <w:spacing w:after="0"/>
              <w:rPr>
                <w:sz w:val="20"/>
                <w:szCs w:val="20"/>
                <w:color w:val="auto"/>
              </w:rPr>
            </w:pPr>
            <w:r>
              <w:rPr>
                <w:rFonts w:ascii="Arial" w:cs="Arial" w:eastAsia="Arial" w:hAnsi="Arial"/>
                <w:sz w:val="16"/>
                <w:szCs w:val="16"/>
                <w:color w:val="auto"/>
              </w:rPr>
              <w:t>Cost of service revenue</w:t>
            </w:r>
          </w:p>
        </w:tc>
        <w:tc>
          <w:tcPr>
            <w:tcW w:w="560" w:type="dxa"/>
            <w:vAlign w:val="bottom"/>
            <w:shd w:val="clear" w:color="auto" w:fill="CCEEFF"/>
          </w:tcPr>
          <w:p>
            <w:pPr>
              <w:spacing w:after="0"/>
              <w:rPr>
                <w:sz w:val="24"/>
                <w:szCs w:val="24"/>
                <w:color w:val="auto"/>
              </w:rPr>
            </w:pPr>
          </w:p>
        </w:tc>
        <w:tc>
          <w:tcPr>
            <w:tcW w:w="108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44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127</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2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242</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38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24"/>
                <w:szCs w:val="24"/>
                <w:color w:val="auto"/>
              </w:rPr>
            </w:pPr>
          </w:p>
        </w:tc>
        <w:tc>
          <w:tcPr>
            <w:tcW w:w="13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369</w:t>
            </w:r>
          </w:p>
        </w:tc>
      </w:tr>
      <w:tr>
        <w:trPr>
          <w:trHeight w:val="262"/>
        </w:trPr>
        <w:tc>
          <w:tcPr>
            <w:tcW w:w="3540" w:type="dxa"/>
            <w:vAlign w:val="bottom"/>
          </w:tcPr>
          <w:p>
            <w:pPr>
              <w:ind w:left="40"/>
              <w:spacing w:after="0"/>
              <w:rPr>
                <w:sz w:val="20"/>
                <w:szCs w:val="20"/>
                <w:color w:val="auto"/>
              </w:rPr>
            </w:pPr>
            <w:r>
              <w:rPr>
                <w:rFonts w:ascii="Arial" w:cs="Arial" w:eastAsia="Arial" w:hAnsi="Arial"/>
                <w:sz w:val="16"/>
                <w:szCs w:val="16"/>
                <w:color w:val="auto"/>
              </w:rPr>
              <w:t>General and administrative expenses</w:t>
            </w:r>
          </w:p>
        </w:tc>
        <w:tc>
          <w:tcPr>
            <w:tcW w:w="560" w:type="dxa"/>
            <w:vAlign w:val="bottom"/>
          </w:tcPr>
          <w:p>
            <w:pPr>
              <w:spacing w:after="0"/>
              <w:rPr>
                <w:sz w:val="22"/>
                <w:szCs w:val="22"/>
                <w:color w:val="auto"/>
              </w:rPr>
            </w:pPr>
          </w:p>
        </w:tc>
        <w:tc>
          <w:tcPr>
            <w:tcW w:w="960" w:type="dxa"/>
            <w:vAlign w:val="bottom"/>
          </w:tcPr>
          <w:p>
            <w:pPr>
              <w:jc w:val="right"/>
              <w:ind w:right="39"/>
              <w:spacing w:after="0"/>
              <w:rPr>
                <w:sz w:val="20"/>
                <w:szCs w:val="20"/>
                <w:color w:val="auto"/>
              </w:rPr>
            </w:pPr>
            <w:r>
              <w:rPr>
                <w:rFonts w:ascii="Arial" w:cs="Arial" w:eastAsia="Arial" w:hAnsi="Arial"/>
                <w:sz w:val="16"/>
                <w:szCs w:val="16"/>
                <w:color w:val="auto"/>
              </w:rPr>
              <w:t>799</w:t>
            </w:r>
          </w:p>
        </w:tc>
        <w:tc>
          <w:tcPr>
            <w:tcW w:w="1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13</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80" w:type="dxa"/>
            <w:vAlign w:val="bottom"/>
          </w:tcPr>
          <w:p>
            <w:pPr>
              <w:jc w:val="right"/>
              <w:ind w:right="19"/>
              <w:spacing w:after="0"/>
              <w:rPr>
                <w:sz w:val="20"/>
                <w:szCs w:val="20"/>
                <w:color w:val="auto"/>
              </w:rPr>
            </w:pPr>
            <w:r>
              <w:rPr>
                <w:rFonts w:ascii="Arial" w:cs="Arial" w:eastAsia="Arial" w:hAnsi="Arial"/>
                <w:sz w:val="16"/>
                <w:szCs w:val="16"/>
                <w:color w:val="auto"/>
              </w:rPr>
              <w:t>1,429</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(1,014)</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1,227</w:t>
            </w:r>
          </w:p>
        </w:tc>
      </w:tr>
      <w:tr>
        <w:trPr>
          <w:trHeight w:val="278"/>
        </w:trPr>
        <w:tc>
          <w:tcPr>
            <w:tcW w:w="3540" w:type="dxa"/>
            <w:vAlign w:val="bottom"/>
            <w:shd w:val="clear" w:color="auto" w:fill="CCEEFF"/>
          </w:tcPr>
          <w:p>
            <w:pPr>
              <w:ind w:left="40"/>
              <w:spacing w:after="0"/>
              <w:rPr>
                <w:sz w:val="20"/>
                <w:szCs w:val="20"/>
                <w:color w:val="auto"/>
              </w:rPr>
            </w:pPr>
            <w:r>
              <w:rPr>
                <w:rFonts w:ascii="Arial" w:cs="Arial" w:eastAsia="Arial" w:hAnsi="Arial"/>
                <w:sz w:val="16"/>
                <w:szCs w:val="16"/>
                <w:color w:val="auto"/>
              </w:rPr>
              <w:t>Premium tax expenses</w:t>
            </w:r>
          </w:p>
        </w:tc>
        <w:tc>
          <w:tcPr>
            <w:tcW w:w="560" w:type="dxa"/>
            <w:vAlign w:val="bottom"/>
            <w:shd w:val="clear" w:color="auto" w:fill="CCEEFF"/>
          </w:tcPr>
          <w:p>
            <w:pPr>
              <w:spacing w:after="0"/>
              <w:rPr>
                <w:sz w:val="24"/>
                <w:szCs w:val="24"/>
                <w:color w:val="auto"/>
              </w:rPr>
            </w:pPr>
          </w:p>
        </w:tc>
        <w:tc>
          <w:tcPr>
            <w:tcW w:w="108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440" w:type="dxa"/>
            <w:vAlign w:val="bottom"/>
            <w:shd w:val="clear" w:color="auto" w:fill="CCEEFF"/>
          </w:tcPr>
          <w:p>
            <w:pPr>
              <w:spacing w:after="0"/>
              <w:rPr>
                <w:sz w:val="24"/>
                <w:szCs w:val="24"/>
                <w:color w:val="auto"/>
              </w:rPr>
            </w:pP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24"/>
                <w:szCs w:val="24"/>
                <w:color w:val="auto"/>
              </w:rPr>
            </w:pPr>
          </w:p>
        </w:tc>
        <w:tc>
          <w:tcPr>
            <w:tcW w:w="12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331</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38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24"/>
                <w:szCs w:val="24"/>
                <w:color w:val="auto"/>
              </w:rPr>
            </w:pPr>
          </w:p>
        </w:tc>
        <w:tc>
          <w:tcPr>
            <w:tcW w:w="13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331</w:t>
            </w:r>
          </w:p>
        </w:tc>
      </w:tr>
      <w:tr>
        <w:trPr>
          <w:trHeight w:val="262"/>
        </w:trPr>
        <w:tc>
          <w:tcPr>
            <w:tcW w:w="3540" w:type="dxa"/>
            <w:vAlign w:val="bottom"/>
          </w:tcPr>
          <w:p>
            <w:pPr>
              <w:ind w:left="40"/>
              <w:spacing w:after="0"/>
              <w:rPr>
                <w:sz w:val="20"/>
                <w:szCs w:val="20"/>
                <w:color w:val="auto"/>
              </w:rPr>
            </w:pPr>
            <w:r>
              <w:rPr>
                <w:rFonts w:ascii="Arial" w:cs="Arial" w:eastAsia="Arial" w:hAnsi="Arial"/>
                <w:sz w:val="16"/>
                <w:szCs w:val="16"/>
                <w:color w:val="auto"/>
              </w:rPr>
              <w:t>Depreciation and amortization</w:t>
            </w:r>
          </w:p>
        </w:tc>
        <w:tc>
          <w:tcPr>
            <w:tcW w:w="560" w:type="dxa"/>
            <w:vAlign w:val="bottom"/>
          </w:tcPr>
          <w:p>
            <w:pPr>
              <w:spacing w:after="0"/>
              <w:rPr>
                <w:sz w:val="22"/>
                <w:szCs w:val="22"/>
                <w:color w:val="auto"/>
              </w:rPr>
            </w:pPr>
          </w:p>
        </w:tc>
        <w:tc>
          <w:tcPr>
            <w:tcW w:w="960" w:type="dxa"/>
            <w:vAlign w:val="bottom"/>
          </w:tcPr>
          <w:p>
            <w:pPr>
              <w:jc w:val="right"/>
              <w:ind w:right="39"/>
              <w:spacing w:after="0"/>
              <w:rPr>
                <w:sz w:val="20"/>
                <w:szCs w:val="20"/>
                <w:color w:val="auto"/>
              </w:rPr>
            </w:pPr>
            <w:r>
              <w:rPr>
                <w:rFonts w:ascii="Arial" w:cs="Arial" w:eastAsia="Arial" w:hAnsi="Arial"/>
                <w:sz w:val="16"/>
                <w:szCs w:val="16"/>
                <w:color w:val="auto"/>
              </w:rPr>
              <w:t>75</w:t>
            </w:r>
          </w:p>
        </w:tc>
        <w:tc>
          <w:tcPr>
            <w:tcW w:w="1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80" w:type="dxa"/>
            <w:vAlign w:val="bottom"/>
          </w:tcPr>
          <w:p>
            <w:pPr>
              <w:jc w:val="right"/>
              <w:ind w:right="19"/>
              <w:spacing w:after="0"/>
              <w:rPr>
                <w:sz w:val="20"/>
                <w:szCs w:val="20"/>
                <w:color w:val="auto"/>
              </w:rPr>
            </w:pPr>
            <w:r>
              <w:rPr>
                <w:rFonts w:ascii="Arial" w:cs="Arial" w:eastAsia="Arial" w:hAnsi="Arial"/>
                <w:sz w:val="16"/>
                <w:szCs w:val="16"/>
                <w:color w:val="auto"/>
              </w:rPr>
              <w:t>33</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3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2"/>
                <w:szCs w:val="22"/>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109</w:t>
            </w:r>
          </w:p>
        </w:tc>
      </w:tr>
      <w:tr>
        <w:trPr>
          <w:trHeight w:val="278"/>
        </w:trPr>
        <w:tc>
          <w:tcPr>
            <w:tcW w:w="3540" w:type="dxa"/>
            <w:vAlign w:val="bottom"/>
            <w:shd w:val="clear" w:color="auto" w:fill="CCEEFF"/>
          </w:tcPr>
          <w:p>
            <w:pPr>
              <w:ind w:left="40"/>
              <w:spacing w:after="0"/>
              <w:rPr>
                <w:sz w:val="20"/>
                <w:szCs w:val="20"/>
                <w:color w:val="auto"/>
              </w:rPr>
            </w:pPr>
            <w:r>
              <w:rPr>
                <w:rFonts w:ascii="Arial" w:cs="Arial" w:eastAsia="Arial" w:hAnsi="Arial"/>
                <w:sz w:val="16"/>
                <w:szCs w:val="16"/>
                <w:color w:val="auto"/>
              </w:rPr>
              <w:t>Impairment losses</w:t>
            </w:r>
          </w:p>
        </w:tc>
        <w:tc>
          <w:tcPr>
            <w:tcW w:w="560" w:type="dxa"/>
            <w:vAlign w:val="bottom"/>
            <w:shd w:val="clear" w:color="auto" w:fill="CCEEFF"/>
          </w:tcPr>
          <w:p>
            <w:pPr>
              <w:spacing w:after="0"/>
              <w:rPr>
                <w:sz w:val="24"/>
                <w:szCs w:val="24"/>
                <w:color w:val="auto"/>
              </w:rPr>
            </w:pPr>
          </w:p>
        </w:tc>
        <w:tc>
          <w:tcPr>
            <w:tcW w:w="108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44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28</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2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173</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38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24"/>
                <w:szCs w:val="24"/>
                <w:color w:val="auto"/>
              </w:rPr>
            </w:pPr>
          </w:p>
        </w:tc>
        <w:tc>
          <w:tcPr>
            <w:tcW w:w="13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201</w:t>
            </w:r>
          </w:p>
        </w:tc>
      </w:tr>
      <w:tr>
        <w:trPr>
          <w:trHeight w:val="264"/>
        </w:trPr>
        <w:tc>
          <w:tcPr>
            <w:tcW w:w="3540" w:type="dxa"/>
            <w:vAlign w:val="bottom"/>
          </w:tcPr>
          <w:p>
            <w:pPr>
              <w:ind w:left="40"/>
              <w:spacing w:after="0"/>
              <w:rPr>
                <w:sz w:val="20"/>
                <w:szCs w:val="20"/>
                <w:color w:val="auto"/>
              </w:rPr>
            </w:pPr>
            <w:r>
              <w:rPr>
                <w:rFonts w:ascii="Arial" w:cs="Arial" w:eastAsia="Arial" w:hAnsi="Arial"/>
                <w:sz w:val="16"/>
                <w:szCs w:val="16"/>
                <w:color w:val="auto"/>
              </w:rPr>
              <w:t>Restructuring and separation costs</w:t>
            </w:r>
          </w:p>
        </w:tc>
        <w:tc>
          <w:tcPr>
            <w:tcW w:w="560" w:type="dxa"/>
            <w:vAlign w:val="bottom"/>
          </w:tcPr>
          <w:p>
            <w:pPr>
              <w:spacing w:after="0"/>
              <w:rPr>
                <w:sz w:val="22"/>
                <w:szCs w:val="22"/>
                <w:color w:val="auto"/>
              </w:rPr>
            </w:pPr>
          </w:p>
        </w:tc>
        <w:tc>
          <w:tcPr>
            <w:tcW w:w="960" w:type="dxa"/>
            <w:vAlign w:val="bottom"/>
          </w:tcPr>
          <w:p>
            <w:pPr>
              <w:jc w:val="right"/>
              <w:ind w:right="39"/>
              <w:spacing w:after="0"/>
              <w:rPr>
                <w:sz w:val="20"/>
                <w:szCs w:val="20"/>
                <w:color w:val="auto"/>
              </w:rPr>
            </w:pPr>
            <w:r>
              <w:rPr>
                <w:rFonts w:ascii="Arial" w:cs="Arial" w:eastAsia="Arial" w:hAnsi="Arial"/>
                <w:sz w:val="16"/>
                <w:szCs w:val="16"/>
                <w:color w:val="auto"/>
              </w:rPr>
              <w:t>120</w:t>
            </w:r>
          </w:p>
        </w:tc>
        <w:tc>
          <w:tcPr>
            <w:tcW w:w="1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8</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80" w:type="dxa"/>
            <w:vAlign w:val="bottom"/>
          </w:tcPr>
          <w:p>
            <w:pPr>
              <w:jc w:val="right"/>
              <w:ind w:right="19"/>
              <w:spacing w:after="0"/>
              <w:rPr>
                <w:sz w:val="20"/>
                <w:szCs w:val="20"/>
                <w:color w:val="auto"/>
              </w:rPr>
            </w:pPr>
            <w:r>
              <w:rPr>
                <w:rFonts w:ascii="Arial" w:cs="Arial" w:eastAsia="Arial" w:hAnsi="Arial"/>
                <w:sz w:val="16"/>
                <w:szCs w:val="16"/>
                <w:color w:val="auto"/>
              </w:rPr>
              <w:t>33</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3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2"/>
                <w:szCs w:val="22"/>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161</w:t>
            </w:r>
          </w:p>
        </w:tc>
      </w:tr>
      <w:tr>
        <w:trPr>
          <w:trHeight w:val="257"/>
        </w:trPr>
        <w:tc>
          <w:tcPr>
            <w:tcW w:w="354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operating expenses</w:t>
            </w:r>
          </w:p>
        </w:tc>
        <w:tc>
          <w:tcPr>
            <w:tcW w:w="560" w:type="dxa"/>
            <w:vAlign w:val="bottom"/>
            <w:tcBorders>
              <w:top w:val="single" w:sz="8" w:color="auto"/>
              <w:bottom w:val="single" w:sz="8" w:color="auto"/>
            </w:tcBorders>
            <w:shd w:val="clear" w:color="auto" w:fill="CCEEFF"/>
          </w:tcPr>
          <w:p>
            <w:pPr>
              <w:spacing w:after="0"/>
              <w:rPr>
                <w:sz w:val="22"/>
                <w:szCs w:val="22"/>
                <w:color w:val="auto"/>
              </w:rPr>
            </w:pPr>
          </w:p>
        </w:tc>
        <w:tc>
          <w:tcPr>
            <w:tcW w:w="960" w:type="dxa"/>
            <w:vAlign w:val="bottom"/>
            <w:tcBorders>
              <w:top w:val="single" w:sz="8" w:color="auto"/>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1,004</w:t>
            </w:r>
          </w:p>
        </w:tc>
        <w:tc>
          <w:tcPr>
            <w:tcW w:w="120" w:type="dxa"/>
            <w:vAlign w:val="bottom"/>
            <w:tcBorders>
              <w:top w:val="single" w:sz="8" w:color="CCEEFF"/>
            </w:tcBorders>
            <w:shd w:val="clear" w:color="auto" w:fill="CCEEFF"/>
          </w:tcPr>
          <w:p>
            <w:pPr>
              <w:spacing w:after="0"/>
              <w:rPr>
                <w:sz w:val="22"/>
                <w:szCs w:val="22"/>
                <w:color w:val="auto"/>
              </w:rPr>
            </w:pPr>
          </w:p>
        </w:tc>
        <w:tc>
          <w:tcPr>
            <w:tcW w:w="440" w:type="dxa"/>
            <w:vAlign w:val="bottom"/>
            <w:tcBorders>
              <w:top w:val="single" w:sz="8" w:color="auto"/>
              <w:bottom w:val="single" w:sz="8" w:color="auto"/>
            </w:tcBorders>
            <w:shd w:val="clear" w:color="auto" w:fill="CCEEFF"/>
          </w:tcPr>
          <w:p>
            <w:pPr>
              <w:spacing w:after="0"/>
              <w:rPr>
                <w:sz w:val="22"/>
                <w:szCs w:val="22"/>
                <w:color w:val="auto"/>
              </w:rPr>
            </w:pPr>
          </w:p>
        </w:tc>
        <w:tc>
          <w:tcPr>
            <w:tcW w:w="106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177</w:t>
            </w:r>
          </w:p>
        </w:tc>
        <w:tc>
          <w:tcPr>
            <w:tcW w:w="100" w:type="dxa"/>
            <w:vAlign w:val="bottom"/>
            <w:tcBorders>
              <w:top w:val="single" w:sz="8" w:color="CCEEFF"/>
            </w:tcBorders>
            <w:shd w:val="clear" w:color="auto" w:fill="CCEEFF"/>
          </w:tcPr>
          <w:p>
            <w:pPr>
              <w:spacing w:after="0"/>
              <w:rPr>
                <w:sz w:val="22"/>
                <w:szCs w:val="22"/>
                <w:color w:val="auto"/>
              </w:rPr>
            </w:pPr>
          </w:p>
        </w:tc>
        <w:tc>
          <w:tcPr>
            <w:tcW w:w="200" w:type="dxa"/>
            <w:vAlign w:val="bottom"/>
            <w:tcBorders>
              <w:top w:val="single" w:sz="8" w:color="auto"/>
              <w:bottom w:val="single" w:sz="8" w:color="auto"/>
            </w:tcBorders>
            <w:shd w:val="clear" w:color="auto" w:fill="CCEEFF"/>
          </w:tcPr>
          <w:p>
            <w:pPr>
              <w:spacing w:after="0"/>
              <w:rPr>
                <w:sz w:val="22"/>
                <w:szCs w:val="22"/>
                <w:color w:val="auto"/>
              </w:rPr>
            </w:pPr>
          </w:p>
        </w:tc>
        <w:tc>
          <w:tcPr>
            <w:tcW w:w="128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15,053</w:t>
            </w:r>
          </w:p>
        </w:tc>
        <w:tc>
          <w:tcPr>
            <w:tcW w:w="100" w:type="dxa"/>
            <w:vAlign w:val="bottom"/>
            <w:tcBorders>
              <w:top w:val="single" w:sz="8" w:color="CCEEFF"/>
            </w:tcBorders>
            <w:shd w:val="clear" w:color="auto" w:fill="CCEEFF"/>
          </w:tcPr>
          <w:p>
            <w:pPr>
              <w:spacing w:after="0"/>
              <w:rPr>
                <w:sz w:val="22"/>
                <w:szCs w:val="22"/>
                <w:color w:val="auto"/>
              </w:rPr>
            </w:pPr>
          </w:p>
        </w:tc>
        <w:tc>
          <w:tcPr>
            <w:tcW w:w="200" w:type="dxa"/>
            <w:vAlign w:val="bottom"/>
            <w:tcBorders>
              <w:top w:val="single" w:sz="8" w:color="auto"/>
              <w:bottom w:val="single" w:sz="8" w:color="auto"/>
            </w:tcBorders>
            <w:shd w:val="clear" w:color="auto" w:fill="CCEEFF"/>
          </w:tcPr>
          <w:p>
            <w:pPr>
              <w:spacing w:after="0"/>
              <w:rPr>
                <w:sz w:val="22"/>
                <w:szCs w:val="22"/>
                <w:color w:val="auto"/>
              </w:rPr>
            </w:pP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(1,014)</w:t>
            </w:r>
          </w:p>
        </w:tc>
        <w:tc>
          <w:tcPr>
            <w:tcW w:w="100" w:type="dxa"/>
            <w:vAlign w:val="bottom"/>
            <w:tcBorders>
              <w:top w:val="single" w:sz="8" w:color="CCEEFF"/>
            </w:tcBorders>
            <w:shd w:val="clear" w:color="auto" w:fill="CCEEFF"/>
          </w:tcPr>
          <w:p>
            <w:pPr>
              <w:spacing w:after="0"/>
              <w:rPr>
                <w:sz w:val="22"/>
                <w:szCs w:val="22"/>
                <w:color w:val="auto"/>
              </w:rPr>
            </w:pPr>
          </w:p>
        </w:tc>
        <w:tc>
          <w:tcPr>
            <w:tcW w:w="180" w:type="dxa"/>
            <w:vAlign w:val="bottom"/>
            <w:tcBorders>
              <w:top w:val="single" w:sz="8" w:color="auto"/>
              <w:bottom w:val="single" w:sz="8" w:color="auto"/>
            </w:tcBorders>
            <w:shd w:val="clear" w:color="auto" w:fill="CCEEFF"/>
          </w:tcPr>
          <w:p>
            <w:pPr>
              <w:spacing w:after="0"/>
              <w:rPr>
                <w:sz w:val="22"/>
                <w:szCs w:val="22"/>
                <w:color w:val="auto"/>
              </w:rPr>
            </w:pPr>
          </w:p>
        </w:tc>
        <w:tc>
          <w:tcPr>
            <w:tcW w:w="130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15,220</w:t>
            </w:r>
          </w:p>
        </w:tc>
      </w:tr>
      <w:tr>
        <w:trPr>
          <w:trHeight w:val="242"/>
        </w:trPr>
        <w:tc>
          <w:tcPr>
            <w:tcW w:w="3540" w:type="dxa"/>
            <w:vAlign w:val="bottom"/>
          </w:tcPr>
          <w:p>
            <w:pPr>
              <w:ind w:left="40"/>
              <w:spacing w:after="0"/>
              <w:rPr>
                <w:sz w:val="20"/>
                <w:szCs w:val="20"/>
                <w:color w:val="auto"/>
              </w:rPr>
            </w:pPr>
            <w:r>
              <w:rPr>
                <w:rFonts w:ascii="Arial" w:cs="Arial" w:eastAsia="Arial" w:hAnsi="Arial"/>
                <w:sz w:val="16"/>
                <w:szCs w:val="16"/>
                <w:color w:val="auto"/>
              </w:rPr>
              <w:t>Operating income (loss)</w:t>
            </w:r>
          </w:p>
        </w:tc>
        <w:tc>
          <w:tcPr>
            <w:tcW w:w="560" w:type="dxa"/>
            <w:vAlign w:val="bottom"/>
          </w:tcPr>
          <w:p>
            <w:pPr>
              <w:spacing w:after="0"/>
              <w:rPr>
                <w:sz w:val="21"/>
                <w:szCs w:val="21"/>
                <w:color w:val="auto"/>
              </w:rPr>
            </w:pPr>
          </w:p>
        </w:tc>
        <w:tc>
          <w:tcPr>
            <w:tcW w:w="960" w:type="dxa"/>
            <w:vAlign w:val="bottom"/>
          </w:tcPr>
          <w:p>
            <w:pPr>
              <w:jc w:val="right"/>
              <w:ind w:right="39"/>
              <w:spacing w:after="0"/>
              <w:rPr>
                <w:sz w:val="20"/>
                <w:szCs w:val="20"/>
                <w:color w:val="auto"/>
              </w:rPr>
            </w:pPr>
            <w:r>
              <w:rPr>
                <w:rFonts w:ascii="Arial" w:cs="Arial" w:eastAsia="Arial" w:hAnsi="Arial"/>
                <w:sz w:val="16"/>
                <w:szCs w:val="16"/>
                <w:color w:val="auto"/>
              </w:rPr>
              <w:t>6</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(31)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(261)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(286)</w:t>
            </w:r>
          </w:p>
        </w:tc>
      </w:tr>
      <w:tr>
        <w:trPr>
          <w:trHeight w:val="278"/>
        </w:trPr>
        <w:tc>
          <w:tcPr>
            <w:tcW w:w="3540" w:type="dxa"/>
            <w:vAlign w:val="bottom"/>
            <w:shd w:val="clear" w:color="auto" w:fill="CCEEFF"/>
          </w:tcPr>
          <w:p>
            <w:pPr>
              <w:ind w:left="40"/>
              <w:spacing w:after="0"/>
              <w:rPr>
                <w:sz w:val="20"/>
                <w:szCs w:val="20"/>
                <w:color w:val="auto"/>
              </w:rPr>
            </w:pPr>
            <w:r>
              <w:rPr>
                <w:rFonts w:ascii="Arial" w:cs="Arial" w:eastAsia="Arial" w:hAnsi="Arial"/>
                <w:sz w:val="16"/>
                <w:szCs w:val="16"/>
                <w:color w:val="auto"/>
              </w:rPr>
              <w:t>Interest expense</w:t>
            </w:r>
          </w:p>
        </w:tc>
        <w:tc>
          <w:tcPr>
            <w:tcW w:w="56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85</w:t>
            </w:r>
          </w:p>
        </w:tc>
        <w:tc>
          <w:tcPr>
            <w:tcW w:w="12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24"/>
                <w:szCs w:val="24"/>
                <w:color w:val="auto"/>
              </w:rPr>
            </w:pPr>
          </w:p>
        </w:tc>
        <w:tc>
          <w:tcPr>
            <w:tcW w:w="138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24"/>
                <w:szCs w:val="24"/>
                <w:color w:val="auto"/>
              </w:rPr>
            </w:pPr>
          </w:p>
        </w:tc>
        <w:tc>
          <w:tcPr>
            <w:tcW w:w="138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24"/>
                <w:szCs w:val="24"/>
                <w:color w:val="auto"/>
              </w:rPr>
            </w:pPr>
          </w:p>
        </w:tc>
        <w:tc>
          <w:tcPr>
            <w:tcW w:w="13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85</w:t>
            </w:r>
          </w:p>
        </w:tc>
      </w:tr>
      <w:tr>
        <w:trPr>
          <w:trHeight w:val="264"/>
        </w:trPr>
        <w:tc>
          <w:tcPr>
            <w:tcW w:w="354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Other income, net</w:t>
            </w:r>
          </w:p>
        </w:tc>
        <w:tc>
          <w:tcPr>
            <w:tcW w:w="56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(75)</w:t>
            </w:r>
          </w:p>
        </w:tc>
        <w:tc>
          <w:tcPr>
            <w:tcW w:w="120" w:type="dxa"/>
            <w:vAlign w:val="bottom"/>
            <w:tcBorders>
              <w:bottom w:val="single" w:sz="8" w:color="CCEEFF"/>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(75)</w:t>
            </w:r>
          </w:p>
        </w:tc>
      </w:tr>
      <w:tr>
        <w:trPr>
          <w:trHeight w:val="257"/>
        </w:trPr>
        <w:tc>
          <w:tcPr>
            <w:tcW w:w="3540" w:type="dxa"/>
            <w:vAlign w:val="bottom"/>
            <w:shd w:val="clear" w:color="auto" w:fill="CCEEFF"/>
          </w:tcPr>
          <w:p>
            <w:pPr>
              <w:ind w:left="40"/>
              <w:spacing w:after="0"/>
              <w:rPr>
                <w:sz w:val="20"/>
                <w:szCs w:val="20"/>
                <w:color w:val="auto"/>
              </w:rPr>
            </w:pPr>
            <w:r>
              <w:rPr>
                <w:rFonts w:ascii="Arial" w:cs="Arial" w:eastAsia="Arial" w:hAnsi="Arial"/>
                <w:sz w:val="16"/>
                <w:szCs w:val="16"/>
                <w:color w:val="auto"/>
              </w:rPr>
              <w:t>Loss before income taxes</w:t>
            </w:r>
          </w:p>
        </w:tc>
        <w:tc>
          <w:tcPr>
            <w:tcW w:w="560" w:type="dxa"/>
            <w:vAlign w:val="bottom"/>
            <w:shd w:val="clear" w:color="auto" w:fill="CCEEFF"/>
          </w:tcPr>
          <w:p>
            <w:pPr>
              <w:spacing w:after="0"/>
              <w:rPr>
                <w:sz w:val="22"/>
                <w:szCs w:val="22"/>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120" w:type="dxa"/>
            <w:vAlign w:val="bottom"/>
            <w:shd w:val="clear" w:color="auto" w:fill="CCEEFF"/>
          </w:tcPr>
          <w:p>
            <w:pPr>
              <w:spacing w:after="0"/>
              <w:rPr>
                <w:sz w:val="22"/>
                <w:szCs w:val="22"/>
                <w:color w:val="auto"/>
              </w:rPr>
            </w:pPr>
          </w:p>
        </w:tc>
        <w:tc>
          <w:tcPr>
            <w:tcW w:w="440" w:type="dxa"/>
            <w:vAlign w:val="bottom"/>
            <w:shd w:val="clear" w:color="auto" w:fill="CCEEFF"/>
          </w:tcPr>
          <w:p>
            <w:pPr>
              <w:spacing w:after="0"/>
              <w:rPr>
                <w:sz w:val="22"/>
                <w:szCs w:val="22"/>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(261)</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38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22"/>
                <w:szCs w:val="22"/>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(296)</w:t>
            </w:r>
          </w:p>
        </w:tc>
      </w:tr>
      <w:tr>
        <w:trPr>
          <w:trHeight w:val="264"/>
        </w:trPr>
        <w:tc>
          <w:tcPr>
            <w:tcW w:w="3540" w:type="dxa"/>
            <w:vAlign w:val="bottom"/>
          </w:tcPr>
          <w:p>
            <w:pPr>
              <w:ind w:left="40"/>
              <w:spacing w:after="0"/>
              <w:rPr>
                <w:sz w:val="20"/>
                <w:szCs w:val="20"/>
                <w:color w:val="auto"/>
              </w:rPr>
            </w:pPr>
            <w:r>
              <w:rPr>
                <w:rFonts w:ascii="Arial" w:cs="Arial" w:eastAsia="Arial" w:hAnsi="Arial"/>
                <w:sz w:val="16"/>
                <w:szCs w:val="16"/>
                <w:color w:val="auto"/>
              </w:rPr>
              <w:t>Income tax expense (benefit)</w:t>
            </w:r>
          </w:p>
        </w:tc>
        <w:tc>
          <w:tcPr>
            <w:tcW w:w="560" w:type="dxa"/>
            <w:vAlign w:val="bottom"/>
          </w:tcPr>
          <w:p>
            <w:pPr>
              <w:spacing w:after="0"/>
              <w:rPr>
                <w:sz w:val="22"/>
                <w:szCs w:val="22"/>
                <w:color w:val="auto"/>
              </w:rPr>
            </w:pPr>
          </w:p>
        </w:tc>
        <w:tc>
          <w:tcPr>
            <w:tcW w:w="960" w:type="dxa"/>
            <w:vAlign w:val="bottom"/>
          </w:tcPr>
          <w:p>
            <w:pPr>
              <w:jc w:val="right"/>
              <w:ind w:right="39"/>
              <w:spacing w:after="0"/>
              <w:rPr>
                <w:sz w:val="20"/>
                <w:szCs w:val="20"/>
                <w:color w:val="auto"/>
              </w:rPr>
            </w:pPr>
            <w:r>
              <w:rPr>
                <w:rFonts w:ascii="Arial" w:cs="Arial" w:eastAsia="Arial" w:hAnsi="Arial"/>
                <w:sz w:val="16"/>
                <w:szCs w:val="16"/>
                <w:color w:val="auto"/>
              </w:rPr>
              <w:t>26</w:t>
            </w:r>
          </w:p>
        </w:tc>
        <w:tc>
          <w:tcPr>
            <w:tcW w:w="1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(10)</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(62)</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3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2"/>
                <w:szCs w:val="22"/>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(46)</w:t>
            </w:r>
          </w:p>
        </w:tc>
      </w:tr>
      <w:tr>
        <w:trPr>
          <w:trHeight w:val="184"/>
        </w:trPr>
        <w:tc>
          <w:tcPr>
            <w:tcW w:w="354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loss before equity in net losses of</w:t>
            </w:r>
          </w:p>
        </w:tc>
        <w:tc>
          <w:tcPr>
            <w:tcW w:w="560" w:type="dxa"/>
            <w:vAlign w:val="bottom"/>
            <w:tcBorders>
              <w:top w:val="single" w:sz="8" w:color="auto"/>
            </w:tcBorders>
            <w:shd w:val="clear" w:color="auto" w:fill="CCEEFF"/>
          </w:tcPr>
          <w:p>
            <w:pPr>
              <w:spacing w:after="0"/>
              <w:rPr>
                <w:sz w:val="16"/>
                <w:szCs w:val="16"/>
                <w:color w:val="auto"/>
              </w:rPr>
            </w:pPr>
          </w:p>
        </w:tc>
        <w:tc>
          <w:tcPr>
            <w:tcW w:w="96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440" w:type="dxa"/>
            <w:vAlign w:val="bottom"/>
            <w:tcBorders>
              <w:top w:val="single" w:sz="8" w:color="auto"/>
            </w:tcBorders>
            <w:shd w:val="clear" w:color="auto" w:fill="CCEEFF"/>
          </w:tcPr>
          <w:p>
            <w:pPr>
              <w:spacing w:after="0"/>
              <w:rPr>
                <w:sz w:val="16"/>
                <w:szCs w:val="16"/>
                <w:color w:val="auto"/>
              </w:rPr>
            </w:pPr>
          </w:p>
        </w:tc>
        <w:tc>
          <w:tcPr>
            <w:tcW w:w="106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128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128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1300" w:type="dxa"/>
            <w:vAlign w:val="bottom"/>
            <w:tcBorders>
              <w:top w:val="single" w:sz="8" w:color="auto"/>
            </w:tcBorders>
            <w:shd w:val="clear" w:color="auto" w:fill="CCEEFF"/>
          </w:tcPr>
          <w:p>
            <w:pPr>
              <w:spacing w:after="0"/>
              <w:rPr>
                <w:sz w:val="16"/>
                <w:szCs w:val="16"/>
                <w:color w:val="auto"/>
              </w:rPr>
            </w:pPr>
          </w:p>
        </w:tc>
      </w:tr>
      <w:tr>
        <w:trPr>
          <w:trHeight w:val="234"/>
        </w:trPr>
        <w:tc>
          <w:tcPr>
            <w:tcW w:w="3540" w:type="dxa"/>
            <w:vAlign w:val="bottom"/>
            <w:shd w:val="clear" w:color="auto" w:fill="CCEEFF"/>
          </w:tcPr>
          <w:p>
            <w:pPr>
              <w:ind w:left="200"/>
              <w:spacing w:after="0"/>
              <w:rPr>
                <w:sz w:val="20"/>
                <w:szCs w:val="20"/>
                <w:color w:val="auto"/>
              </w:rPr>
            </w:pPr>
            <w:r>
              <w:rPr>
                <w:rFonts w:ascii="Arial" w:cs="Arial" w:eastAsia="Arial" w:hAnsi="Arial"/>
                <w:sz w:val="16"/>
                <w:szCs w:val="16"/>
                <w:color w:val="auto"/>
              </w:rPr>
              <w:t>subsidiaries</w:t>
            </w:r>
          </w:p>
        </w:tc>
        <w:tc>
          <w:tcPr>
            <w:tcW w:w="560" w:type="dxa"/>
            <w:vAlign w:val="bottom"/>
            <w:shd w:val="clear" w:color="auto" w:fill="CCEEFF"/>
          </w:tcPr>
          <w:p>
            <w:pPr>
              <w:spacing w:after="0"/>
              <w:rPr>
                <w:sz w:val="20"/>
                <w:szCs w:val="20"/>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w:t>
            </w:r>
          </w:p>
        </w:tc>
        <w:tc>
          <w:tcPr>
            <w:tcW w:w="12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(199)</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38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20"/>
                <w:szCs w:val="20"/>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(250)</w:t>
            </w:r>
          </w:p>
        </w:tc>
      </w:tr>
      <w:tr>
        <w:trPr>
          <w:trHeight w:val="264"/>
        </w:trPr>
        <w:tc>
          <w:tcPr>
            <w:tcW w:w="3540" w:type="dxa"/>
            <w:vAlign w:val="bottom"/>
          </w:tcPr>
          <w:p>
            <w:pPr>
              <w:ind w:left="40"/>
              <w:spacing w:after="0"/>
              <w:rPr>
                <w:sz w:val="20"/>
                <w:szCs w:val="20"/>
                <w:color w:val="auto"/>
              </w:rPr>
            </w:pPr>
            <w:r>
              <w:rPr>
                <w:rFonts w:ascii="Arial" w:cs="Arial" w:eastAsia="Arial" w:hAnsi="Arial"/>
                <w:sz w:val="16"/>
                <w:szCs w:val="16"/>
                <w:color w:val="auto"/>
              </w:rPr>
              <w:t>Equity in net losses of subsidiaries</w:t>
            </w:r>
          </w:p>
        </w:tc>
        <w:tc>
          <w:tcPr>
            <w:tcW w:w="56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(220)</w:t>
            </w:r>
          </w:p>
        </w:tc>
        <w:tc>
          <w:tcPr>
            <w:tcW w:w="1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(143)</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3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2"/>
                <w:szCs w:val="22"/>
                <w:color w:val="auto"/>
              </w:rPr>
            </w:pPr>
          </w:p>
        </w:tc>
        <w:tc>
          <w:tcPr>
            <w:tcW w:w="1280" w:type="dxa"/>
            <w:vAlign w:val="bottom"/>
          </w:tcPr>
          <w:p>
            <w:pPr>
              <w:jc w:val="right"/>
              <w:ind w:right="19"/>
              <w:spacing w:after="0"/>
              <w:rPr>
                <w:sz w:val="20"/>
                <w:szCs w:val="20"/>
                <w:color w:val="auto"/>
              </w:rPr>
            </w:pPr>
            <w:r>
              <w:rPr>
                <w:rFonts w:ascii="Arial" w:cs="Arial" w:eastAsia="Arial" w:hAnsi="Arial"/>
                <w:sz w:val="16"/>
                <w:szCs w:val="16"/>
                <w:color w:val="auto"/>
              </w:rPr>
              <w:t>363</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237"/>
        </w:trPr>
        <w:tc>
          <w:tcPr>
            <w:tcW w:w="35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loss</w:t>
            </w:r>
          </w:p>
        </w:tc>
        <w:tc>
          <w:tcPr>
            <w:tcW w:w="560" w:type="dxa"/>
            <w:vAlign w:val="bottom"/>
            <w:tcBorders>
              <w:top w:val="single" w:sz="8" w:color="auto"/>
              <w:bottom w:val="single" w:sz="8" w:color="auto"/>
            </w:tcBorders>
            <w:shd w:val="clear" w:color="auto" w:fill="CCEEFF"/>
          </w:tcPr>
          <w:p>
            <w:pPr>
              <w:jc w:val="right"/>
              <w:ind w:right="359"/>
              <w:spacing w:after="0"/>
              <w:rPr>
                <w:sz w:val="20"/>
                <w:szCs w:val="20"/>
                <w:color w:val="auto"/>
              </w:rPr>
            </w:pPr>
            <w:r>
              <w:rPr>
                <w:rFonts w:ascii="Arial" w:cs="Arial" w:eastAsia="Arial" w:hAnsi="Arial"/>
                <w:sz w:val="16"/>
                <w:szCs w:val="16"/>
                <w:color w:val="auto"/>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(250)</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440" w:type="dxa"/>
            <w:vAlign w:val="bottom"/>
            <w:tcBorders>
              <w:top w:val="single" w:sz="8" w:color="auto"/>
              <w:bottom w:val="single" w:sz="8" w:color="auto"/>
            </w:tcBorders>
            <w:shd w:val="clear" w:color="auto" w:fill="CCEEFF"/>
          </w:tcPr>
          <w:p>
            <w:pPr>
              <w:jc w:val="right"/>
              <w:ind w:right="239"/>
              <w:spacing w:after="0"/>
              <w:rPr>
                <w:sz w:val="20"/>
                <w:szCs w:val="20"/>
                <w:color w:val="auto"/>
              </w:rPr>
            </w:pPr>
            <w:r>
              <w:rPr>
                <w:rFonts w:ascii="Arial" w:cs="Arial" w:eastAsia="Arial" w:hAnsi="Arial"/>
                <w:sz w:val="16"/>
                <w:szCs w:val="16"/>
                <w:color w:val="auto"/>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(164)</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(199)</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8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363</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(250)</w:t>
            </w:r>
          </w:p>
        </w:tc>
      </w:tr>
      <w:tr>
        <w:trPr>
          <w:trHeight w:val="20"/>
        </w:trPr>
        <w:tc>
          <w:tcPr>
            <w:tcW w:w="354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STATEMENTS OF COMPREHENSIVE LOSS</w:t>
      </w:r>
    </w:p>
    <w:p>
      <w:pPr>
        <w:spacing w:after="0" w:line="200" w:lineRule="exact"/>
        <w:rPr>
          <w:sz w:val="20"/>
          <w:szCs w:val="20"/>
          <w:color w:val="auto"/>
        </w:rPr>
      </w:pP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3540" w:type="dxa"/>
            <w:vAlign w:val="bottom"/>
          </w:tcPr>
          <w:p>
            <w:pPr>
              <w:spacing w:after="0"/>
              <w:rPr>
                <w:sz w:val="20"/>
                <w:szCs w:val="20"/>
                <w:color w:val="auto"/>
              </w:rPr>
            </w:pPr>
          </w:p>
        </w:tc>
        <w:tc>
          <w:tcPr>
            <w:tcW w:w="6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4320" w:type="dxa"/>
            <w:vAlign w:val="bottom"/>
            <w:tcBorders>
              <w:bottom w:val="single" w:sz="8" w:color="auto"/>
            </w:tcBorders>
            <w:gridSpan w:val="8"/>
          </w:tcPr>
          <w:p>
            <w:pPr>
              <w:jc w:val="center"/>
              <w:ind w:right="560"/>
              <w:spacing w:after="0"/>
              <w:rPr>
                <w:sz w:val="20"/>
                <w:szCs w:val="20"/>
                <w:color w:val="auto"/>
              </w:rPr>
            </w:pPr>
            <w:r>
              <w:rPr>
                <w:rFonts w:ascii="Arial" w:cs="Arial" w:eastAsia="Arial" w:hAnsi="Arial"/>
                <w:sz w:val="16"/>
                <w:szCs w:val="16"/>
                <w:b w:val="1"/>
                <w:bCs w:val="1"/>
                <w:color w:val="auto"/>
              </w:rPr>
              <w:t>Nine Months Ended September 30, 2017</w:t>
            </w:r>
          </w:p>
        </w:tc>
        <w:tc>
          <w:tcPr>
            <w:tcW w:w="18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spacing w:after="0"/>
              <w:rPr>
                <w:sz w:val="20"/>
                <w:szCs w:val="20"/>
                <w:color w:val="auto"/>
              </w:rPr>
            </w:pPr>
          </w:p>
        </w:tc>
      </w:tr>
      <w:tr>
        <w:trPr>
          <w:trHeight w:val="264"/>
        </w:trPr>
        <w:tc>
          <w:tcPr>
            <w:tcW w:w="3540" w:type="dxa"/>
            <w:vAlign w:val="bottom"/>
          </w:tcPr>
          <w:p>
            <w:pPr>
              <w:spacing w:after="0"/>
              <w:rPr>
                <w:sz w:val="22"/>
                <w:szCs w:val="22"/>
                <w:color w:val="auto"/>
              </w:rPr>
            </w:pPr>
          </w:p>
        </w:tc>
        <w:tc>
          <w:tcPr>
            <w:tcW w:w="1640" w:type="dxa"/>
            <w:vAlign w:val="bottom"/>
            <w:tcBorders>
              <w:bottom w:val="single" w:sz="8" w:color="auto"/>
            </w:tcBorders>
            <w:gridSpan w:val="3"/>
          </w:tcPr>
          <w:p>
            <w:pPr>
              <w:ind w:left="100"/>
              <w:spacing w:after="0"/>
              <w:rPr>
                <w:sz w:val="20"/>
                <w:szCs w:val="20"/>
                <w:color w:val="auto"/>
              </w:rPr>
            </w:pPr>
            <w:r>
              <w:rPr>
                <w:rFonts w:ascii="Arial" w:cs="Arial" w:eastAsia="Arial" w:hAnsi="Arial"/>
                <w:sz w:val="16"/>
                <w:szCs w:val="16"/>
                <w:b w:val="1"/>
                <w:bCs w:val="1"/>
                <w:color w:val="auto"/>
              </w:rPr>
              <w:t>Parent Guarantor</w:t>
            </w:r>
          </w:p>
        </w:tc>
        <w:tc>
          <w:tcPr>
            <w:tcW w:w="1600" w:type="dxa"/>
            <w:vAlign w:val="bottom"/>
            <w:tcBorders>
              <w:bottom w:val="single" w:sz="8" w:color="auto"/>
            </w:tcBorders>
            <w:gridSpan w:val="3"/>
          </w:tcPr>
          <w:p>
            <w:pPr>
              <w:ind w:left="80"/>
              <w:spacing w:after="0"/>
              <w:rPr>
                <w:sz w:val="20"/>
                <w:szCs w:val="20"/>
                <w:color w:val="auto"/>
              </w:rPr>
            </w:pPr>
            <w:r>
              <w:rPr>
                <w:rFonts w:ascii="Arial" w:cs="Arial" w:eastAsia="Arial" w:hAnsi="Arial"/>
                <w:sz w:val="16"/>
                <w:szCs w:val="16"/>
                <w:b w:val="1"/>
                <w:bCs w:val="1"/>
                <w:color w:val="auto"/>
              </w:rPr>
              <w:t>Other Guarantors</w:t>
            </w:r>
          </w:p>
        </w:tc>
        <w:tc>
          <w:tcPr>
            <w:tcW w:w="1580" w:type="dxa"/>
            <w:vAlign w:val="bottom"/>
            <w:tcBorders>
              <w:bottom w:val="single" w:sz="8" w:color="auto"/>
            </w:tcBorders>
            <w:gridSpan w:val="3"/>
          </w:tcPr>
          <w:p>
            <w:pPr>
              <w:ind w:left="120"/>
              <w:spacing w:after="0"/>
              <w:rPr>
                <w:sz w:val="20"/>
                <w:szCs w:val="20"/>
                <w:color w:val="auto"/>
              </w:rPr>
            </w:pPr>
            <w:r>
              <w:rPr>
                <w:rFonts w:ascii="Arial" w:cs="Arial" w:eastAsia="Arial" w:hAnsi="Arial"/>
                <w:sz w:val="16"/>
                <w:szCs w:val="16"/>
                <w:b w:val="1"/>
                <w:bCs w:val="1"/>
                <w:color w:val="auto"/>
              </w:rPr>
              <w:t>Non-Guarantors</w:t>
            </w:r>
          </w:p>
        </w:tc>
        <w:tc>
          <w:tcPr>
            <w:tcW w:w="20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gridSpan w:val="2"/>
          </w:tcPr>
          <w:p>
            <w:pPr>
              <w:ind w:left="60"/>
              <w:spacing w:after="0"/>
              <w:rPr>
                <w:sz w:val="20"/>
                <w:szCs w:val="20"/>
                <w:color w:val="auto"/>
              </w:rPr>
            </w:pPr>
            <w:r>
              <w:rPr>
                <w:rFonts w:ascii="Arial" w:cs="Arial" w:eastAsia="Arial" w:hAnsi="Arial"/>
                <w:sz w:val="16"/>
                <w:szCs w:val="16"/>
                <w:b w:val="1"/>
                <w:bCs w:val="1"/>
                <w:color w:val="auto"/>
              </w:rPr>
              <w:t>Eliminations</w:t>
            </w:r>
          </w:p>
        </w:tc>
        <w:tc>
          <w:tcPr>
            <w:tcW w:w="18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b w:val="1"/>
                <w:bCs w:val="1"/>
                <w:color w:val="auto"/>
              </w:rPr>
              <w:t>Consolidated</w:t>
            </w:r>
          </w:p>
        </w:tc>
      </w:tr>
      <w:tr>
        <w:trPr>
          <w:trHeight w:val="250"/>
        </w:trPr>
        <w:tc>
          <w:tcPr>
            <w:tcW w:w="35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8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rPr>
              <w:t>(In millions)</w:t>
            </w:r>
          </w:p>
        </w:tc>
        <w:tc>
          <w:tcPr>
            <w:tcW w:w="2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spacing w:after="0"/>
              <w:rPr>
                <w:sz w:val="21"/>
                <w:szCs w:val="21"/>
                <w:color w:val="auto"/>
              </w:rPr>
            </w:pPr>
          </w:p>
        </w:tc>
      </w:tr>
      <w:tr>
        <w:trPr>
          <w:trHeight w:val="274"/>
        </w:trPr>
        <w:tc>
          <w:tcPr>
            <w:tcW w:w="3540" w:type="dxa"/>
            <w:vAlign w:val="bottom"/>
            <w:shd w:val="clear" w:color="auto" w:fill="CCEEFF"/>
          </w:tcPr>
          <w:p>
            <w:pPr>
              <w:ind w:left="40"/>
              <w:spacing w:after="0"/>
              <w:rPr>
                <w:sz w:val="20"/>
                <w:szCs w:val="20"/>
                <w:color w:val="auto"/>
              </w:rPr>
            </w:pPr>
            <w:r>
              <w:rPr>
                <w:rFonts w:ascii="Arial" w:cs="Arial" w:eastAsia="Arial" w:hAnsi="Arial"/>
                <w:sz w:val="16"/>
                <w:szCs w:val="16"/>
                <w:color w:val="auto"/>
              </w:rPr>
              <w:t>Net loss</w:t>
            </w:r>
          </w:p>
        </w:tc>
        <w:tc>
          <w:tcPr>
            <w:tcW w:w="600" w:type="dxa"/>
            <w:vAlign w:val="bottom"/>
            <w:shd w:val="clear" w:color="auto" w:fill="CCEEFF"/>
          </w:tcPr>
          <w:p>
            <w:pPr>
              <w:jc w:val="right"/>
              <w:ind w:right="399"/>
              <w:spacing w:after="0"/>
              <w:rPr>
                <w:sz w:val="20"/>
                <w:szCs w:val="20"/>
                <w:color w:val="auto"/>
              </w:rPr>
            </w:pPr>
            <w:r>
              <w:rPr>
                <w:rFonts w:ascii="Arial" w:cs="Arial" w:eastAsia="Arial" w:hAnsi="Arial"/>
                <w:sz w:val="16"/>
                <w:szCs w:val="16"/>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(250)</w:t>
            </w:r>
          </w:p>
        </w:tc>
        <w:tc>
          <w:tcPr>
            <w:tcW w:w="120" w:type="dxa"/>
            <w:vAlign w:val="bottom"/>
            <w:shd w:val="clear" w:color="auto" w:fill="CCEEFF"/>
          </w:tcPr>
          <w:p>
            <w:pPr>
              <w:spacing w:after="0"/>
              <w:rPr>
                <w:sz w:val="23"/>
                <w:szCs w:val="23"/>
                <w:color w:val="auto"/>
              </w:rPr>
            </w:pPr>
          </w:p>
        </w:tc>
        <w:tc>
          <w:tcPr>
            <w:tcW w:w="44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(164)</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(199)</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363</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(250)</w:t>
            </w:r>
          </w:p>
        </w:tc>
      </w:tr>
      <w:tr>
        <w:trPr>
          <w:trHeight w:val="264"/>
        </w:trPr>
        <w:tc>
          <w:tcPr>
            <w:tcW w:w="3540" w:type="dxa"/>
            <w:vAlign w:val="bottom"/>
          </w:tcPr>
          <w:p>
            <w:pPr>
              <w:ind w:left="40"/>
              <w:spacing w:after="0"/>
              <w:rPr>
                <w:sz w:val="20"/>
                <w:szCs w:val="20"/>
                <w:color w:val="auto"/>
              </w:rPr>
            </w:pPr>
            <w:r>
              <w:rPr>
                <w:rFonts w:ascii="Arial" w:cs="Arial" w:eastAsia="Arial" w:hAnsi="Arial"/>
                <w:sz w:val="16"/>
                <w:szCs w:val="16"/>
                <w:color w:val="auto"/>
              </w:rPr>
              <w:t>Other comprehensive income, net of tax</w:t>
            </w:r>
          </w:p>
        </w:tc>
        <w:tc>
          <w:tcPr>
            <w:tcW w:w="600" w:type="dxa"/>
            <w:vAlign w:val="bottom"/>
          </w:tcPr>
          <w:p>
            <w:pPr>
              <w:spacing w:after="0"/>
              <w:rPr>
                <w:sz w:val="22"/>
                <w:szCs w:val="22"/>
                <w:color w:val="auto"/>
              </w:rPr>
            </w:pPr>
          </w:p>
        </w:tc>
        <w:tc>
          <w:tcPr>
            <w:tcW w:w="920" w:type="dxa"/>
            <w:vAlign w:val="bottom"/>
          </w:tcPr>
          <w:p>
            <w:pPr>
              <w:jc w:val="right"/>
              <w:ind w:right="39"/>
              <w:spacing w:after="0"/>
              <w:rPr>
                <w:sz w:val="20"/>
                <w:szCs w:val="20"/>
                <w:color w:val="auto"/>
              </w:rPr>
            </w:pPr>
            <w:r>
              <w:rPr>
                <w:rFonts w:ascii="Arial" w:cs="Arial" w:eastAsia="Arial" w:hAnsi="Arial"/>
                <w:sz w:val="16"/>
                <w:szCs w:val="16"/>
                <w:color w:val="auto"/>
              </w:rPr>
              <w:t>1</w:t>
            </w:r>
          </w:p>
        </w:tc>
        <w:tc>
          <w:tcPr>
            <w:tcW w:w="1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2"/>
                <w:szCs w:val="22"/>
                <w:color w:val="auto"/>
              </w:rPr>
            </w:pPr>
          </w:p>
        </w:tc>
        <w:tc>
          <w:tcPr>
            <w:tcW w:w="1280" w:type="dxa"/>
            <w:vAlign w:val="bottom"/>
          </w:tcPr>
          <w:p>
            <w:pPr>
              <w:jc w:val="right"/>
              <w:ind w:right="19"/>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1</w:t>
            </w:r>
          </w:p>
        </w:tc>
      </w:tr>
      <w:tr>
        <w:trPr>
          <w:trHeight w:val="242"/>
        </w:trPr>
        <w:tc>
          <w:tcPr>
            <w:tcW w:w="35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Comprehensive loss</w:t>
            </w:r>
          </w:p>
        </w:tc>
        <w:tc>
          <w:tcPr>
            <w:tcW w:w="600" w:type="dxa"/>
            <w:vAlign w:val="bottom"/>
            <w:tcBorders>
              <w:top w:val="single" w:sz="8" w:color="auto"/>
              <w:bottom w:val="single" w:sz="8" w:color="auto"/>
            </w:tcBorders>
            <w:shd w:val="clear" w:color="auto" w:fill="CCEEFF"/>
          </w:tcPr>
          <w:p>
            <w:pPr>
              <w:jc w:val="right"/>
              <w:ind w:right="399"/>
              <w:spacing w:after="0"/>
              <w:rPr>
                <w:sz w:val="20"/>
                <w:szCs w:val="20"/>
                <w:color w:val="auto"/>
              </w:rPr>
            </w:pPr>
            <w:r>
              <w:rPr>
                <w:rFonts w:ascii="Arial" w:cs="Arial" w:eastAsia="Arial" w:hAnsi="Arial"/>
                <w:sz w:val="16"/>
                <w:szCs w:val="16"/>
                <w:color w:val="auto"/>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(249)</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440" w:type="dxa"/>
            <w:vAlign w:val="bottom"/>
            <w:tcBorders>
              <w:top w:val="single" w:sz="8" w:color="auto"/>
              <w:bottom w:val="single" w:sz="8" w:color="auto"/>
            </w:tcBorders>
            <w:shd w:val="clear" w:color="auto" w:fill="CCEEFF"/>
          </w:tcPr>
          <w:p>
            <w:pPr>
              <w:jc w:val="right"/>
              <w:ind w:right="239"/>
              <w:spacing w:after="0"/>
              <w:rPr>
                <w:sz w:val="20"/>
                <w:szCs w:val="20"/>
                <w:color w:val="auto"/>
              </w:rPr>
            </w:pPr>
            <w:r>
              <w:rPr>
                <w:rFonts w:ascii="Arial" w:cs="Arial" w:eastAsia="Arial" w:hAnsi="Arial"/>
                <w:sz w:val="16"/>
                <w:szCs w:val="16"/>
                <w:color w:val="auto"/>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8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362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(249)</w:t>
            </w:r>
          </w:p>
        </w:tc>
      </w:tr>
      <w:tr>
        <w:trPr>
          <w:trHeight w:val="20"/>
        </w:trPr>
        <w:tc>
          <w:tcPr>
            <w:tcW w:w="354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32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Molina Healthcare, Inc. 2017 Form 10-Q | 33</w:t>
      </w:r>
    </w:p>
    <w:p>
      <w:pPr>
        <w:sectPr>
          <w:pgSz w:w="11900" w:h="16838" w:orient="portrait"/>
          <w:cols w:equalWidth="0" w:num="1">
            <w:col w:w="11420"/>
          </w:cols>
          <w:pgMar w:left="240" w:top="115" w:right="239" w:bottom="1440" w:gutter="0" w:footer="0" w:header="0"/>
        </w:sectPr>
      </w:pPr>
    </w:p>
    <w:bookmarkStart w:id="33" w:name="page34"/>
    <w:bookmarkEnd w:id="3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STATEMENTS OF INCOME</w:t>
      </w:r>
    </w:p>
    <w:p>
      <w:pPr>
        <w:spacing w:after="0" w:line="200" w:lineRule="exact"/>
        <w:rPr>
          <w:sz w:val="20"/>
          <w:szCs w:val="20"/>
          <w:color w:val="auto"/>
        </w:rPr>
      </w:pP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3540" w:type="dxa"/>
            <w:vAlign w:val="bottom"/>
          </w:tcPr>
          <w:p>
            <w:pPr>
              <w:spacing w:after="0"/>
              <w:rPr>
                <w:sz w:val="20"/>
                <w:szCs w:val="20"/>
                <w:color w:val="auto"/>
              </w:rPr>
            </w:pPr>
          </w:p>
        </w:tc>
        <w:tc>
          <w:tcPr>
            <w:tcW w:w="6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4320" w:type="dxa"/>
            <w:vAlign w:val="bottom"/>
            <w:tcBorders>
              <w:bottom w:val="single" w:sz="8" w:color="auto"/>
            </w:tcBorders>
            <w:gridSpan w:val="8"/>
          </w:tcPr>
          <w:p>
            <w:pPr>
              <w:jc w:val="center"/>
              <w:ind w:right="560"/>
              <w:spacing w:after="0"/>
              <w:rPr>
                <w:sz w:val="20"/>
                <w:szCs w:val="20"/>
                <w:color w:val="auto"/>
              </w:rPr>
            </w:pPr>
            <w:r>
              <w:rPr>
                <w:rFonts w:ascii="Arial" w:cs="Arial" w:eastAsia="Arial" w:hAnsi="Arial"/>
                <w:sz w:val="16"/>
                <w:szCs w:val="16"/>
                <w:b w:val="1"/>
                <w:bCs w:val="1"/>
                <w:color w:val="auto"/>
              </w:rPr>
              <w:t>Nine Months Ended September 30, 2016</w:t>
            </w:r>
          </w:p>
        </w:tc>
        <w:tc>
          <w:tcPr>
            <w:tcW w:w="18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spacing w:after="0"/>
              <w:rPr>
                <w:sz w:val="20"/>
                <w:szCs w:val="20"/>
                <w:color w:val="auto"/>
              </w:rPr>
            </w:pPr>
          </w:p>
        </w:tc>
      </w:tr>
      <w:tr>
        <w:trPr>
          <w:trHeight w:val="264"/>
        </w:trPr>
        <w:tc>
          <w:tcPr>
            <w:tcW w:w="3540" w:type="dxa"/>
            <w:vAlign w:val="bottom"/>
          </w:tcPr>
          <w:p>
            <w:pPr>
              <w:spacing w:after="0"/>
              <w:rPr>
                <w:sz w:val="22"/>
                <w:szCs w:val="22"/>
                <w:color w:val="auto"/>
              </w:rPr>
            </w:pPr>
          </w:p>
        </w:tc>
        <w:tc>
          <w:tcPr>
            <w:tcW w:w="1640" w:type="dxa"/>
            <w:vAlign w:val="bottom"/>
            <w:tcBorders>
              <w:bottom w:val="single" w:sz="8" w:color="auto"/>
            </w:tcBorders>
            <w:gridSpan w:val="3"/>
          </w:tcPr>
          <w:p>
            <w:pPr>
              <w:ind w:left="100"/>
              <w:spacing w:after="0"/>
              <w:rPr>
                <w:sz w:val="20"/>
                <w:szCs w:val="20"/>
                <w:color w:val="auto"/>
              </w:rPr>
            </w:pPr>
            <w:r>
              <w:rPr>
                <w:rFonts w:ascii="Arial" w:cs="Arial" w:eastAsia="Arial" w:hAnsi="Arial"/>
                <w:sz w:val="16"/>
                <w:szCs w:val="16"/>
                <w:b w:val="1"/>
                <w:bCs w:val="1"/>
                <w:color w:val="auto"/>
              </w:rPr>
              <w:t>Parent Guarantor</w:t>
            </w:r>
          </w:p>
        </w:tc>
        <w:tc>
          <w:tcPr>
            <w:tcW w:w="1600" w:type="dxa"/>
            <w:vAlign w:val="bottom"/>
            <w:tcBorders>
              <w:bottom w:val="single" w:sz="8" w:color="auto"/>
            </w:tcBorders>
            <w:gridSpan w:val="3"/>
          </w:tcPr>
          <w:p>
            <w:pPr>
              <w:ind w:left="80"/>
              <w:spacing w:after="0"/>
              <w:rPr>
                <w:sz w:val="20"/>
                <w:szCs w:val="20"/>
                <w:color w:val="auto"/>
              </w:rPr>
            </w:pPr>
            <w:r>
              <w:rPr>
                <w:rFonts w:ascii="Arial" w:cs="Arial" w:eastAsia="Arial" w:hAnsi="Arial"/>
                <w:sz w:val="16"/>
                <w:szCs w:val="16"/>
                <w:b w:val="1"/>
                <w:bCs w:val="1"/>
                <w:color w:val="auto"/>
              </w:rPr>
              <w:t>Other Guarantors</w:t>
            </w:r>
          </w:p>
        </w:tc>
        <w:tc>
          <w:tcPr>
            <w:tcW w:w="1580" w:type="dxa"/>
            <w:vAlign w:val="bottom"/>
            <w:tcBorders>
              <w:bottom w:val="single" w:sz="8" w:color="auto"/>
            </w:tcBorders>
            <w:gridSpan w:val="3"/>
          </w:tcPr>
          <w:p>
            <w:pPr>
              <w:ind w:left="120"/>
              <w:spacing w:after="0"/>
              <w:rPr>
                <w:sz w:val="20"/>
                <w:szCs w:val="20"/>
                <w:color w:val="auto"/>
              </w:rPr>
            </w:pPr>
            <w:r>
              <w:rPr>
                <w:rFonts w:ascii="Arial" w:cs="Arial" w:eastAsia="Arial" w:hAnsi="Arial"/>
                <w:sz w:val="16"/>
                <w:szCs w:val="16"/>
                <w:b w:val="1"/>
                <w:bCs w:val="1"/>
                <w:color w:val="auto"/>
              </w:rPr>
              <w:t>Non-Guarantors</w:t>
            </w:r>
          </w:p>
        </w:tc>
        <w:tc>
          <w:tcPr>
            <w:tcW w:w="20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gridSpan w:val="2"/>
          </w:tcPr>
          <w:p>
            <w:pPr>
              <w:ind w:left="60"/>
              <w:spacing w:after="0"/>
              <w:rPr>
                <w:sz w:val="20"/>
                <w:szCs w:val="20"/>
                <w:color w:val="auto"/>
              </w:rPr>
            </w:pPr>
            <w:r>
              <w:rPr>
                <w:rFonts w:ascii="Arial" w:cs="Arial" w:eastAsia="Arial" w:hAnsi="Arial"/>
                <w:sz w:val="16"/>
                <w:szCs w:val="16"/>
                <w:b w:val="1"/>
                <w:bCs w:val="1"/>
                <w:color w:val="auto"/>
              </w:rPr>
              <w:t>Eliminations</w:t>
            </w:r>
          </w:p>
        </w:tc>
        <w:tc>
          <w:tcPr>
            <w:tcW w:w="18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b w:val="1"/>
                <w:bCs w:val="1"/>
                <w:color w:val="auto"/>
              </w:rPr>
              <w:t>Consolidated</w:t>
            </w:r>
          </w:p>
        </w:tc>
      </w:tr>
      <w:tr>
        <w:trPr>
          <w:trHeight w:val="250"/>
        </w:trPr>
        <w:tc>
          <w:tcPr>
            <w:tcW w:w="35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8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rPr>
              <w:t>(In millions)</w:t>
            </w:r>
          </w:p>
        </w:tc>
        <w:tc>
          <w:tcPr>
            <w:tcW w:w="2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spacing w:after="0"/>
              <w:rPr>
                <w:sz w:val="21"/>
                <w:szCs w:val="21"/>
                <w:color w:val="auto"/>
              </w:rPr>
            </w:pPr>
          </w:p>
        </w:tc>
      </w:tr>
      <w:tr>
        <w:trPr>
          <w:trHeight w:val="254"/>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Revenue:</w:t>
            </w:r>
          </w:p>
        </w:tc>
        <w:tc>
          <w:tcPr>
            <w:tcW w:w="62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spacing w:after="0"/>
              <w:rPr>
                <w:sz w:val="22"/>
                <w:szCs w:val="22"/>
                <w:color w:val="auto"/>
              </w:rPr>
            </w:pPr>
          </w:p>
        </w:tc>
      </w:tr>
      <w:tr>
        <w:trPr>
          <w:trHeight w:val="264"/>
        </w:trPr>
        <w:tc>
          <w:tcPr>
            <w:tcW w:w="354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Total revenue</w:t>
            </w:r>
          </w:p>
        </w:tc>
        <w:tc>
          <w:tcPr>
            <w:tcW w:w="62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786</w:t>
            </w:r>
          </w:p>
        </w:tc>
        <w:tc>
          <w:tcPr>
            <w:tcW w:w="120" w:type="dxa"/>
            <w:vAlign w:val="bottom"/>
            <w:tcBorders>
              <w:bottom w:val="single" w:sz="8" w:color="CCEEFF"/>
            </w:tcBorders>
          </w:tcPr>
          <w:p>
            <w:pPr>
              <w:spacing w:after="0"/>
              <w:rPr>
                <w:sz w:val="22"/>
                <w:szCs w:val="22"/>
                <w:color w:val="auto"/>
              </w:rPr>
            </w:pPr>
          </w:p>
        </w:tc>
        <w:tc>
          <w:tcPr>
            <w:tcW w:w="44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147</w:t>
            </w: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13,099</w:t>
            </w: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(784)</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13,248</w:t>
            </w:r>
          </w:p>
        </w:tc>
      </w:tr>
      <w:tr>
        <w:trPr>
          <w:trHeight w:val="250"/>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Expenses:</w:t>
            </w:r>
          </w:p>
        </w:tc>
        <w:tc>
          <w:tcPr>
            <w:tcW w:w="6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r>
      <w:tr>
        <w:trPr>
          <w:trHeight w:val="262"/>
        </w:trPr>
        <w:tc>
          <w:tcPr>
            <w:tcW w:w="3540" w:type="dxa"/>
            <w:vAlign w:val="bottom"/>
          </w:tcPr>
          <w:p>
            <w:pPr>
              <w:ind w:left="40"/>
              <w:spacing w:after="0"/>
              <w:rPr>
                <w:sz w:val="20"/>
                <w:szCs w:val="20"/>
                <w:color w:val="auto"/>
              </w:rPr>
            </w:pPr>
            <w:r>
              <w:rPr>
                <w:rFonts w:ascii="Arial" w:cs="Arial" w:eastAsia="Arial" w:hAnsi="Arial"/>
                <w:sz w:val="16"/>
                <w:szCs w:val="16"/>
                <w:color w:val="auto"/>
              </w:rPr>
              <w:t>Medical care costs</w:t>
            </w:r>
          </w:p>
        </w:tc>
        <w:tc>
          <w:tcPr>
            <w:tcW w:w="620" w:type="dxa"/>
            <w:vAlign w:val="bottom"/>
          </w:tcPr>
          <w:p>
            <w:pPr>
              <w:spacing w:after="0"/>
              <w:rPr>
                <w:sz w:val="22"/>
                <w:szCs w:val="22"/>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50</w:t>
            </w:r>
          </w:p>
        </w:tc>
        <w:tc>
          <w:tcPr>
            <w:tcW w:w="1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2"/>
                <w:szCs w:val="22"/>
                <w:color w:val="auto"/>
              </w:rPr>
            </w:pPr>
          </w:p>
        </w:tc>
        <w:tc>
          <w:tcPr>
            <w:tcW w:w="1280" w:type="dxa"/>
            <w:vAlign w:val="bottom"/>
          </w:tcPr>
          <w:p>
            <w:pPr>
              <w:jc w:val="right"/>
              <w:ind w:right="19"/>
              <w:spacing w:after="0"/>
              <w:rPr>
                <w:sz w:val="20"/>
                <w:szCs w:val="20"/>
                <w:color w:val="auto"/>
              </w:rPr>
            </w:pPr>
            <w:r>
              <w:rPr>
                <w:rFonts w:ascii="Arial" w:cs="Arial" w:eastAsia="Arial" w:hAnsi="Arial"/>
                <w:sz w:val="16"/>
                <w:szCs w:val="16"/>
                <w:color w:val="auto"/>
              </w:rPr>
              <w:t>10,881</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10,930</w:t>
            </w:r>
          </w:p>
        </w:tc>
      </w:tr>
      <w:tr>
        <w:trPr>
          <w:trHeight w:val="278"/>
        </w:trPr>
        <w:tc>
          <w:tcPr>
            <w:tcW w:w="3540" w:type="dxa"/>
            <w:vAlign w:val="bottom"/>
            <w:shd w:val="clear" w:color="auto" w:fill="CCEEFF"/>
          </w:tcPr>
          <w:p>
            <w:pPr>
              <w:ind w:left="40"/>
              <w:spacing w:after="0"/>
              <w:rPr>
                <w:sz w:val="20"/>
                <w:szCs w:val="20"/>
                <w:color w:val="auto"/>
              </w:rPr>
            </w:pPr>
            <w:r>
              <w:rPr>
                <w:rFonts w:ascii="Arial" w:cs="Arial" w:eastAsia="Arial" w:hAnsi="Arial"/>
                <w:sz w:val="16"/>
                <w:szCs w:val="16"/>
                <w:color w:val="auto"/>
              </w:rPr>
              <w:t>Cost of service revenue</w:t>
            </w:r>
          </w:p>
        </w:tc>
        <w:tc>
          <w:tcPr>
            <w:tcW w:w="620" w:type="dxa"/>
            <w:vAlign w:val="bottom"/>
            <w:shd w:val="clear" w:color="auto" w:fill="CCEEFF"/>
          </w:tcPr>
          <w:p>
            <w:pPr>
              <w:spacing w:after="0"/>
              <w:rPr>
                <w:sz w:val="24"/>
                <w:szCs w:val="24"/>
                <w:color w:val="auto"/>
              </w:rPr>
            </w:pP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44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130</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2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232</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38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24"/>
                <w:szCs w:val="24"/>
                <w:color w:val="auto"/>
              </w:rPr>
            </w:pPr>
          </w:p>
        </w:tc>
        <w:tc>
          <w:tcPr>
            <w:tcW w:w="13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362</w:t>
            </w:r>
          </w:p>
        </w:tc>
      </w:tr>
      <w:tr>
        <w:trPr>
          <w:trHeight w:val="262"/>
        </w:trPr>
        <w:tc>
          <w:tcPr>
            <w:tcW w:w="3540" w:type="dxa"/>
            <w:vAlign w:val="bottom"/>
          </w:tcPr>
          <w:p>
            <w:pPr>
              <w:ind w:left="40"/>
              <w:spacing w:after="0"/>
              <w:rPr>
                <w:sz w:val="20"/>
                <w:szCs w:val="20"/>
                <w:color w:val="auto"/>
              </w:rPr>
            </w:pPr>
            <w:r>
              <w:rPr>
                <w:rFonts w:ascii="Arial" w:cs="Arial" w:eastAsia="Arial" w:hAnsi="Arial"/>
                <w:sz w:val="16"/>
                <w:szCs w:val="16"/>
                <w:color w:val="auto"/>
              </w:rPr>
              <w:t>General and administrative expenses</w:t>
            </w:r>
          </w:p>
        </w:tc>
        <w:tc>
          <w:tcPr>
            <w:tcW w:w="620" w:type="dxa"/>
            <w:vAlign w:val="bottom"/>
          </w:tcPr>
          <w:p>
            <w:pPr>
              <w:spacing w:after="0"/>
              <w:rPr>
                <w:sz w:val="22"/>
                <w:szCs w:val="22"/>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659</w:t>
            </w:r>
          </w:p>
        </w:tc>
        <w:tc>
          <w:tcPr>
            <w:tcW w:w="1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5</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80" w:type="dxa"/>
            <w:vAlign w:val="bottom"/>
          </w:tcPr>
          <w:p>
            <w:pPr>
              <w:jc w:val="right"/>
              <w:ind w:right="19"/>
              <w:spacing w:after="0"/>
              <w:rPr>
                <w:sz w:val="20"/>
                <w:szCs w:val="20"/>
                <w:color w:val="auto"/>
              </w:rPr>
            </w:pPr>
            <w:r>
              <w:rPr>
                <w:rFonts w:ascii="Arial" w:cs="Arial" w:eastAsia="Arial" w:hAnsi="Arial"/>
                <w:sz w:val="16"/>
                <w:szCs w:val="16"/>
                <w:color w:val="auto"/>
              </w:rPr>
              <w:t>1,153</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(783)</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1,034</w:t>
            </w:r>
          </w:p>
        </w:tc>
      </w:tr>
      <w:tr>
        <w:trPr>
          <w:trHeight w:val="278"/>
        </w:trPr>
        <w:tc>
          <w:tcPr>
            <w:tcW w:w="3540" w:type="dxa"/>
            <w:vAlign w:val="bottom"/>
            <w:shd w:val="clear" w:color="auto" w:fill="CCEEFF"/>
          </w:tcPr>
          <w:p>
            <w:pPr>
              <w:ind w:left="40"/>
              <w:spacing w:after="0"/>
              <w:rPr>
                <w:sz w:val="20"/>
                <w:szCs w:val="20"/>
                <w:color w:val="auto"/>
              </w:rPr>
            </w:pPr>
            <w:r>
              <w:rPr>
                <w:rFonts w:ascii="Arial" w:cs="Arial" w:eastAsia="Arial" w:hAnsi="Arial"/>
                <w:sz w:val="16"/>
                <w:szCs w:val="16"/>
                <w:color w:val="auto"/>
              </w:rPr>
              <w:t>Premium tax expenses</w:t>
            </w:r>
          </w:p>
        </w:tc>
        <w:tc>
          <w:tcPr>
            <w:tcW w:w="620" w:type="dxa"/>
            <w:vAlign w:val="bottom"/>
            <w:shd w:val="clear" w:color="auto" w:fill="CCEEFF"/>
          </w:tcPr>
          <w:p>
            <w:pPr>
              <w:spacing w:after="0"/>
              <w:rPr>
                <w:sz w:val="24"/>
                <w:szCs w:val="24"/>
                <w:color w:val="auto"/>
              </w:rPr>
            </w:pP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440" w:type="dxa"/>
            <w:vAlign w:val="bottom"/>
            <w:shd w:val="clear" w:color="auto" w:fill="CCEEFF"/>
          </w:tcPr>
          <w:p>
            <w:pPr>
              <w:spacing w:after="0"/>
              <w:rPr>
                <w:sz w:val="24"/>
                <w:szCs w:val="24"/>
                <w:color w:val="auto"/>
              </w:rPr>
            </w:pP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24"/>
                <w:szCs w:val="24"/>
                <w:color w:val="auto"/>
              </w:rPr>
            </w:pPr>
          </w:p>
        </w:tc>
        <w:tc>
          <w:tcPr>
            <w:tcW w:w="12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345</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38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24"/>
                <w:szCs w:val="24"/>
                <w:color w:val="auto"/>
              </w:rPr>
            </w:pPr>
          </w:p>
        </w:tc>
        <w:tc>
          <w:tcPr>
            <w:tcW w:w="13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345</w:t>
            </w:r>
          </w:p>
        </w:tc>
      </w:tr>
      <w:tr>
        <w:trPr>
          <w:trHeight w:val="262"/>
        </w:trPr>
        <w:tc>
          <w:tcPr>
            <w:tcW w:w="3540" w:type="dxa"/>
            <w:vAlign w:val="bottom"/>
          </w:tcPr>
          <w:p>
            <w:pPr>
              <w:ind w:left="40"/>
              <w:spacing w:after="0"/>
              <w:rPr>
                <w:sz w:val="20"/>
                <w:szCs w:val="20"/>
                <w:color w:val="auto"/>
              </w:rPr>
            </w:pPr>
            <w:r>
              <w:rPr>
                <w:rFonts w:ascii="Arial" w:cs="Arial" w:eastAsia="Arial" w:hAnsi="Arial"/>
                <w:sz w:val="16"/>
                <w:szCs w:val="16"/>
                <w:color w:val="auto"/>
              </w:rPr>
              <w:t>Health insurer fee expenses</w:t>
            </w:r>
          </w:p>
        </w:tc>
        <w:tc>
          <w:tcPr>
            <w:tcW w:w="620" w:type="dxa"/>
            <w:vAlign w:val="bottom"/>
          </w:tcPr>
          <w:p>
            <w:pPr>
              <w:spacing w:after="0"/>
              <w:rPr>
                <w:sz w:val="22"/>
                <w:szCs w:val="22"/>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440" w:type="dxa"/>
            <w:vAlign w:val="bottom"/>
          </w:tcPr>
          <w:p>
            <w:pPr>
              <w:spacing w:after="0"/>
              <w:rPr>
                <w:sz w:val="22"/>
                <w:szCs w:val="22"/>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2"/>
                <w:szCs w:val="22"/>
                <w:color w:val="auto"/>
              </w:rPr>
            </w:pPr>
          </w:p>
        </w:tc>
        <w:tc>
          <w:tcPr>
            <w:tcW w:w="1280" w:type="dxa"/>
            <w:vAlign w:val="bottom"/>
          </w:tcPr>
          <w:p>
            <w:pPr>
              <w:jc w:val="right"/>
              <w:ind w:right="19"/>
              <w:spacing w:after="0"/>
              <w:rPr>
                <w:sz w:val="20"/>
                <w:szCs w:val="20"/>
                <w:color w:val="auto"/>
              </w:rPr>
            </w:pPr>
            <w:r>
              <w:rPr>
                <w:rFonts w:ascii="Arial" w:cs="Arial" w:eastAsia="Arial" w:hAnsi="Arial"/>
                <w:sz w:val="16"/>
                <w:szCs w:val="16"/>
                <w:color w:val="auto"/>
              </w:rPr>
              <w:t>163</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3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2"/>
                <w:szCs w:val="22"/>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163</w:t>
            </w:r>
          </w:p>
        </w:tc>
      </w:tr>
      <w:tr>
        <w:trPr>
          <w:trHeight w:val="278"/>
        </w:trPr>
        <w:tc>
          <w:tcPr>
            <w:tcW w:w="3540" w:type="dxa"/>
            <w:vAlign w:val="bottom"/>
            <w:shd w:val="clear" w:color="auto" w:fill="CCEEFF"/>
          </w:tcPr>
          <w:p>
            <w:pPr>
              <w:ind w:left="40"/>
              <w:spacing w:after="0"/>
              <w:rPr>
                <w:sz w:val="20"/>
                <w:szCs w:val="20"/>
                <w:color w:val="auto"/>
              </w:rPr>
            </w:pPr>
            <w:r>
              <w:rPr>
                <w:rFonts w:ascii="Arial" w:cs="Arial" w:eastAsia="Arial" w:hAnsi="Arial"/>
                <w:sz w:val="16"/>
                <w:szCs w:val="16"/>
                <w:color w:val="auto"/>
              </w:rPr>
              <w:t>Depreciation and amortization</w:t>
            </w:r>
          </w:p>
        </w:tc>
        <w:tc>
          <w:tcPr>
            <w:tcW w:w="62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70</w:t>
            </w:r>
          </w:p>
        </w:tc>
        <w:tc>
          <w:tcPr>
            <w:tcW w:w="12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5</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2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27</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38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24"/>
                <w:szCs w:val="24"/>
                <w:color w:val="auto"/>
              </w:rPr>
            </w:pPr>
          </w:p>
        </w:tc>
        <w:tc>
          <w:tcPr>
            <w:tcW w:w="13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102</w:t>
            </w:r>
          </w:p>
        </w:tc>
      </w:tr>
      <w:tr>
        <w:trPr>
          <w:trHeight w:val="244"/>
        </w:trPr>
        <w:tc>
          <w:tcPr>
            <w:tcW w:w="354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Total operating expenses</w:t>
            </w:r>
          </w:p>
        </w:tc>
        <w:tc>
          <w:tcPr>
            <w:tcW w:w="620" w:type="dxa"/>
            <w:vAlign w:val="bottom"/>
            <w:tcBorders>
              <w:top w:val="single" w:sz="8" w:color="auto"/>
              <w:bottom w:val="single" w:sz="8" w:color="auto"/>
            </w:tcBorders>
          </w:tcPr>
          <w:p>
            <w:pPr>
              <w:spacing w:after="0"/>
              <w:rPr>
                <w:sz w:val="21"/>
                <w:szCs w:val="21"/>
                <w:color w:val="auto"/>
              </w:rPr>
            </w:pPr>
          </w:p>
        </w:tc>
        <w:tc>
          <w:tcPr>
            <w:tcW w:w="90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779</w:t>
            </w:r>
          </w:p>
        </w:tc>
        <w:tc>
          <w:tcPr>
            <w:tcW w:w="120" w:type="dxa"/>
            <w:vAlign w:val="bottom"/>
            <w:tcBorders>
              <w:bottom w:val="single" w:sz="8" w:color="CCEEFF"/>
            </w:tcBorders>
          </w:tcPr>
          <w:p>
            <w:pPr>
              <w:spacing w:after="0"/>
              <w:rPr>
                <w:sz w:val="21"/>
                <w:szCs w:val="21"/>
                <w:color w:val="auto"/>
              </w:rPr>
            </w:pPr>
          </w:p>
        </w:tc>
        <w:tc>
          <w:tcPr>
            <w:tcW w:w="440" w:type="dxa"/>
            <w:vAlign w:val="bottom"/>
            <w:tcBorders>
              <w:top w:val="single" w:sz="8" w:color="auto"/>
              <w:bottom w:val="single" w:sz="8" w:color="auto"/>
            </w:tcBorders>
          </w:tcPr>
          <w:p>
            <w:pPr>
              <w:spacing w:after="0"/>
              <w:rPr>
                <w:sz w:val="21"/>
                <w:szCs w:val="21"/>
                <w:color w:val="auto"/>
              </w:rPr>
            </w:pPr>
          </w:p>
        </w:tc>
        <w:tc>
          <w:tcPr>
            <w:tcW w:w="106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140</w:t>
            </w:r>
          </w:p>
        </w:tc>
        <w:tc>
          <w:tcPr>
            <w:tcW w:w="100" w:type="dxa"/>
            <w:vAlign w:val="bottom"/>
            <w:tcBorders>
              <w:bottom w:val="single" w:sz="8" w:color="CCEEFF"/>
            </w:tcBorders>
          </w:tcPr>
          <w:p>
            <w:pPr>
              <w:spacing w:after="0"/>
              <w:rPr>
                <w:sz w:val="21"/>
                <w:szCs w:val="21"/>
                <w:color w:val="auto"/>
              </w:rPr>
            </w:pPr>
          </w:p>
        </w:tc>
        <w:tc>
          <w:tcPr>
            <w:tcW w:w="200" w:type="dxa"/>
            <w:vAlign w:val="bottom"/>
            <w:tcBorders>
              <w:top w:val="single" w:sz="8" w:color="auto"/>
              <w:bottom w:val="single" w:sz="8" w:color="auto"/>
            </w:tcBorders>
          </w:tcPr>
          <w:p>
            <w:pPr>
              <w:spacing w:after="0"/>
              <w:rPr>
                <w:sz w:val="21"/>
                <w:szCs w:val="21"/>
                <w:color w:val="auto"/>
              </w:rPr>
            </w:pPr>
          </w:p>
        </w:tc>
        <w:tc>
          <w:tcPr>
            <w:tcW w:w="128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12,801</w:t>
            </w:r>
          </w:p>
        </w:tc>
        <w:tc>
          <w:tcPr>
            <w:tcW w:w="100" w:type="dxa"/>
            <w:vAlign w:val="bottom"/>
            <w:tcBorders>
              <w:bottom w:val="single" w:sz="8" w:color="CCEEFF"/>
            </w:tcBorders>
          </w:tcPr>
          <w:p>
            <w:pPr>
              <w:spacing w:after="0"/>
              <w:rPr>
                <w:sz w:val="21"/>
                <w:szCs w:val="21"/>
                <w:color w:val="auto"/>
              </w:rPr>
            </w:pPr>
          </w:p>
        </w:tc>
        <w:tc>
          <w:tcPr>
            <w:tcW w:w="200" w:type="dxa"/>
            <w:vAlign w:val="bottom"/>
            <w:tcBorders>
              <w:top w:val="single" w:sz="8" w:color="auto"/>
              <w:bottom w:val="single" w:sz="8" w:color="auto"/>
            </w:tcBorders>
          </w:tcPr>
          <w:p>
            <w:pPr>
              <w:spacing w:after="0"/>
              <w:rPr>
                <w:sz w:val="21"/>
                <w:szCs w:val="21"/>
                <w:color w:val="auto"/>
              </w:rPr>
            </w:pP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(784)</w:t>
            </w:r>
          </w:p>
        </w:tc>
        <w:tc>
          <w:tcPr>
            <w:tcW w:w="100" w:type="dxa"/>
            <w:vAlign w:val="bottom"/>
            <w:tcBorders>
              <w:bottom w:val="single" w:sz="8" w:color="CCEEFF"/>
            </w:tcBorders>
          </w:tcPr>
          <w:p>
            <w:pPr>
              <w:spacing w:after="0"/>
              <w:rPr>
                <w:sz w:val="21"/>
                <w:szCs w:val="21"/>
                <w:color w:val="auto"/>
              </w:rPr>
            </w:pPr>
          </w:p>
        </w:tc>
        <w:tc>
          <w:tcPr>
            <w:tcW w:w="180" w:type="dxa"/>
            <w:vAlign w:val="bottom"/>
            <w:tcBorders>
              <w:top w:val="single" w:sz="8" w:color="auto"/>
              <w:bottom w:val="single" w:sz="8" w:color="auto"/>
            </w:tcBorders>
          </w:tcPr>
          <w:p>
            <w:pPr>
              <w:spacing w:after="0"/>
              <w:rPr>
                <w:sz w:val="21"/>
                <w:szCs w:val="21"/>
                <w:color w:val="auto"/>
              </w:rPr>
            </w:pPr>
          </w:p>
        </w:tc>
        <w:tc>
          <w:tcPr>
            <w:tcW w:w="13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12,936</w:t>
            </w:r>
          </w:p>
        </w:tc>
      </w:tr>
      <w:tr>
        <w:trPr>
          <w:trHeight w:val="257"/>
        </w:trPr>
        <w:tc>
          <w:tcPr>
            <w:tcW w:w="3540" w:type="dxa"/>
            <w:vAlign w:val="bottom"/>
            <w:shd w:val="clear" w:color="auto" w:fill="CCEEFF"/>
          </w:tcPr>
          <w:p>
            <w:pPr>
              <w:ind w:left="40"/>
              <w:spacing w:after="0"/>
              <w:rPr>
                <w:sz w:val="20"/>
                <w:szCs w:val="20"/>
                <w:color w:val="auto"/>
              </w:rPr>
            </w:pPr>
            <w:r>
              <w:rPr>
                <w:rFonts w:ascii="Arial" w:cs="Arial" w:eastAsia="Arial" w:hAnsi="Arial"/>
                <w:sz w:val="16"/>
                <w:szCs w:val="16"/>
                <w:color w:val="auto"/>
              </w:rPr>
              <w:t>Operating income</w:t>
            </w:r>
          </w:p>
        </w:tc>
        <w:tc>
          <w:tcPr>
            <w:tcW w:w="620" w:type="dxa"/>
            <w:vAlign w:val="bottom"/>
            <w:shd w:val="clear" w:color="auto" w:fill="CCEEFF"/>
          </w:tcPr>
          <w:p>
            <w:pPr>
              <w:spacing w:after="0"/>
              <w:rPr>
                <w:sz w:val="22"/>
                <w:szCs w:val="22"/>
                <w:color w:val="auto"/>
              </w:rPr>
            </w:pPr>
          </w:p>
        </w:tc>
        <w:tc>
          <w:tcPr>
            <w:tcW w:w="9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7</w:t>
            </w:r>
          </w:p>
        </w:tc>
        <w:tc>
          <w:tcPr>
            <w:tcW w:w="120" w:type="dxa"/>
            <w:vAlign w:val="bottom"/>
            <w:shd w:val="clear" w:color="auto" w:fill="CCEEFF"/>
          </w:tcPr>
          <w:p>
            <w:pPr>
              <w:spacing w:after="0"/>
              <w:rPr>
                <w:sz w:val="22"/>
                <w:szCs w:val="22"/>
                <w:color w:val="auto"/>
              </w:rPr>
            </w:pPr>
          </w:p>
        </w:tc>
        <w:tc>
          <w:tcPr>
            <w:tcW w:w="440" w:type="dxa"/>
            <w:vAlign w:val="bottom"/>
            <w:shd w:val="clear" w:color="auto" w:fill="CCEEFF"/>
          </w:tcPr>
          <w:p>
            <w:pPr>
              <w:spacing w:after="0"/>
              <w:rPr>
                <w:sz w:val="22"/>
                <w:szCs w:val="22"/>
                <w:color w:val="auto"/>
              </w:rPr>
            </w:pPr>
          </w:p>
        </w:tc>
        <w:tc>
          <w:tcPr>
            <w:tcW w:w="10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7</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2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298</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38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22"/>
                <w:szCs w:val="22"/>
                <w:color w:val="auto"/>
              </w:rPr>
            </w:pPr>
          </w:p>
        </w:tc>
        <w:tc>
          <w:tcPr>
            <w:tcW w:w="13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312</w:t>
            </w:r>
          </w:p>
        </w:tc>
      </w:tr>
      <w:tr>
        <w:trPr>
          <w:trHeight w:val="264"/>
        </w:trPr>
        <w:tc>
          <w:tcPr>
            <w:tcW w:w="354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Interest expense</w:t>
            </w:r>
          </w:p>
        </w:tc>
        <w:tc>
          <w:tcPr>
            <w:tcW w:w="62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76</w:t>
            </w:r>
          </w:p>
        </w:tc>
        <w:tc>
          <w:tcPr>
            <w:tcW w:w="120" w:type="dxa"/>
            <w:vAlign w:val="bottom"/>
            <w:tcBorders>
              <w:bottom w:val="single" w:sz="8" w:color="CCEEFF"/>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76</w:t>
            </w:r>
          </w:p>
        </w:tc>
      </w:tr>
      <w:tr>
        <w:trPr>
          <w:trHeight w:val="257"/>
        </w:trPr>
        <w:tc>
          <w:tcPr>
            <w:tcW w:w="3540" w:type="dxa"/>
            <w:vAlign w:val="bottom"/>
            <w:shd w:val="clear" w:color="auto" w:fill="CCEEFF"/>
          </w:tcPr>
          <w:p>
            <w:pPr>
              <w:ind w:left="40"/>
              <w:spacing w:after="0"/>
              <w:rPr>
                <w:sz w:val="20"/>
                <w:szCs w:val="20"/>
                <w:color w:val="auto"/>
              </w:rPr>
            </w:pPr>
            <w:r>
              <w:rPr>
                <w:rFonts w:ascii="Arial" w:cs="Arial" w:eastAsia="Arial" w:hAnsi="Arial"/>
                <w:sz w:val="16"/>
                <w:szCs w:val="16"/>
                <w:color w:val="auto"/>
              </w:rPr>
              <w:t>(Loss) income before income taxes</w:t>
            </w:r>
          </w:p>
        </w:tc>
        <w:tc>
          <w:tcPr>
            <w:tcW w:w="620" w:type="dxa"/>
            <w:vAlign w:val="bottom"/>
            <w:shd w:val="clear" w:color="auto" w:fill="CCEEFF"/>
          </w:tcPr>
          <w:p>
            <w:pPr>
              <w:spacing w:after="0"/>
              <w:rPr>
                <w:sz w:val="22"/>
                <w:szCs w:val="22"/>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(69)</w:t>
            </w:r>
          </w:p>
        </w:tc>
        <w:tc>
          <w:tcPr>
            <w:tcW w:w="120" w:type="dxa"/>
            <w:vAlign w:val="bottom"/>
            <w:shd w:val="clear" w:color="auto" w:fill="CCEEFF"/>
          </w:tcPr>
          <w:p>
            <w:pPr>
              <w:spacing w:after="0"/>
              <w:rPr>
                <w:sz w:val="22"/>
                <w:szCs w:val="22"/>
                <w:color w:val="auto"/>
              </w:rPr>
            </w:pPr>
          </w:p>
        </w:tc>
        <w:tc>
          <w:tcPr>
            <w:tcW w:w="440" w:type="dxa"/>
            <w:vAlign w:val="bottom"/>
            <w:shd w:val="clear" w:color="auto" w:fill="CCEEFF"/>
          </w:tcPr>
          <w:p>
            <w:pPr>
              <w:spacing w:after="0"/>
              <w:rPr>
                <w:sz w:val="22"/>
                <w:szCs w:val="22"/>
                <w:color w:val="auto"/>
              </w:rPr>
            </w:pPr>
          </w:p>
        </w:tc>
        <w:tc>
          <w:tcPr>
            <w:tcW w:w="10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7</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2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298</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38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22"/>
                <w:szCs w:val="22"/>
                <w:color w:val="auto"/>
              </w:rPr>
            </w:pPr>
          </w:p>
        </w:tc>
        <w:tc>
          <w:tcPr>
            <w:tcW w:w="13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236</w:t>
            </w:r>
          </w:p>
        </w:tc>
      </w:tr>
      <w:tr>
        <w:trPr>
          <w:trHeight w:val="264"/>
        </w:trPr>
        <w:tc>
          <w:tcPr>
            <w:tcW w:w="3540" w:type="dxa"/>
            <w:vAlign w:val="bottom"/>
          </w:tcPr>
          <w:p>
            <w:pPr>
              <w:ind w:left="40"/>
              <w:spacing w:after="0"/>
              <w:rPr>
                <w:sz w:val="20"/>
                <w:szCs w:val="20"/>
                <w:color w:val="auto"/>
              </w:rPr>
            </w:pPr>
            <w:r>
              <w:rPr>
                <w:rFonts w:ascii="Arial" w:cs="Arial" w:eastAsia="Arial" w:hAnsi="Arial"/>
                <w:sz w:val="16"/>
                <w:szCs w:val="16"/>
                <w:color w:val="auto"/>
              </w:rPr>
              <w:t>Income tax (benefit) expense</w:t>
            </w:r>
          </w:p>
        </w:tc>
        <w:tc>
          <w:tcPr>
            <w:tcW w:w="62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(24)</w:t>
            </w:r>
          </w:p>
        </w:tc>
        <w:tc>
          <w:tcPr>
            <w:tcW w:w="1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80" w:type="dxa"/>
            <w:vAlign w:val="bottom"/>
          </w:tcPr>
          <w:p>
            <w:pPr>
              <w:jc w:val="right"/>
              <w:ind w:right="19"/>
              <w:spacing w:after="0"/>
              <w:rPr>
                <w:sz w:val="20"/>
                <w:szCs w:val="20"/>
                <w:color w:val="auto"/>
              </w:rPr>
            </w:pPr>
            <w:r>
              <w:rPr>
                <w:rFonts w:ascii="Arial" w:cs="Arial" w:eastAsia="Arial" w:hAnsi="Arial"/>
                <w:sz w:val="16"/>
                <w:szCs w:val="16"/>
                <w:color w:val="auto"/>
              </w:rPr>
              <w:t>162</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3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2"/>
                <w:szCs w:val="22"/>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137</w:t>
            </w:r>
          </w:p>
        </w:tc>
      </w:tr>
      <w:tr>
        <w:trPr>
          <w:trHeight w:val="184"/>
        </w:trPr>
        <w:tc>
          <w:tcPr>
            <w:tcW w:w="354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(loss) income before equity in earnings of</w:t>
            </w:r>
          </w:p>
        </w:tc>
        <w:tc>
          <w:tcPr>
            <w:tcW w:w="620" w:type="dxa"/>
            <w:vAlign w:val="bottom"/>
            <w:tcBorders>
              <w:top w:val="single" w:sz="8" w:color="auto"/>
            </w:tcBorders>
            <w:shd w:val="clear" w:color="auto" w:fill="CCEEFF"/>
          </w:tcPr>
          <w:p>
            <w:pPr>
              <w:spacing w:after="0"/>
              <w:rPr>
                <w:sz w:val="16"/>
                <w:szCs w:val="16"/>
                <w:color w:val="auto"/>
              </w:rPr>
            </w:pPr>
          </w:p>
        </w:tc>
        <w:tc>
          <w:tcPr>
            <w:tcW w:w="90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440" w:type="dxa"/>
            <w:vAlign w:val="bottom"/>
            <w:tcBorders>
              <w:top w:val="single" w:sz="8" w:color="auto"/>
            </w:tcBorders>
            <w:shd w:val="clear" w:color="auto" w:fill="CCEEFF"/>
          </w:tcPr>
          <w:p>
            <w:pPr>
              <w:spacing w:after="0"/>
              <w:rPr>
                <w:sz w:val="16"/>
                <w:szCs w:val="16"/>
                <w:color w:val="auto"/>
              </w:rPr>
            </w:pPr>
          </w:p>
        </w:tc>
        <w:tc>
          <w:tcPr>
            <w:tcW w:w="106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128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128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1300" w:type="dxa"/>
            <w:vAlign w:val="bottom"/>
            <w:tcBorders>
              <w:top w:val="single" w:sz="8" w:color="auto"/>
            </w:tcBorders>
            <w:shd w:val="clear" w:color="auto" w:fill="CCEEFF"/>
          </w:tcPr>
          <w:p>
            <w:pPr>
              <w:spacing w:after="0"/>
              <w:rPr>
                <w:sz w:val="16"/>
                <w:szCs w:val="16"/>
                <w:color w:val="auto"/>
              </w:rPr>
            </w:pPr>
          </w:p>
        </w:tc>
      </w:tr>
      <w:tr>
        <w:trPr>
          <w:trHeight w:val="234"/>
        </w:trPr>
        <w:tc>
          <w:tcPr>
            <w:tcW w:w="3540" w:type="dxa"/>
            <w:vAlign w:val="bottom"/>
            <w:shd w:val="clear" w:color="auto" w:fill="CCEEFF"/>
          </w:tcPr>
          <w:p>
            <w:pPr>
              <w:ind w:left="200"/>
              <w:spacing w:after="0"/>
              <w:rPr>
                <w:sz w:val="20"/>
                <w:szCs w:val="20"/>
                <w:color w:val="auto"/>
              </w:rPr>
            </w:pPr>
            <w:r>
              <w:rPr>
                <w:rFonts w:ascii="Arial" w:cs="Arial" w:eastAsia="Arial" w:hAnsi="Arial"/>
                <w:sz w:val="16"/>
                <w:szCs w:val="16"/>
                <w:color w:val="auto"/>
              </w:rPr>
              <w:t>subsidiaries</w:t>
            </w:r>
          </w:p>
        </w:tc>
        <w:tc>
          <w:tcPr>
            <w:tcW w:w="62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w:t>
            </w:r>
          </w:p>
        </w:tc>
        <w:tc>
          <w:tcPr>
            <w:tcW w:w="12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10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8</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2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136</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38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20"/>
                <w:szCs w:val="20"/>
                <w:color w:val="auto"/>
              </w:rPr>
            </w:pPr>
          </w:p>
        </w:tc>
        <w:tc>
          <w:tcPr>
            <w:tcW w:w="13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99</w:t>
            </w:r>
          </w:p>
        </w:tc>
      </w:tr>
      <w:tr>
        <w:trPr>
          <w:trHeight w:val="264"/>
        </w:trPr>
        <w:tc>
          <w:tcPr>
            <w:tcW w:w="3540" w:type="dxa"/>
            <w:vAlign w:val="bottom"/>
          </w:tcPr>
          <w:p>
            <w:pPr>
              <w:ind w:left="40"/>
              <w:spacing w:after="0"/>
              <w:rPr>
                <w:sz w:val="20"/>
                <w:szCs w:val="20"/>
                <w:color w:val="auto"/>
              </w:rPr>
            </w:pPr>
            <w:r>
              <w:rPr>
                <w:rFonts w:ascii="Arial" w:cs="Arial" w:eastAsia="Arial" w:hAnsi="Arial"/>
                <w:sz w:val="16"/>
                <w:szCs w:val="16"/>
                <w:color w:val="auto"/>
              </w:rPr>
              <w:t>Equity in net earnings of subsidiaries</w:t>
            </w:r>
          </w:p>
        </w:tc>
        <w:tc>
          <w:tcPr>
            <w:tcW w:w="620" w:type="dxa"/>
            <w:vAlign w:val="bottom"/>
          </w:tcPr>
          <w:p>
            <w:pPr>
              <w:spacing w:after="0"/>
              <w:rPr>
                <w:sz w:val="22"/>
                <w:szCs w:val="22"/>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144</w:t>
            </w:r>
          </w:p>
        </w:tc>
        <w:tc>
          <w:tcPr>
            <w:tcW w:w="1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3</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3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2"/>
                <w:szCs w:val="22"/>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(147)</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237"/>
        </w:trPr>
        <w:tc>
          <w:tcPr>
            <w:tcW w:w="35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income</w:t>
            </w:r>
          </w:p>
        </w:tc>
        <w:tc>
          <w:tcPr>
            <w:tcW w:w="620" w:type="dxa"/>
            <w:vAlign w:val="bottom"/>
            <w:tcBorders>
              <w:top w:val="single" w:sz="8" w:color="auto"/>
              <w:bottom w:val="single" w:sz="8" w:color="auto"/>
            </w:tcBorders>
            <w:shd w:val="clear" w:color="auto" w:fill="CCEEFF"/>
          </w:tcPr>
          <w:p>
            <w:pPr>
              <w:jc w:val="right"/>
              <w:ind w:right="419"/>
              <w:spacing w:after="0"/>
              <w:rPr>
                <w:sz w:val="20"/>
                <w:szCs w:val="20"/>
                <w:color w:val="auto"/>
              </w:rPr>
            </w:pPr>
            <w:r>
              <w:rPr>
                <w:rFonts w:ascii="Arial" w:cs="Arial" w:eastAsia="Arial" w:hAnsi="Arial"/>
                <w:sz w:val="16"/>
                <w:szCs w:val="16"/>
                <w:color w:val="auto"/>
              </w:rPr>
              <w:t>$</w:t>
            </w:r>
          </w:p>
        </w:tc>
        <w:tc>
          <w:tcPr>
            <w:tcW w:w="900" w:type="dxa"/>
            <w:vAlign w:val="bottom"/>
            <w:tcBorders>
              <w:top w:val="single" w:sz="8" w:color="auto"/>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99</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440" w:type="dxa"/>
            <w:vAlign w:val="bottom"/>
            <w:tcBorders>
              <w:top w:val="single" w:sz="8" w:color="auto"/>
              <w:bottom w:val="single" w:sz="8" w:color="auto"/>
            </w:tcBorders>
            <w:shd w:val="clear" w:color="auto" w:fill="CCEEFF"/>
          </w:tcPr>
          <w:p>
            <w:pPr>
              <w:jc w:val="right"/>
              <w:ind w:right="239"/>
              <w:spacing w:after="0"/>
              <w:rPr>
                <w:sz w:val="20"/>
                <w:szCs w:val="20"/>
                <w:color w:val="auto"/>
              </w:rPr>
            </w:pPr>
            <w:r>
              <w:rPr>
                <w:rFonts w:ascii="Arial" w:cs="Arial" w:eastAsia="Arial" w:hAnsi="Arial"/>
                <w:sz w:val="16"/>
                <w:szCs w:val="16"/>
                <w:color w:val="auto"/>
              </w:rPr>
              <w:t>$</w:t>
            </w:r>
          </w:p>
        </w:tc>
        <w:tc>
          <w:tcPr>
            <w:tcW w:w="106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11</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8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136</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(147)</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0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99</w:t>
            </w:r>
          </w:p>
        </w:tc>
      </w:tr>
      <w:tr>
        <w:trPr>
          <w:trHeight w:val="20"/>
        </w:trPr>
        <w:tc>
          <w:tcPr>
            <w:tcW w:w="354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STATEMENTS OF COMPREHENSIVE INCOME</w:t>
      </w:r>
    </w:p>
    <w:p>
      <w:pPr>
        <w:spacing w:after="0" w:line="200" w:lineRule="exact"/>
        <w:rPr>
          <w:sz w:val="20"/>
          <w:szCs w:val="20"/>
          <w:color w:val="auto"/>
        </w:rPr>
      </w:pP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3540" w:type="dxa"/>
            <w:vAlign w:val="bottom"/>
          </w:tcPr>
          <w:p>
            <w:pPr>
              <w:spacing w:after="0"/>
              <w:rPr>
                <w:sz w:val="20"/>
                <w:szCs w:val="20"/>
                <w:color w:val="auto"/>
              </w:rPr>
            </w:pPr>
          </w:p>
        </w:tc>
        <w:tc>
          <w:tcPr>
            <w:tcW w:w="6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4320" w:type="dxa"/>
            <w:vAlign w:val="bottom"/>
            <w:tcBorders>
              <w:bottom w:val="single" w:sz="8" w:color="auto"/>
            </w:tcBorders>
            <w:gridSpan w:val="8"/>
          </w:tcPr>
          <w:p>
            <w:pPr>
              <w:jc w:val="center"/>
              <w:ind w:right="560"/>
              <w:spacing w:after="0"/>
              <w:rPr>
                <w:sz w:val="20"/>
                <w:szCs w:val="20"/>
                <w:color w:val="auto"/>
              </w:rPr>
            </w:pPr>
            <w:r>
              <w:rPr>
                <w:rFonts w:ascii="Arial" w:cs="Arial" w:eastAsia="Arial" w:hAnsi="Arial"/>
                <w:sz w:val="16"/>
                <w:szCs w:val="16"/>
                <w:b w:val="1"/>
                <w:bCs w:val="1"/>
                <w:color w:val="auto"/>
              </w:rPr>
              <w:t>Nine Months Ended September 30, 2016</w:t>
            </w:r>
          </w:p>
        </w:tc>
        <w:tc>
          <w:tcPr>
            <w:tcW w:w="18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spacing w:after="0"/>
              <w:rPr>
                <w:sz w:val="20"/>
                <w:szCs w:val="20"/>
                <w:color w:val="auto"/>
              </w:rPr>
            </w:pPr>
          </w:p>
        </w:tc>
      </w:tr>
      <w:tr>
        <w:trPr>
          <w:trHeight w:val="264"/>
        </w:trPr>
        <w:tc>
          <w:tcPr>
            <w:tcW w:w="3540" w:type="dxa"/>
            <w:vAlign w:val="bottom"/>
          </w:tcPr>
          <w:p>
            <w:pPr>
              <w:spacing w:after="0"/>
              <w:rPr>
                <w:sz w:val="22"/>
                <w:szCs w:val="22"/>
                <w:color w:val="auto"/>
              </w:rPr>
            </w:pPr>
          </w:p>
        </w:tc>
        <w:tc>
          <w:tcPr>
            <w:tcW w:w="1640" w:type="dxa"/>
            <w:vAlign w:val="bottom"/>
            <w:tcBorders>
              <w:bottom w:val="single" w:sz="8" w:color="auto"/>
            </w:tcBorders>
            <w:gridSpan w:val="3"/>
          </w:tcPr>
          <w:p>
            <w:pPr>
              <w:ind w:left="100"/>
              <w:spacing w:after="0"/>
              <w:rPr>
                <w:sz w:val="20"/>
                <w:szCs w:val="20"/>
                <w:color w:val="auto"/>
              </w:rPr>
            </w:pPr>
            <w:r>
              <w:rPr>
                <w:rFonts w:ascii="Arial" w:cs="Arial" w:eastAsia="Arial" w:hAnsi="Arial"/>
                <w:sz w:val="16"/>
                <w:szCs w:val="16"/>
                <w:b w:val="1"/>
                <w:bCs w:val="1"/>
                <w:color w:val="auto"/>
              </w:rPr>
              <w:t>Parent Guarantor</w:t>
            </w:r>
          </w:p>
        </w:tc>
        <w:tc>
          <w:tcPr>
            <w:tcW w:w="1600" w:type="dxa"/>
            <w:vAlign w:val="bottom"/>
            <w:tcBorders>
              <w:bottom w:val="single" w:sz="8" w:color="auto"/>
            </w:tcBorders>
            <w:gridSpan w:val="3"/>
          </w:tcPr>
          <w:p>
            <w:pPr>
              <w:ind w:left="80"/>
              <w:spacing w:after="0"/>
              <w:rPr>
                <w:sz w:val="20"/>
                <w:szCs w:val="20"/>
                <w:color w:val="auto"/>
              </w:rPr>
            </w:pPr>
            <w:r>
              <w:rPr>
                <w:rFonts w:ascii="Arial" w:cs="Arial" w:eastAsia="Arial" w:hAnsi="Arial"/>
                <w:sz w:val="16"/>
                <w:szCs w:val="16"/>
                <w:b w:val="1"/>
                <w:bCs w:val="1"/>
                <w:color w:val="auto"/>
              </w:rPr>
              <w:t>Other Guarantors</w:t>
            </w:r>
          </w:p>
        </w:tc>
        <w:tc>
          <w:tcPr>
            <w:tcW w:w="1580" w:type="dxa"/>
            <w:vAlign w:val="bottom"/>
            <w:tcBorders>
              <w:bottom w:val="single" w:sz="8" w:color="auto"/>
            </w:tcBorders>
            <w:gridSpan w:val="3"/>
          </w:tcPr>
          <w:p>
            <w:pPr>
              <w:ind w:left="120"/>
              <w:spacing w:after="0"/>
              <w:rPr>
                <w:sz w:val="20"/>
                <w:szCs w:val="20"/>
                <w:color w:val="auto"/>
              </w:rPr>
            </w:pPr>
            <w:r>
              <w:rPr>
                <w:rFonts w:ascii="Arial" w:cs="Arial" w:eastAsia="Arial" w:hAnsi="Arial"/>
                <w:sz w:val="16"/>
                <w:szCs w:val="16"/>
                <w:b w:val="1"/>
                <w:bCs w:val="1"/>
                <w:color w:val="auto"/>
              </w:rPr>
              <w:t>Non-Guarantors</w:t>
            </w:r>
          </w:p>
        </w:tc>
        <w:tc>
          <w:tcPr>
            <w:tcW w:w="20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gridSpan w:val="2"/>
          </w:tcPr>
          <w:p>
            <w:pPr>
              <w:ind w:left="60"/>
              <w:spacing w:after="0"/>
              <w:rPr>
                <w:sz w:val="20"/>
                <w:szCs w:val="20"/>
                <w:color w:val="auto"/>
              </w:rPr>
            </w:pPr>
            <w:r>
              <w:rPr>
                <w:rFonts w:ascii="Arial" w:cs="Arial" w:eastAsia="Arial" w:hAnsi="Arial"/>
                <w:sz w:val="16"/>
                <w:szCs w:val="16"/>
                <w:b w:val="1"/>
                <w:bCs w:val="1"/>
                <w:color w:val="auto"/>
              </w:rPr>
              <w:t>Eliminations</w:t>
            </w:r>
          </w:p>
        </w:tc>
        <w:tc>
          <w:tcPr>
            <w:tcW w:w="18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b w:val="1"/>
                <w:bCs w:val="1"/>
                <w:color w:val="auto"/>
              </w:rPr>
              <w:t>Consolidated</w:t>
            </w:r>
          </w:p>
        </w:tc>
      </w:tr>
      <w:tr>
        <w:trPr>
          <w:trHeight w:val="250"/>
        </w:trPr>
        <w:tc>
          <w:tcPr>
            <w:tcW w:w="35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8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rPr>
              <w:t>(In millions)</w:t>
            </w:r>
          </w:p>
        </w:tc>
        <w:tc>
          <w:tcPr>
            <w:tcW w:w="2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spacing w:after="0"/>
              <w:rPr>
                <w:sz w:val="21"/>
                <w:szCs w:val="21"/>
                <w:color w:val="auto"/>
              </w:rPr>
            </w:pPr>
          </w:p>
        </w:tc>
      </w:tr>
      <w:tr>
        <w:trPr>
          <w:trHeight w:val="274"/>
        </w:trPr>
        <w:tc>
          <w:tcPr>
            <w:tcW w:w="3540" w:type="dxa"/>
            <w:vAlign w:val="bottom"/>
            <w:shd w:val="clear" w:color="auto" w:fill="CCEEFF"/>
          </w:tcPr>
          <w:p>
            <w:pPr>
              <w:ind w:left="40"/>
              <w:spacing w:after="0"/>
              <w:rPr>
                <w:sz w:val="20"/>
                <w:szCs w:val="20"/>
                <w:color w:val="auto"/>
              </w:rPr>
            </w:pPr>
            <w:r>
              <w:rPr>
                <w:rFonts w:ascii="Arial" w:cs="Arial" w:eastAsia="Arial" w:hAnsi="Arial"/>
                <w:sz w:val="16"/>
                <w:szCs w:val="16"/>
                <w:color w:val="auto"/>
              </w:rPr>
              <w:t>Net income</w:t>
            </w:r>
          </w:p>
        </w:tc>
        <w:tc>
          <w:tcPr>
            <w:tcW w:w="620" w:type="dxa"/>
            <w:vAlign w:val="bottom"/>
            <w:shd w:val="clear" w:color="auto" w:fill="CCEEFF"/>
          </w:tcPr>
          <w:p>
            <w:pPr>
              <w:jc w:val="right"/>
              <w:ind w:right="419"/>
              <w:spacing w:after="0"/>
              <w:rPr>
                <w:sz w:val="20"/>
                <w:szCs w:val="20"/>
                <w:color w:val="auto"/>
              </w:rPr>
            </w:pPr>
            <w:r>
              <w:rPr>
                <w:rFonts w:ascii="Arial" w:cs="Arial" w:eastAsia="Arial" w:hAnsi="Arial"/>
                <w:sz w:val="16"/>
                <w:szCs w:val="16"/>
                <w:color w:val="auto"/>
              </w:rPr>
              <w:t>$</w:t>
            </w:r>
          </w:p>
        </w:tc>
        <w:tc>
          <w:tcPr>
            <w:tcW w:w="9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99</w:t>
            </w:r>
          </w:p>
        </w:tc>
        <w:tc>
          <w:tcPr>
            <w:tcW w:w="120" w:type="dxa"/>
            <w:vAlign w:val="bottom"/>
            <w:shd w:val="clear" w:color="auto" w:fill="CCEEFF"/>
          </w:tcPr>
          <w:p>
            <w:pPr>
              <w:spacing w:after="0"/>
              <w:rPr>
                <w:sz w:val="23"/>
                <w:szCs w:val="23"/>
                <w:color w:val="auto"/>
              </w:rPr>
            </w:pPr>
          </w:p>
        </w:tc>
        <w:tc>
          <w:tcPr>
            <w:tcW w:w="44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w:t>
            </w:r>
          </w:p>
        </w:tc>
        <w:tc>
          <w:tcPr>
            <w:tcW w:w="10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11</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136</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(147)</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99</w:t>
            </w:r>
          </w:p>
        </w:tc>
      </w:tr>
      <w:tr>
        <w:trPr>
          <w:trHeight w:val="264"/>
        </w:trPr>
        <w:tc>
          <w:tcPr>
            <w:tcW w:w="3540" w:type="dxa"/>
            <w:vAlign w:val="bottom"/>
          </w:tcPr>
          <w:p>
            <w:pPr>
              <w:ind w:left="40"/>
              <w:spacing w:after="0"/>
              <w:rPr>
                <w:sz w:val="20"/>
                <w:szCs w:val="20"/>
                <w:color w:val="auto"/>
              </w:rPr>
            </w:pPr>
            <w:r>
              <w:rPr>
                <w:rFonts w:ascii="Arial" w:cs="Arial" w:eastAsia="Arial" w:hAnsi="Arial"/>
                <w:sz w:val="16"/>
                <w:szCs w:val="16"/>
                <w:color w:val="auto"/>
              </w:rPr>
              <w:t>Other comprehensive income, net of tax</w:t>
            </w:r>
          </w:p>
        </w:tc>
        <w:tc>
          <w:tcPr>
            <w:tcW w:w="620" w:type="dxa"/>
            <w:vAlign w:val="bottom"/>
          </w:tcPr>
          <w:p>
            <w:pPr>
              <w:spacing w:after="0"/>
              <w:rPr>
                <w:sz w:val="22"/>
                <w:szCs w:val="22"/>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7</w:t>
            </w:r>
          </w:p>
        </w:tc>
        <w:tc>
          <w:tcPr>
            <w:tcW w:w="1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2"/>
                <w:szCs w:val="22"/>
                <w:color w:val="auto"/>
              </w:rPr>
            </w:pPr>
          </w:p>
        </w:tc>
        <w:tc>
          <w:tcPr>
            <w:tcW w:w="1280" w:type="dxa"/>
            <w:vAlign w:val="bottom"/>
          </w:tcPr>
          <w:p>
            <w:pPr>
              <w:jc w:val="right"/>
              <w:ind w:right="19"/>
              <w:spacing w:after="0"/>
              <w:rPr>
                <w:sz w:val="20"/>
                <w:szCs w:val="20"/>
                <w:color w:val="auto"/>
              </w:rPr>
            </w:pPr>
            <w:r>
              <w:rPr>
                <w:rFonts w:ascii="Arial" w:cs="Arial" w:eastAsia="Arial" w:hAnsi="Arial"/>
                <w:sz w:val="16"/>
                <w:szCs w:val="16"/>
                <w:color w:val="auto"/>
              </w:rPr>
              <w:t>6</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(6)</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7</w:t>
            </w:r>
          </w:p>
        </w:tc>
      </w:tr>
      <w:tr>
        <w:trPr>
          <w:trHeight w:val="242"/>
        </w:trPr>
        <w:tc>
          <w:tcPr>
            <w:tcW w:w="35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Comprehensive income</w:t>
            </w:r>
          </w:p>
        </w:tc>
        <w:tc>
          <w:tcPr>
            <w:tcW w:w="620" w:type="dxa"/>
            <w:vAlign w:val="bottom"/>
            <w:tcBorders>
              <w:top w:val="single" w:sz="8" w:color="auto"/>
              <w:bottom w:val="single" w:sz="8" w:color="auto"/>
            </w:tcBorders>
            <w:shd w:val="clear" w:color="auto" w:fill="CCEEFF"/>
          </w:tcPr>
          <w:p>
            <w:pPr>
              <w:jc w:val="right"/>
              <w:ind w:right="419"/>
              <w:spacing w:after="0"/>
              <w:rPr>
                <w:sz w:val="20"/>
                <w:szCs w:val="20"/>
                <w:color w:val="auto"/>
              </w:rPr>
            </w:pPr>
            <w:r>
              <w:rPr>
                <w:rFonts w:ascii="Arial" w:cs="Arial" w:eastAsia="Arial" w:hAnsi="Arial"/>
                <w:sz w:val="16"/>
                <w:szCs w:val="16"/>
                <w:color w:val="auto"/>
              </w:rPr>
              <w:t>$</w:t>
            </w:r>
          </w:p>
        </w:tc>
        <w:tc>
          <w:tcPr>
            <w:tcW w:w="900" w:type="dxa"/>
            <w:vAlign w:val="bottom"/>
            <w:tcBorders>
              <w:top w:val="single" w:sz="8" w:color="auto"/>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106</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440" w:type="dxa"/>
            <w:vAlign w:val="bottom"/>
            <w:tcBorders>
              <w:top w:val="single" w:sz="8" w:color="auto"/>
              <w:bottom w:val="single" w:sz="8" w:color="auto"/>
            </w:tcBorders>
            <w:shd w:val="clear" w:color="auto" w:fill="CCEEFF"/>
          </w:tcPr>
          <w:p>
            <w:pPr>
              <w:jc w:val="right"/>
              <w:ind w:right="239"/>
              <w:spacing w:after="0"/>
              <w:rPr>
                <w:sz w:val="20"/>
                <w:szCs w:val="20"/>
                <w:color w:val="auto"/>
              </w:rPr>
            </w:pPr>
            <w:r>
              <w:rPr>
                <w:rFonts w:ascii="Arial" w:cs="Arial" w:eastAsia="Arial" w:hAnsi="Arial"/>
                <w:sz w:val="16"/>
                <w:szCs w:val="16"/>
                <w:color w:val="auto"/>
              </w:rPr>
              <w:t>$</w:t>
            </w:r>
          </w:p>
        </w:tc>
        <w:tc>
          <w:tcPr>
            <w:tcW w:w="106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8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142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0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106</w:t>
            </w:r>
          </w:p>
        </w:tc>
      </w:tr>
      <w:tr>
        <w:trPr>
          <w:trHeight w:val="20"/>
        </w:trPr>
        <w:tc>
          <w:tcPr>
            <w:tcW w:w="354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4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Molina Healthcare, Inc. 2017 Form 10-Q | 34</w:t>
      </w:r>
    </w:p>
    <w:p>
      <w:pPr>
        <w:sectPr>
          <w:pgSz w:w="11900" w:h="16838" w:orient="portrait"/>
          <w:cols w:equalWidth="0" w:num="1">
            <w:col w:w="11420"/>
          </w:cols>
          <w:pgMar w:left="240" w:top="115" w:right="239" w:bottom="1440" w:gutter="0" w:footer="0" w:header="0"/>
        </w:sectPr>
      </w:pPr>
    </w:p>
    <w:bookmarkStart w:id="34" w:name="page35"/>
    <w:bookmarkEnd w:id="3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BALANCE SHEETS</w:t>
      </w:r>
    </w:p>
    <w:p>
      <w:pPr>
        <w:spacing w:after="0" w:line="200" w:lineRule="exact"/>
        <w:rPr>
          <w:sz w:val="20"/>
          <w:szCs w:val="20"/>
          <w:color w:val="auto"/>
        </w:rPr>
      </w:pP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354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spacing w:after="0"/>
              <w:rPr>
                <w:sz w:val="20"/>
                <w:szCs w:val="20"/>
                <w:color w:val="auto"/>
              </w:rPr>
            </w:pPr>
          </w:p>
        </w:tc>
        <w:tc>
          <w:tcPr>
            <w:tcW w:w="1680" w:type="dxa"/>
            <w:vAlign w:val="bottom"/>
            <w:tcBorders>
              <w:bottom w:val="single" w:sz="8" w:color="auto"/>
            </w:tcBorders>
            <w:gridSpan w:val="4"/>
          </w:tcPr>
          <w:p>
            <w:pPr>
              <w:jc w:val="center"/>
              <w:ind w:right="40"/>
              <w:spacing w:after="0"/>
              <w:rPr>
                <w:sz w:val="20"/>
                <w:szCs w:val="20"/>
                <w:color w:val="auto"/>
              </w:rPr>
            </w:pPr>
            <w:r>
              <w:rPr>
                <w:rFonts w:ascii="Arial" w:cs="Arial" w:eastAsia="Arial" w:hAnsi="Arial"/>
                <w:sz w:val="16"/>
                <w:szCs w:val="16"/>
                <w:b w:val="1"/>
                <w:bCs w:val="1"/>
                <w:color w:val="auto"/>
              </w:rPr>
              <w:t>September 30, 2017</w:t>
            </w:r>
          </w:p>
        </w:tc>
        <w:tc>
          <w:tcPr>
            <w:tcW w:w="20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spacing w:after="0"/>
              <w:rPr>
                <w:sz w:val="20"/>
                <w:szCs w:val="20"/>
                <w:color w:val="auto"/>
              </w:rPr>
            </w:pPr>
          </w:p>
        </w:tc>
      </w:tr>
      <w:tr>
        <w:trPr>
          <w:trHeight w:val="264"/>
        </w:trPr>
        <w:tc>
          <w:tcPr>
            <w:tcW w:w="3540" w:type="dxa"/>
            <w:vAlign w:val="bottom"/>
          </w:tcPr>
          <w:p>
            <w:pPr>
              <w:spacing w:after="0"/>
              <w:rPr>
                <w:sz w:val="22"/>
                <w:szCs w:val="22"/>
                <w:color w:val="auto"/>
              </w:rPr>
            </w:pPr>
          </w:p>
        </w:tc>
        <w:tc>
          <w:tcPr>
            <w:tcW w:w="1640" w:type="dxa"/>
            <w:vAlign w:val="bottom"/>
            <w:tcBorders>
              <w:bottom w:val="single" w:sz="8" w:color="auto"/>
            </w:tcBorders>
            <w:gridSpan w:val="3"/>
          </w:tcPr>
          <w:p>
            <w:pPr>
              <w:ind w:left="100"/>
              <w:spacing w:after="0"/>
              <w:rPr>
                <w:sz w:val="20"/>
                <w:szCs w:val="20"/>
                <w:color w:val="auto"/>
              </w:rPr>
            </w:pPr>
            <w:r>
              <w:rPr>
                <w:rFonts w:ascii="Arial" w:cs="Arial" w:eastAsia="Arial" w:hAnsi="Arial"/>
                <w:sz w:val="16"/>
                <w:szCs w:val="16"/>
                <w:b w:val="1"/>
                <w:bCs w:val="1"/>
                <w:color w:val="auto"/>
              </w:rPr>
              <w:t>Parent Guarantor</w:t>
            </w:r>
          </w:p>
        </w:tc>
        <w:tc>
          <w:tcPr>
            <w:tcW w:w="150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b w:val="1"/>
                <w:bCs w:val="1"/>
                <w:color w:val="auto"/>
              </w:rPr>
              <w:t>Other Guarantors</w:t>
            </w:r>
          </w:p>
        </w:tc>
        <w:tc>
          <w:tcPr>
            <w:tcW w:w="100" w:type="dxa"/>
            <w:vAlign w:val="bottom"/>
            <w:tcBorders>
              <w:bottom w:val="single" w:sz="8" w:color="auto"/>
            </w:tcBorders>
          </w:tcPr>
          <w:p>
            <w:pPr>
              <w:spacing w:after="0"/>
              <w:rPr>
                <w:sz w:val="22"/>
                <w:szCs w:val="22"/>
                <w:color w:val="auto"/>
              </w:rPr>
            </w:pPr>
          </w:p>
        </w:tc>
        <w:tc>
          <w:tcPr>
            <w:tcW w:w="1580" w:type="dxa"/>
            <w:vAlign w:val="bottom"/>
            <w:tcBorders>
              <w:bottom w:val="single" w:sz="8" w:color="auto"/>
            </w:tcBorders>
            <w:gridSpan w:val="3"/>
          </w:tcPr>
          <w:p>
            <w:pPr>
              <w:ind w:left="120"/>
              <w:spacing w:after="0"/>
              <w:rPr>
                <w:sz w:val="20"/>
                <w:szCs w:val="20"/>
                <w:color w:val="auto"/>
              </w:rPr>
            </w:pPr>
            <w:r>
              <w:rPr>
                <w:rFonts w:ascii="Arial" w:cs="Arial" w:eastAsia="Arial" w:hAnsi="Arial"/>
                <w:sz w:val="16"/>
                <w:szCs w:val="16"/>
                <w:b w:val="1"/>
                <w:bCs w:val="1"/>
                <w:color w:val="auto"/>
              </w:rPr>
              <w:t>Non-Guarantors</w:t>
            </w:r>
          </w:p>
        </w:tc>
        <w:tc>
          <w:tcPr>
            <w:tcW w:w="20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gridSpan w:val="2"/>
          </w:tcPr>
          <w:p>
            <w:pPr>
              <w:ind w:left="60"/>
              <w:spacing w:after="0"/>
              <w:rPr>
                <w:sz w:val="20"/>
                <w:szCs w:val="20"/>
                <w:color w:val="auto"/>
              </w:rPr>
            </w:pPr>
            <w:r>
              <w:rPr>
                <w:rFonts w:ascii="Arial" w:cs="Arial" w:eastAsia="Arial" w:hAnsi="Arial"/>
                <w:sz w:val="16"/>
                <w:szCs w:val="16"/>
                <w:b w:val="1"/>
                <w:bCs w:val="1"/>
                <w:color w:val="auto"/>
              </w:rPr>
              <w:t>Eliminations</w:t>
            </w:r>
          </w:p>
        </w:tc>
        <w:tc>
          <w:tcPr>
            <w:tcW w:w="18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b w:val="1"/>
                <w:bCs w:val="1"/>
                <w:color w:val="auto"/>
              </w:rPr>
              <w:t>Consolidated</w:t>
            </w:r>
          </w:p>
        </w:tc>
      </w:tr>
      <w:tr>
        <w:trPr>
          <w:trHeight w:val="233"/>
        </w:trPr>
        <w:tc>
          <w:tcPr>
            <w:tcW w:w="35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8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rPr>
              <w:t>(In millions)</w:t>
            </w:r>
          </w:p>
        </w:tc>
        <w:tc>
          <w:tcPr>
            <w:tcW w:w="2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tcPr>
          <w:p>
            <w:pPr>
              <w:spacing w:after="0"/>
              <w:rPr>
                <w:sz w:val="20"/>
                <w:szCs w:val="20"/>
                <w:color w:val="auto"/>
              </w:rPr>
            </w:pPr>
          </w:p>
        </w:tc>
      </w:tr>
      <w:tr>
        <w:trPr>
          <w:trHeight w:val="21"/>
        </w:trPr>
        <w:tc>
          <w:tcPr>
            <w:tcW w:w="35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r>
        <w:trPr>
          <w:trHeight w:val="243"/>
        </w:trPr>
        <w:tc>
          <w:tcPr>
            <w:tcW w:w="354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2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340" w:type="dxa"/>
            <w:vAlign w:val="bottom"/>
            <w:shd w:val="clear" w:color="auto" w:fill="CCEEFF"/>
          </w:tcPr>
          <w:p>
            <w:pPr>
              <w:jc w:val="right"/>
              <w:ind w:right="559"/>
              <w:spacing w:after="0"/>
              <w:rPr>
                <w:sz w:val="20"/>
                <w:szCs w:val="20"/>
                <w:color w:val="auto"/>
              </w:rPr>
            </w:pPr>
            <w:r>
              <w:rPr>
                <w:rFonts w:ascii="Arial" w:cs="Arial" w:eastAsia="Arial" w:hAnsi="Arial"/>
                <w:sz w:val="16"/>
                <w:szCs w:val="16"/>
                <w:b w:val="1"/>
                <w:bCs w:val="1"/>
                <w:color w:val="auto"/>
              </w:rPr>
              <w:t>ASSETS</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2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2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300" w:type="dxa"/>
            <w:vAlign w:val="bottom"/>
            <w:shd w:val="clear" w:color="auto" w:fill="CCEEFF"/>
          </w:tcPr>
          <w:p>
            <w:pPr>
              <w:spacing w:after="0"/>
              <w:rPr>
                <w:sz w:val="21"/>
                <w:szCs w:val="21"/>
                <w:color w:val="auto"/>
              </w:rPr>
            </w:pPr>
          </w:p>
        </w:tc>
      </w:tr>
      <w:tr>
        <w:trPr>
          <w:trHeight w:val="228"/>
        </w:trPr>
        <w:tc>
          <w:tcPr>
            <w:tcW w:w="3540" w:type="dxa"/>
            <w:vAlign w:val="bottom"/>
          </w:tcPr>
          <w:p>
            <w:pPr>
              <w:ind w:left="40"/>
              <w:spacing w:after="0"/>
              <w:rPr>
                <w:sz w:val="20"/>
                <w:szCs w:val="20"/>
                <w:color w:val="auto"/>
              </w:rPr>
            </w:pPr>
            <w:r>
              <w:rPr>
                <w:rFonts w:ascii="Arial" w:cs="Arial" w:eastAsia="Arial" w:hAnsi="Arial"/>
                <w:sz w:val="16"/>
                <w:szCs w:val="16"/>
                <w:color w:val="auto"/>
              </w:rPr>
              <w:t>Current assets:</w:t>
            </w:r>
          </w:p>
        </w:tc>
        <w:tc>
          <w:tcPr>
            <w:tcW w:w="3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spacing w:after="0"/>
              <w:rPr>
                <w:sz w:val="19"/>
                <w:szCs w:val="19"/>
                <w:color w:val="auto"/>
              </w:rPr>
            </w:pPr>
          </w:p>
        </w:tc>
      </w:tr>
      <w:tr>
        <w:trPr>
          <w:trHeight w:val="43"/>
        </w:trPr>
        <w:tc>
          <w:tcPr>
            <w:tcW w:w="3540" w:type="dxa"/>
            <w:vAlign w:val="bottom"/>
          </w:tcPr>
          <w:p>
            <w:pPr>
              <w:spacing w:after="0"/>
              <w:rPr>
                <w:sz w:val="3"/>
                <w:szCs w:val="3"/>
                <w:color w:val="auto"/>
              </w:rPr>
            </w:pPr>
          </w:p>
        </w:tc>
        <w:tc>
          <w:tcPr>
            <w:tcW w:w="300" w:type="dxa"/>
            <w:vAlign w:val="bottom"/>
          </w:tcPr>
          <w:p>
            <w:pPr>
              <w:spacing w:after="0"/>
              <w:rPr>
                <w:sz w:val="3"/>
                <w:szCs w:val="3"/>
                <w:color w:val="auto"/>
              </w:rPr>
            </w:pPr>
          </w:p>
        </w:tc>
        <w:tc>
          <w:tcPr>
            <w:tcW w:w="12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3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1300" w:type="dxa"/>
            <w:vAlign w:val="bottom"/>
          </w:tcPr>
          <w:p>
            <w:pPr>
              <w:spacing w:after="0"/>
              <w:rPr>
                <w:sz w:val="3"/>
                <w:szCs w:val="3"/>
                <w:color w:val="auto"/>
              </w:rPr>
            </w:pPr>
          </w:p>
        </w:tc>
      </w:tr>
      <w:tr>
        <w:trPr>
          <w:trHeight w:val="270"/>
        </w:trPr>
        <w:tc>
          <w:tcPr>
            <w:tcW w:w="3540" w:type="dxa"/>
            <w:vAlign w:val="bottom"/>
            <w:shd w:val="clear" w:color="auto" w:fill="CCEEFF"/>
          </w:tcPr>
          <w:p>
            <w:pPr>
              <w:ind w:left="180"/>
              <w:spacing w:after="0"/>
              <w:rPr>
                <w:sz w:val="20"/>
                <w:szCs w:val="20"/>
                <w:color w:val="auto"/>
              </w:rPr>
            </w:pPr>
            <w:r>
              <w:rPr>
                <w:rFonts w:ascii="Arial" w:cs="Arial" w:eastAsia="Arial" w:hAnsi="Arial"/>
                <w:sz w:val="16"/>
                <w:szCs w:val="16"/>
                <w:color w:val="auto"/>
              </w:rPr>
              <w:t>Cash and cash equivalents</w:t>
            </w:r>
          </w:p>
        </w:tc>
        <w:tc>
          <w:tcPr>
            <w:tcW w:w="3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356</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58</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3,520</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8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3,934</w:t>
            </w:r>
          </w:p>
        </w:tc>
      </w:tr>
      <w:tr>
        <w:trPr>
          <w:trHeight w:val="262"/>
        </w:trPr>
        <w:tc>
          <w:tcPr>
            <w:tcW w:w="3540" w:type="dxa"/>
            <w:vAlign w:val="bottom"/>
          </w:tcPr>
          <w:p>
            <w:pPr>
              <w:ind w:left="180"/>
              <w:spacing w:after="0"/>
              <w:rPr>
                <w:sz w:val="20"/>
                <w:szCs w:val="20"/>
                <w:color w:val="auto"/>
              </w:rPr>
            </w:pPr>
            <w:r>
              <w:rPr>
                <w:rFonts w:ascii="Arial" w:cs="Arial" w:eastAsia="Arial" w:hAnsi="Arial"/>
                <w:sz w:val="16"/>
                <w:szCs w:val="16"/>
                <w:color w:val="auto"/>
              </w:rPr>
              <w:t>Investments</w:t>
            </w:r>
          </w:p>
        </w:tc>
        <w:tc>
          <w:tcPr>
            <w:tcW w:w="300" w:type="dxa"/>
            <w:vAlign w:val="bottom"/>
          </w:tcPr>
          <w:p>
            <w:pPr>
              <w:spacing w:after="0"/>
              <w:rPr>
                <w:sz w:val="22"/>
                <w:szCs w:val="22"/>
                <w:color w:val="auto"/>
              </w:rPr>
            </w:pPr>
          </w:p>
        </w:tc>
        <w:tc>
          <w:tcPr>
            <w:tcW w:w="1220" w:type="dxa"/>
            <w:vAlign w:val="bottom"/>
          </w:tcPr>
          <w:p>
            <w:pPr>
              <w:jc w:val="right"/>
              <w:ind w:right="39"/>
              <w:spacing w:after="0"/>
              <w:rPr>
                <w:sz w:val="20"/>
                <w:szCs w:val="20"/>
                <w:color w:val="auto"/>
              </w:rPr>
            </w:pPr>
            <w:r>
              <w:rPr>
                <w:rFonts w:ascii="Arial" w:cs="Arial" w:eastAsia="Arial" w:hAnsi="Arial"/>
                <w:sz w:val="16"/>
                <w:szCs w:val="16"/>
                <w:color w:val="auto"/>
              </w:rPr>
              <w:t>35</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4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80" w:type="dxa"/>
            <w:vAlign w:val="bottom"/>
          </w:tcPr>
          <w:p>
            <w:pPr>
              <w:jc w:val="right"/>
              <w:ind w:right="19"/>
              <w:spacing w:after="0"/>
              <w:rPr>
                <w:sz w:val="20"/>
                <w:szCs w:val="20"/>
                <w:color w:val="auto"/>
              </w:rPr>
            </w:pPr>
            <w:r>
              <w:rPr>
                <w:rFonts w:ascii="Arial" w:cs="Arial" w:eastAsia="Arial" w:hAnsi="Arial"/>
                <w:sz w:val="16"/>
                <w:szCs w:val="16"/>
                <w:color w:val="auto"/>
              </w:rPr>
              <w:t>1,752</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3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2"/>
                <w:szCs w:val="22"/>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1,787</w:t>
            </w:r>
          </w:p>
        </w:tc>
      </w:tr>
      <w:tr>
        <w:trPr>
          <w:trHeight w:val="278"/>
        </w:trPr>
        <w:tc>
          <w:tcPr>
            <w:tcW w:w="3540" w:type="dxa"/>
            <w:vAlign w:val="bottom"/>
            <w:shd w:val="clear" w:color="auto" w:fill="CCEEFF"/>
          </w:tcPr>
          <w:p>
            <w:pPr>
              <w:ind w:left="180"/>
              <w:spacing w:after="0"/>
              <w:rPr>
                <w:sz w:val="20"/>
                <w:szCs w:val="20"/>
                <w:color w:val="auto"/>
              </w:rPr>
            </w:pPr>
            <w:r>
              <w:rPr>
                <w:rFonts w:ascii="Arial" w:cs="Arial" w:eastAsia="Arial" w:hAnsi="Arial"/>
                <w:sz w:val="16"/>
                <w:szCs w:val="16"/>
                <w:color w:val="auto"/>
              </w:rPr>
              <w:t>Restricted investments</w:t>
            </w:r>
          </w:p>
        </w:tc>
        <w:tc>
          <w:tcPr>
            <w:tcW w:w="30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326</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3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38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24"/>
                <w:szCs w:val="24"/>
                <w:color w:val="auto"/>
              </w:rPr>
            </w:pPr>
          </w:p>
        </w:tc>
        <w:tc>
          <w:tcPr>
            <w:tcW w:w="138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24"/>
                <w:szCs w:val="24"/>
                <w:color w:val="auto"/>
              </w:rPr>
            </w:pPr>
          </w:p>
        </w:tc>
        <w:tc>
          <w:tcPr>
            <w:tcW w:w="13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326</w:t>
            </w:r>
          </w:p>
        </w:tc>
      </w:tr>
      <w:tr>
        <w:trPr>
          <w:trHeight w:val="262"/>
        </w:trPr>
        <w:tc>
          <w:tcPr>
            <w:tcW w:w="3540" w:type="dxa"/>
            <w:vAlign w:val="bottom"/>
          </w:tcPr>
          <w:p>
            <w:pPr>
              <w:ind w:left="180"/>
              <w:spacing w:after="0"/>
              <w:rPr>
                <w:sz w:val="20"/>
                <w:szCs w:val="20"/>
                <w:color w:val="auto"/>
              </w:rPr>
            </w:pPr>
            <w:r>
              <w:rPr>
                <w:rFonts w:ascii="Arial" w:cs="Arial" w:eastAsia="Arial" w:hAnsi="Arial"/>
                <w:sz w:val="16"/>
                <w:szCs w:val="16"/>
                <w:color w:val="auto"/>
              </w:rPr>
              <w:t>Receivables</w:t>
            </w:r>
          </w:p>
        </w:tc>
        <w:tc>
          <w:tcPr>
            <w:tcW w:w="300" w:type="dxa"/>
            <w:vAlign w:val="bottom"/>
          </w:tcPr>
          <w:p>
            <w:pPr>
              <w:spacing w:after="0"/>
              <w:rPr>
                <w:sz w:val="22"/>
                <w:szCs w:val="22"/>
                <w:color w:val="auto"/>
              </w:rPr>
            </w:pPr>
          </w:p>
        </w:tc>
        <w:tc>
          <w:tcPr>
            <w:tcW w:w="1220" w:type="dxa"/>
            <w:vAlign w:val="bottom"/>
          </w:tcPr>
          <w:p>
            <w:pPr>
              <w:jc w:val="right"/>
              <w:ind w:right="39"/>
              <w:spacing w:after="0"/>
              <w:rPr>
                <w:sz w:val="20"/>
                <w:szCs w:val="20"/>
                <w:color w:val="auto"/>
              </w:rPr>
            </w:pPr>
            <w:r>
              <w:rPr>
                <w:rFonts w:ascii="Arial" w:cs="Arial" w:eastAsia="Arial" w:hAnsi="Arial"/>
                <w:sz w:val="16"/>
                <w:szCs w:val="16"/>
                <w:color w:val="auto"/>
              </w:rPr>
              <w:t>2</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40" w:type="dxa"/>
            <w:vAlign w:val="bottom"/>
          </w:tcPr>
          <w:p>
            <w:pPr>
              <w:jc w:val="right"/>
              <w:ind w:right="19"/>
              <w:spacing w:after="0"/>
              <w:rPr>
                <w:sz w:val="20"/>
                <w:szCs w:val="20"/>
                <w:color w:val="auto"/>
              </w:rPr>
            </w:pPr>
            <w:r>
              <w:rPr>
                <w:rFonts w:ascii="Arial" w:cs="Arial" w:eastAsia="Arial" w:hAnsi="Arial"/>
                <w:sz w:val="16"/>
                <w:szCs w:val="16"/>
                <w:color w:val="auto"/>
              </w:rPr>
              <w:t>25</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80" w:type="dxa"/>
            <w:vAlign w:val="bottom"/>
          </w:tcPr>
          <w:p>
            <w:pPr>
              <w:jc w:val="right"/>
              <w:ind w:right="19"/>
              <w:spacing w:after="0"/>
              <w:rPr>
                <w:sz w:val="20"/>
                <w:szCs w:val="20"/>
                <w:color w:val="auto"/>
              </w:rPr>
            </w:pPr>
            <w:r>
              <w:rPr>
                <w:rFonts w:ascii="Arial" w:cs="Arial" w:eastAsia="Arial" w:hAnsi="Arial"/>
                <w:sz w:val="16"/>
                <w:szCs w:val="16"/>
                <w:color w:val="auto"/>
              </w:rPr>
              <w:t>975</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3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2"/>
                <w:szCs w:val="22"/>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1,002</w:t>
            </w:r>
          </w:p>
        </w:tc>
      </w:tr>
      <w:tr>
        <w:trPr>
          <w:trHeight w:val="278"/>
        </w:trPr>
        <w:tc>
          <w:tcPr>
            <w:tcW w:w="3540" w:type="dxa"/>
            <w:vAlign w:val="bottom"/>
            <w:shd w:val="clear" w:color="auto" w:fill="CCEEFF"/>
          </w:tcPr>
          <w:p>
            <w:pPr>
              <w:ind w:left="180"/>
              <w:spacing w:after="0"/>
              <w:rPr>
                <w:sz w:val="20"/>
                <w:szCs w:val="20"/>
                <w:color w:val="auto"/>
              </w:rPr>
            </w:pPr>
            <w:r>
              <w:rPr>
                <w:rFonts w:ascii="Arial" w:cs="Arial" w:eastAsia="Arial" w:hAnsi="Arial"/>
                <w:sz w:val="16"/>
                <w:szCs w:val="16"/>
                <w:color w:val="auto"/>
              </w:rPr>
              <w:t>Income taxes refundable</w:t>
            </w:r>
          </w:p>
        </w:tc>
        <w:tc>
          <w:tcPr>
            <w:tcW w:w="30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3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2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58</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38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24"/>
                <w:szCs w:val="24"/>
                <w:color w:val="auto"/>
              </w:rPr>
            </w:pPr>
          </w:p>
        </w:tc>
        <w:tc>
          <w:tcPr>
            <w:tcW w:w="13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60</w:t>
            </w:r>
          </w:p>
        </w:tc>
      </w:tr>
      <w:tr>
        <w:trPr>
          <w:trHeight w:val="262"/>
        </w:trPr>
        <w:tc>
          <w:tcPr>
            <w:tcW w:w="3540" w:type="dxa"/>
            <w:vAlign w:val="bottom"/>
          </w:tcPr>
          <w:p>
            <w:pPr>
              <w:ind w:left="180"/>
              <w:spacing w:after="0"/>
              <w:rPr>
                <w:sz w:val="20"/>
                <w:szCs w:val="20"/>
                <w:color w:val="auto"/>
              </w:rPr>
            </w:pPr>
            <w:r>
              <w:rPr>
                <w:rFonts w:ascii="Arial" w:cs="Arial" w:eastAsia="Arial" w:hAnsi="Arial"/>
                <w:sz w:val="16"/>
                <w:szCs w:val="16"/>
                <w:color w:val="auto"/>
              </w:rPr>
              <w:t>Due from (to) affiliates</w:t>
            </w:r>
          </w:p>
        </w:tc>
        <w:tc>
          <w:tcPr>
            <w:tcW w:w="300" w:type="dxa"/>
            <w:vAlign w:val="bottom"/>
          </w:tcPr>
          <w:p>
            <w:pPr>
              <w:spacing w:after="0"/>
              <w:rPr>
                <w:sz w:val="22"/>
                <w:szCs w:val="22"/>
                <w:color w:val="auto"/>
              </w:rPr>
            </w:pPr>
          </w:p>
        </w:tc>
        <w:tc>
          <w:tcPr>
            <w:tcW w:w="1220" w:type="dxa"/>
            <w:vAlign w:val="bottom"/>
          </w:tcPr>
          <w:p>
            <w:pPr>
              <w:jc w:val="right"/>
              <w:ind w:right="39"/>
              <w:spacing w:after="0"/>
              <w:rPr>
                <w:sz w:val="20"/>
                <w:szCs w:val="20"/>
                <w:color w:val="auto"/>
              </w:rPr>
            </w:pPr>
            <w:r>
              <w:rPr>
                <w:rFonts w:ascii="Arial" w:cs="Arial" w:eastAsia="Arial" w:hAnsi="Arial"/>
                <w:sz w:val="16"/>
                <w:szCs w:val="16"/>
                <w:color w:val="auto"/>
              </w:rPr>
              <w:t>203</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(5)</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(198)</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3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2"/>
                <w:szCs w:val="22"/>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278"/>
        </w:trPr>
        <w:tc>
          <w:tcPr>
            <w:tcW w:w="3540" w:type="dxa"/>
            <w:vAlign w:val="bottom"/>
            <w:shd w:val="clear" w:color="auto" w:fill="CCEEFF"/>
          </w:tcPr>
          <w:p>
            <w:pPr>
              <w:ind w:left="180"/>
              <w:spacing w:after="0"/>
              <w:rPr>
                <w:sz w:val="20"/>
                <w:szCs w:val="20"/>
                <w:color w:val="auto"/>
              </w:rPr>
            </w:pPr>
            <w:r>
              <w:rPr>
                <w:rFonts w:ascii="Arial" w:cs="Arial" w:eastAsia="Arial" w:hAnsi="Arial"/>
                <w:sz w:val="16"/>
                <w:szCs w:val="16"/>
                <w:color w:val="auto"/>
              </w:rPr>
              <w:t>Prepaid expenses and other current assets</w:t>
            </w:r>
          </w:p>
        </w:tc>
        <w:tc>
          <w:tcPr>
            <w:tcW w:w="30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65</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3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20</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2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89</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38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24"/>
                <w:szCs w:val="24"/>
                <w:color w:val="auto"/>
              </w:rPr>
            </w:pPr>
          </w:p>
        </w:tc>
        <w:tc>
          <w:tcPr>
            <w:tcW w:w="13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174</w:t>
            </w:r>
          </w:p>
        </w:tc>
      </w:tr>
      <w:tr>
        <w:trPr>
          <w:trHeight w:val="264"/>
        </w:trPr>
        <w:tc>
          <w:tcPr>
            <w:tcW w:w="3540" w:type="dxa"/>
            <w:vAlign w:val="bottom"/>
            <w:tcBorders>
              <w:bottom w:val="single" w:sz="8" w:color="CCEEFF"/>
            </w:tcBorders>
          </w:tcPr>
          <w:p>
            <w:pPr>
              <w:ind w:left="180"/>
              <w:spacing w:after="0"/>
              <w:rPr>
                <w:sz w:val="20"/>
                <w:szCs w:val="20"/>
                <w:color w:val="auto"/>
              </w:rPr>
            </w:pPr>
            <w:r>
              <w:rPr>
                <w:rFonts w:ascii="Arial" w:cs="Arial" w:eastAsia="Arial" w:hAnsi="Arial"/>
                <w:sz w:val="16"/>
                <w:szCs w:val="16"/>
                <w:color w:val="auto"/>
              </w:rPr>
              <w:t>Derivative asset</w:t>
            </w:r>
          </w:p>
        </w:tc>
        <w:tc>
          <w:tcPr>
            <w:tcW w:w="30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425</w:t>
            </w: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425</w:t>
            </w:r>
          </w:p>
        </w:tc>
      </w:tr>
      <w:tr>
        <w:trPr>
          <w:trHeight w:val="257"/>
        </w:trPr>
        <w:tc>
          <w:tcPr>
            <w:tcW w:w="3540" w:type="dxa"/>
            <w:vAlign w:val="bottom"/>
            <w:shd w:val="clear" w:color="auto" w:fill="CCEEFF"/>
          </w:tcPr>
          <w:p>
            <w:pPr>
              <w:ind w:left="280"/>
              <w:spacing w:after="0"/>
              <w:rPr>
                <w:sz w:val="20"/>
                <w:szCs w:val="20"/>
                <w:color w:val="auto"/>
              </w:rPr>
            </w:pPr>
            <w:r>
              <w:rPr>
                <w:rFonts w:ascii="Arial" w:cs="Arial" w:eastAsia="Arial" w:hAnsi="Arial"/>
                <w:sz w:val="16"/>
                <w:szCs w:val="16"/>
                <w:color w:val="auto"/>
              </w:rPr>
              <w:t>Total current assets</w:t>
            </w:r>
          </w:p>
        </w:tc>
        <w:tc>
          <w:tcPr>
            <w:tcW w:w="300" w:type="dxa"/>
            <w:vAlign w:val="bottom"/>
            <w:shd w:val="clear" w:color="auto" w:fill="CCEEFF"/>
          </w:tcPr>
          <w:p>
            <w:pPr>
              <w:spacing w:after="0"/>
              <w:rPr>
                <w:sz w:val="22"/>
                <w:szCs w:val="22"/>
                <w:color w:val="auto"/>
              </w:rPr>
            </w:pPr>
          </w:p>
        </w:tc>
        <w:tc>
          <w:tcPr>
            <w:tcW w:w="1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1,414</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3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98</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2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6,196</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38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22"/>
                <w:szCs w:val="22"/>
                <w:color w:val="auto"/>
              </w:rPr>
            </w:pPr>
          </w:p>
        </w:tc>
        <w:tc>
          <w:tcPr>
            <w:tcW w:w="13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7,708</w:t>
            </w:r>
          </w:p>
        </w:tc>
      </w:tr>
      <w:tr>
        <w:trPr>
          <w:trHeight w:val="198"/>
        </w:trPr>
        <w:tc>
          <w:tcPr>
            <w:tcW w:w="3540" w:type="dxa"/>
            <w:vAlign w:val="bottom"/>
          </w:tcPr>
          <w:p>
            <w:pPr>
              <w:ind w:left="40"/>
              <w:spacing w:after="0"/>
              <w:rPr>
                <w:sz w:val="20"/>
                <w:szCs w:val="20"/>
                <w:color w:val="auto"/>
              </w:rPr>
            </w:pPr>
            <w:r>
              <w:rPr>
                <w:rFonts w:ascii="Arial" w:cs="Arial" w:eastAsia="Arial" w:hAnsi="Arial"/>
                <w:sz w:val="16"/>
                <w:szCs w:val="16"/>
                <w:color w:val="auto"/>
              </w:rPr>
              <w:t>Property, equipment, and capitalized software,</w:t>
            </w:r>
          </w:p>
        </w:tc>
        <w:tc>
          <w:tcPr>
            <w:tcW w:w="3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00" w:type="dxa"/>
            <w:vAlign w:val="bottom"/>
          </w:tcPr>
          <w:p>
            <w:pPr>
              <w:spacing w:after="0"/>
              <w:rPr>
                <w:sz w:val="17"/>
                <w:szCs w:val="17"/>
                <w:color w:val="auto"/>
              </w:rPr>
            </w:pPr>
          </w:p>
        </w:tc>
      </w:tr>
      <w:tr>
        <w:trPr>
          <w:trHeight w:val="226"/>
        </w:trPr>
        <w:tc>
          <w:tcPr>
            <w:tcW w:w="3540" w:type="dxa"/>
            <w:vAlign w:val="bottom"/>
          </w:tcPr>
          <w:p>
            <w:pPr>
              <w:ind w:left="200"/>
              <w:spacing w:after="0"/>
              <w:rPr>
                <w:sz w:val="20"/>
                <w:szCs w:val="20"/>
                <w:color w:val="auto"/>
              </w:rPr>
            </w:pPr>
            <w:r>
              <w:rPr>
                <w:rFonts w:ascii="Arial" w:cs="Arial" w:eastAsia="Arial" w:hAnsi="Arial"/>
                <w:sz w:val="16"/>
                <w:szCs w:val="16"/>
                <w:color w:val="auto"/>
              </w:rPr>
              <w:t>net</w:t>
            </w:r>
          </w:p>
        </w:tc>
        <w:tc>
          <w:tcPr>
            <w:tcW w:w="300" w:type="dxa"/>
            <w:vAlign w:val="bottom"/>
          </w:tcPr>
          <w:p>
            <w:pPr>
              <w:spacing w:after="0"/>
              <w:rPr>
                <w:sz w:val="19"/>
                <w:szCs w:val="19"/>
                <w:color w:val="auto"/>
              </w:rPr>
            </w:pPr>
          </w:p>
        </w:tc>
        <w:tc>
          <w:tcPr>
            <w:tcW w:w="1220" w:type="dxa"/>
            <w:vAlign w:val="bottom"/>
          </w:tcPr>
          <w:p>
            <w:pPr>
              <w:jc w:val="right"/>
              <w:ind w:right="39"/>
              <w:spacing w:after="0"/>
              <w:rPr>
                <w:sz w:val="20"/>
                <w:szCs w:val="20"/>
                <w:color w:val="auto"/>
              </w:rPr>
            </w:pPr>
            <w:r>
              <w:rPr>
                <w:rFonts w:ascii="Arial" w:cs="Arial" w:eastAsia="Arial" w:hAnsi="Arial"/>
                <w:sz w:val="16"/>
                <w:szCs w:val="16"/>
                <w:color w:val="auto"/>
              </w:rPr>
              <w:t>261</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tcPr>
          <w:p>
            <w:pPr>
              <w:jc w:val="right"/>
              <w:ind w:right="19"/>
              <w:spacing w:after="0"/>
              <w:rPr>
                <w:sz w:val="20"/>
                <w:szCs w:val="20"/>
                <w:color w:val="auto"/>
              </w:rPr>
            </w:pPr>
            <w:r>
              <w:rPr>
                <w:rFonts w:ascii="Arial" w:cs="Arial" w:eastAsia="Arial" w:hAnsi="Arial"/>
                <w:sz w:val="16"/>
                <w:szCs w:val="16"/>
                <w:color w:val="auto"/>
              </w:rPr>
              <w:t>37</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jc w:val="right"/>
              <w:ind w:right="19"/>
              <w:spacing w:after="0"/>
              <w:rPr>
                <w:sz w:val="20"/>
                <w:szCs w:val="20"/>
                <w:color w:val="auto"/>
              </w:rPr>
            </w:pPr>
            <w:r>
              <w:rPr>
                <w:rFonts w:ascii="Arial" w:cs="Arial" w:eastAsia="Arial" w:hAnsi="Arial"/>
                <w:sz w:val="16"/>
                <w:szCs w:val="16"/>
                <w:color w:val="auto"/>
              </w:rPr>
              <w:t>99</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9"/>
                <w:szCs w:val="19"/>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397</w:t>
            </w:r>
          </w:p>
        </w:tc>
      </w:tr>
      <w:tr>
        <w:trPr>
          <w:trHeight w:val="278"/>
        </w:trPr>
        <w:tc>
          <w:tcPr>
            <w:tcW w:w="3540" w:type="dxa"/>
            <w:vAlign w:val="bottom"/>
            <w:shd w:val="clear" w:color="auto" w:fill="CCEEFF"/>
          </w:tcPr>
          <w:p>
            <w:pPr>
              <w:ind w:left="40"/>
              <w:spacing w:after="0"/>
              <w:rPr>
                <w:sz w:val="20"/>
                <w:szCs w:val="20"/>
                <w:color w:val="auto"/>
              </w:rPr>
            </w:pPr>
            <w:r>
              <w:rPr>
                <w:rFonts w:ascii="Arial" w:cs="Arial" w:eastAsia="Arial" w:hAnsi="Arial"/>
                <w:sz w:val="16"/>
                <w:szCs w:val="16"/>
                <w:color w:val="auto"/>
              </w:rPr>
              <w:t>Deferred contract costs</w:t>
            </w:r>
          </w:p>
        </w:tc>
        <w:tc>
          <w:tcPr>
            <w:tcW w:w="300" w:type="dxa"/>
            <w:vAlign w:val="bottom"/>
            <w:shd w:val="clear" w:color="auto" w:fill="CCEEFF"/>
          </w:tcPr>
          <w:p>
            <w:pPr>
              <w:spacing w:after="0"/>
              <w:rPr>
                <w:sz w:val="24"/>
                <w:szCs w:val="24"/>
                <w:color w:val="auto"/>
              </w:rPr>
            </w:pPr>
          </w:p>
        </w:tc>
        <w:tc>
          <w:tcPr>
            <w:tcW w:w="134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24"/>
                <w:szCs w:val="24"/>
                <w:color w:val="auto"/>
              </w:rPr>
            </w:pPr>
          </w:p>
        </w:tc>
        <w:tc>
          <w:tcPr>
            <w:tcW w:w="13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97</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38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24"/>
                <w:szCs w:val="24"/>
                <w:color w:val="auto"/>
              </w:rPr>
            </w:pPr>
          </w:p>
        </w:tc>
        <w:tc>
          <w:tcPr>
            <w:tcW w:w="138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24"/>
                <w:szCs w:val="24"/>
                <w:color w:val="auto"/>
              </w:rPr>
            </w:pPr>
          </w:p>
        </w:tc>
        <w:tc>
          <w:tcPr>
            <w:tcW w:w="13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97</w:t>
            </w:r>
          </w:p>
        </w:tc>
      </w:tr>
      <w:tr>
        <w:trPr>
          <w:trHeight w:val="262"/>
        </w:trPr>
        <w:tc>
          <w:tcPr>
            <w:tcW w:w="3540" w:type="dxa"/>
            <w:vAlign w:val="bottom"/>
          </w:tcPr>
          <w:p>
            <w:pPr>
              <w:ind w:left="40"/>
              <w:spacing w:after="0"/>
              <w:rPr>
                <w:sz w:val="20"/>
                <w:szCs w:val="20"/>
                <w:color w:val="auto"/>
              </w:rPr>
            </w:pPr>
            <w:r>
              <w:rPr>
                <w:rFonts w:ascii="Arial" w:cs="Arial" w:eastAsia="Arial" w:hAnsi="Arial"/>
                <w:sz w:val="16"/>
                <w:szCs w:val="16"/>
                <w:color w:val="auto"/>
              </w:rPr>
              <w:t>Goodwill and intangible assets, net</w:t>
            </w:r>
          </w:p>
        </w:tc>
        <w:tc>
          <w:tcPr>
            <w:tcW w:w="300" w:type="dxa"/>
            <w:vAlign w:val="bottom"/>
          </w:tcPr>
          <w:p>
            <w:pPr>
              <w:spacing w:after="0"/>
              <w:rPr>
                <w:sz w:val="22"/>
                <w:szCs w:val="22"/>
                <w:color w:val="auto"/>
              </w:rPr>
            </w:pPr>
          </w:p>
        </w:tc>
        <w:tc>
          <w:tcPr>
            <w:tcW w:w="1220" w:type="dxa"/>
            <w:vAlign w:val="bottom"/>
          </w:tcPr>
          <w:p>
            <w:pPr>
              <w:jc w:val="right"/>
              <w:ind w:right="39"/>
              <w:spacing w:after="0"/>
              <w:rPr>
                <w:sz w:val="20"/>
                <w:szCs w:val="20"/>
                <w:color w:val="auto"/>
              </w:rPr>
            </w:pPr>
            <w:r>
              <w:rPr>
                <w:rFonts w:ascii="Arial" w:cs="Arial" w:eastAsia="Arial" w:hAnsi="Arial"/>
                <w:sz w:val="16"/>
                <w:szCs w:val="16"/>
                <w:color w:val="auto"/>
              </w:rPr>
              <w:t>55</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40" w:type="dxa"/>
            <w:vAlign w:val="bottom"/>
          </w:tcPr>
          <w:p>
            <w:pPr>
              <w:jc w:val="right"/>
              <w:ind w:right="19"/>
              <w:spacing w:after="0"/>
              <w:rPr>
                <w:sz w:val="20"/>
                <w:szCs w:val="20"/>
                <w:color w:val="auto"/>
              </w:rPr>
            </w:pPr>
            <w:r>
              <w:rPr>
                <w:rFonts w:ascii="Arial" w:cs="Arial" w:eastAsia="Arial" w:hAnsi="Arial"/>
                <w:sz w:val="16"/>
                <w:szCs w:val="16"/>
                <w:color w:val="auto"/>
              </w:rPr>
              <w:t>43</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80" w:type="dxa"/>
            <w:vAlign w:val="bottom"/>
          </w:tcPr>
          <w:p>
            <w:pPr>
              <w:jc w:val="right"/>
              <w:ind w:right="19"/>
              <w:spacing w:after="0"/>
              <w:rPr>
                <w:sz w:val="20"/>
                <w:szCs w:val="20"/>
                <w:color w:val="auto"/>
              </w:rPr>
            </w:pPr>
            <w:r>
              <w:rPr>
                <w:rFonts w:ascii="Arial" w:cs="Arial" w:eastAsia="Arial" w:hAnsi="Arial"/>
                <w:sz w:val="16"/>
                <w:szCs w:val="16"/>
                <w:color w:val="auto"/>
              </w:rPr>
              <w:t>433</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3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2"/>
                <w:szCs w:val="22"/>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531</w:t>
            </w:r>
          </w:p>
        </w:tc>
      </w:tr>
      <w:tr>
        <w:trPr>
          <w:trHeight w:val="278"/>
        </w:trPr>
        <w:tc>
          <w:tcPr>
            <w:tcW w:w="3540" w:type="dxa"/>
            <w:vAlign w:val="bottom"/>
            <w:shd w:val="clear" w:color="auto" w:fill="CCEEFF"/>
          </w:tcPr>
          <w:p>
            <w:pPr>
              <w:ind w:left="40"/>
              <w:spacing w:after="0"/>
              <w:rPr>
                <w:sz w:val="20"/>
                <w:szCs w:val="20"/>
                <w:color w:val="auto"/>
              </w:rPr>
            </w:pPr>
            <w:r>
              <w:rPr>
                <w:rFonts w:ascii="Arial" w:cs="Arial" w:eastAsia="Arial" w:hAnsi="Arial"/>
                <w:sz w:val="16"/>
                <w:szCs w:val="16"/>
                <w:color w:val="auto"/>
              </w:rPr>
              <w:t>Restricted investments</w:t>
            </w:r>
          </w:p>
        </w:tc>
        <w:tc>
          <w:tcPr>
            <w:tcW w:w="300" w:type="dxa"/>
            <w:vAlign w:val="bottom"/>
            <w:shd w:val="clear" w:color="auto" w:fill="CCEEFF"/>
          </w:tcPr>
          <w:p>
            <w:pPr>
              <w:spacing w:after="0"/>
              <w:rPr>
                <w:sz w:val="24"/>
                <w:szCs w:val="24"/>
                <w:color w:val="auto"/>
              </w:rPr>
            </w:pPr>
          </w:p>
        </w:tc>
        <w:tc>
          <w:tcPr>
            <w:tcW w:w="134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24"/>
                <w:szCs w:val="24"/>
                <w:color w:val="auto"/>
              </w:rPr>
            </w:pPr>
          </w:p>
        </w:tc>
        <w:tc>
          <w:tcPr>
            <w:tcW w:w="13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2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117</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38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24"/>
                <w:szCs w:val="24"/>
                <w:color w:val="auto"/>
              </w:rPr>
            </w:pPr>
          </w:p>
        </w:tc>
        <w:tc>
          <w:tcPr>
            <w:tcW w:w="13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117</w:t>
            </w:r>
          </w:p>
        </w:tc>
      </w:tr>
      <w:tr>
        <w:trPr>
          <w:trHeight w:val="262"/>
        </w:trPr>
        <w:tc>
          <w:tcPr>
            <w:tcW w:w="3540" w:type="dxa"/>
            <w:vAlign w:val="bottom"/>
          </w:tcPr>
          <w:p>
            <w:pPr>
              <w:ind w:left="40"/>
              <w:spacing w:after="0"/>
              <w:rPr>
                <w:sz w:val="20"/>
                <w:szCs w:val="20"/>
                <w:color w:val="auto"/>
              </w:rPr>
            </w:pPr>
            <w:r>
              <w:rPr>
                <w:rFonts w:ascii="Arial" w:cs="Arial" w:eastAsia="Arial" w:hAnsi="Arial"/>
                <w:sz w:val="16"/>
                <w:szCs w:val="16"/>
                <w:color w:val="auto"/>
              </w:rPr>
              <w:t>Investment in subsidiaries, net</w:t>
            </w:r>
          </w:p>
        </w:tc>
        <w:tc>
          <w:tcPr>
            <w:tcW w:w="300" w:type="dxa"/>
            <w:vAlign w:val="bottom"/>
          </w:tcPr>
          <w:p>
            <w:pPr>
              <w:spacing w:after="0"/>
              <w:rPr>
                <w:sz w:val="22"/>
                <w:szCs w:val="22"/>
                <w:color w:val="auto"/>
              </w:rPr>
            </w:pPr>
          </w:p>
        </w:tc>
        <w:tc>
          <w:tcPr>
            <w:tcW w:w="1220" w:type="dxa"/>
            <w:vAlign w:val="bottom"/>
          </w:tcPr>
          <w:p>
            <w:pPr>
              <w:jc w:val="right"/>
              <w:ind w:right="39"/>
              <w:spacing w:after="0"/>
              <w:rPr>
                <w:sz w:val="20"/>
                <w:szCs w:val="20"/>
                <w:color w:val="auto"/>
              </w:rPr>
            </w:pPr>
            <w:r>
              <w:rPr>
                <w:rFonts w:ascii="Arial" w:cs="Arial" w:eastAsia="Arial" w:hAnsi="Arial"/>
                <w:sz w:val="16"/>
                <w:szCs w:val="16"/>
                <w:color w:val="auto"/>
              </w:rPr>
              <w:t>2,625</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40" w:type="dxa"/>
            <w:vAlign w:val="bottom"/>
          </w:tcPr>
          <w:p>
            <w:pPr>
              <w:jc w:val="right"/>
              <w:ind w:right="19"/>
              <w:spacing w:after="0"/>
              <w:rPr>
                <w:sz w:val="20"/>
                <w:szCs w:val="20"/>
                <w:color w:val="auto"/>
              </w:rPr>
            </w:pPr>
            <w:r>
              <w:rPr>
                <w:rFonts w:ascii="Arial" w:cs="Arial" w:eastAsia="Arial" w:hAnsi="Arial"/>
                <w:sz w:val="16"/>
                <w:szCs w:val="16"/>
                <w:color w:val="auto"/>
              </w:rPr>
              <w:t>95</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3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2"/>
                <w:szCs w:val="22"/>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(2,720)</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278"/>
        </w:trPr>
        <w:tc>
          <w:tcPr>
            <w:tcW w:w="3540" w:type="dxa"/>
            <w:vAlign w:val="bottom"/>
            <w:shd w:val="clear" w:color="auto" w:fill="CCEEFF"/>
          </w:tcPr>
          <w:p>
            <w:pPr>
              <w:ind w:left="40"/>
              <w:spacing w:after="0"/>
              <w:rPr>
                <w:sz w:val="20"/>
                <w:szCs w:val="20"/>
                <w:color w:val="auto"/>
              </w:rPr>
            </w:pPr>
            <w:r>
              <w:rPr>
                <w:rFonts w:ascii="Arial" w:cs="Arial" w:eastAsia="Arial" w:hAnsi="Arial"/>
                <w:sz w:val="16"/>
                <w:szCs w:val="16"/>
                <w:color w:val="auto"/>
              </w:rPr>
              <w:t>Deferred income taxes</w:t>
            </w:r>
          </w:p>
        </w:tc>
        <w:tc>
          <w:tcPr>
            <w:tcW w:w="30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10</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3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2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96</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3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62</w:t>
            </w:r>
          </w:p>
        </w:tc>
      </w:tr>
      <w:tr>
        <w:trPr>
          <w:trHeight w:val="264"/>
        </w:trPr>
        <w:tc>
          <w:tcPr>
            <w:tcW w:w="354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Other assets</w:t>
            </w:r>
          </w:p>
        </w:tc>
        <w:tc>
          <w:tcPr>
            <w:tcW w:w="30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50</w:t>
            </w: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w:t>
            </w: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6</w:t>
            </w: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42</w:t>
            </w:r>
          </w:p>
        </w:tc>
      </w:tr>
      <w:tr>
        <w:trPr>
          <w:trHeight w:val="237"/>
        </w:trPr>
        <w:tc>
          <w:tcPr>
            <w:tcW w:w="354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4,415</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372</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6,947</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(2,780)</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8,954</w:t>
            </w:r>
          </w:p>
        </w:tc>
      </w:tr>
      <w:tr>
        <w:trPr>
          <w:trHeight w:val="20"/>
        </w:trPr>
        <w:tc>
          <w:tcPr>
            <w:tcW w:w="35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720" w:type="dxa"/>
            <w:vAlign w:val="bottom"/>
            <w:gridSpan w:val="4"/>
          </w:tcPr>
          <w:p>
            <w:pPr>
              <w:spacing w:after="0" w:line="20" w:lineRule="exact"/>
              <w:rPr>
                <w:sz w:val="1"/>
                <w:szCs w:val="1"/>
                <w:color w:val="auto"/>
              </w:rPr>
            </w:pPr>
          </w:p>
        </w:tc>
        <w:tc>
          <w:tcPr>
            <w:tcW w:w="14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r>
        <w:trPr>
          <w:trHeight w:val="284"/>
        </w:trPr>
        <w:tc>
          <w:tcPr>
            <w:tcW w:w="3540" w:type="dxa"/>
            <w:vAlign w:val="bottom"/>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122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3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12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12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300" w:type="dxa"/>
            <w:vAlign w:val="bottom"/>
            <w:tcBorders>
              <w:top w:val="single" w:sz="8" w:color="auto"/>
            </w:tcBorders>
          </w:tcPr>
          <w:p>
            <w:pPr>
              <w:spacing w:after="0"/>
              <w:rPr>
                <w:sz w:val="24"/>
                <w:szCs w:val="24"/>
                <w:color w:val="auto"/>
              </w:rPr>
            </w:pPr>
          </w:p>
        </w:tc>
      </w:tr>
      <w:tr>
        <w:trPr>
          <w:trHeight w:val="243"/>
        </w:trPr>
        <w:tc>
          <w:tcPr>
            <w:tcW w:w="354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4520" w:type="dxa"/>
            <w:vAlign w:val="bottom"/>
            <w:gridSpan w:val="8"/>
            <w:shd w:val="clear" w:color="auto" w:fill="CCEEFF"/>
          </w:tcPr>
          <w:p>
            <w:pPr>
              <w:ind w:left="160"/>
              <w:spacing w:after="0"/>
              <w:rPr>
                <w:sz w:val="20"/>
                <w:szCs w:val="20"/>
                <w:color w:val="auto"/>
              </w:rPr>
            </w:pPr>
            <w:r>
              <w:rPr>
                <w:rFonts w:ascii="Arial" w:cs="Arial" w:eastAsia="Arial" w:hAnsi="Arial"/>
                <w:sz w:val="16"/>
                <w:szCs w:val="16"/>
                <w:b w:val="1"/>
                <w:bCs w:val="1"/>
                <w:color w:val="auto"/>
              </w:rPr>
              <w:t>LIABILITIES AND STOCKHOLDERS’ EQUITY</w:t>
            </w:r>
          </w:p>
        </w:tc>
        <w:tc>
          <w:tcPr>
            <w:tcW w:w="200" w:type="dxa"/>
            <w:vAlign w:val="bottom"/>
            <w:shd w:val="clear" w:color="auto" w:fill="CCEEFF"/>
          </w:tcPr>
          <w:p>
            <w:pPr>
              <w:spacing w:after="0"/>
              <w:rPr>
                <w:sz w:val="21"/>
                <w:szCs w:val="21"/>
                <w:color w:val="auto"/>
              </w:rPr>
            </w:pPr>
          </w:p>
        </w:tc>
        <w:tc>
          <w:tcPr>
            <w:tcW w:w="12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300" w:type="dxa"/>
            <w:vAlign w:val="bottom"/>
            <w:shd w:val="clear" w:color="auto" w:fill="CCEEFF"/>
          </w:tcPr>
          <w:p>
            <w:pPr>
              <w:spacing w:after="0"/>
              <w:rPr>
                <w:sz w:val="21"/>
                <w:szCs w:val="21"/>
                <w:color w:val="auto"/>
              </w:rPr>
            </w:pPr>
          </w:p>
        </w:tc>
      </w:tr>
      <w:tr>
        <w:trPr>
          <w:trHeight w:val="228"/>
        </w:trPr>
        <w:tc>
          <w:tcPr>
            <w:tcW w:w="3540" w:type="dxa"/>
            <w:vAlign w:val="bottom"/>
          </w:tcPr>
          <w:p>
            <w:pPr>
              <w:ind w:left="40"/>
              <w:spacing w:after="0"/>
              <w:rPr>
                <w:sz w:val="20"/>
                <w:szCs w:val="20"/>
                <w:color w:val="auto"/>
              </w:rPr>
            </w:pPr>
            <w:r>
              <w:rPr>
                <w:rFonts w:ascii="Arial" w:cs="Arial" w:eastAsia="Arial" w:hAnsi="Arial"/>
                <w:sz w:val="16"/>
                <w:szCs w:val="16"/>
                <w:color w:val="auto"/>
              </w:rPr>
              <w:t>Current liabilities:</w:t>
            </w:r>
          </w:p>
        </w:tc>
        <w:tc>
          <w:tcPr>
            <w:tcW w:w="3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spacing w:after="0"/>
              <w:rPr>
                <w:sz w:val="19"/>
                <w:szCs w:val="19"/>
                <w:color w:val="auto"/>
              </w:rPr>
            </w:pPr>
          </w:p>
        </w:tc>
      </w:tr>
      <w:tr>
        <w:trPr>
          <w:trHeight w:val="43"/>
        </w:trPr>
        <w:tc>
          <w:tcPr>
            <w:tcW w:w="3540" w:type="dxa"/>
            <w:vAlign w:val="bottom"/>
          </w:tcPr>
          <w:p>
            <w:pPr>
              <w:spacing w:after="0"/>
              <w:rPr>
                <w:sz w:val="3"/>
                <w:szCs w:val="3"/>
                <w:color w:val="auto"/>
              </w:rPr>
            </w:pPr>
          </w:p>
        </w:tc>
        <w:tc>
          <w:tcPr>
            <w:tcW w:w="300" w:type="dxa"/>
            <w:vAlign w:val="bottom"/>
          </w:tcPr>
          <w:p>
            <w:pPr>
              <w:spacing w:after="0"/>
              <w:rPr>
                <w:sz w:val="3"/>
                <w:szCs w:val="3"/>
                <w:color w:val="auto"/>
              </w:rPr>
            </w:pPr>
          </w:p>
        </w:tc>
        <w:tc>
          <w:tcPr>
            <w:tcW w:w="12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3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1300" w:type="dxa"/>
            <w:vAlign w:val="bottom"/>
          </w:tcPr>
          <w:p>
            <w:pPr>
              <w:spacing w:after="0"/>
              <w:rPr>
                <w:sz w:val="3"/>
                <w:szCs w:val="3"/>
                <w:color w:val="auto"/>
              </w:rPr>
            </w:pPr>
          </w:p>
        </w:tc>
      </w:tr>
      <w:tr>
        <w:trPr>
          <w:trHeight w:val="270"/>
        </w:trPr>
        <w:tc>
          <w:tcPr>
            <w:tcW w:w="3540" w:type="dxa"/>
            <w:vAlign w:val="bottom"/>
            <w:shd w:val="clear" w:color="auto" w:fill="CCEEFF"/>
          </w:tcPr>
          <w:p>
            <w:pPr>
              <w:ind w:left="180"/>
              <w:spacing w:after="0"/>
              <w:rPr>
                <w:sz w:val="20"/>
                <w:szCs w:val="20"/>
                <w:color w:val="auto"/>
              </w:rPr>
            </w:pPr>
            <w:r>
              <w:rPr>
                <w:rFonts w:ascii="Arial" w:cs="Arial" w:eastAsia="Arial" w:hAnsi="Arial"/>
                <w:sz w:val="16"/>
                <w:szCs w:val="16"/>
                <w:color w:val="auto"/>
              </w:rPr>
              <w:t>Medical claims and benefits payable</w:t>
            </w:r>
          </w:p>
        </w:tc>
        <w:tc>
          <w:tcPr>
            <w:tcW w:w="3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34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2,478</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8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2,478</w:t>
            </w:r>
          </w:p>
        </w:tc>
      </w:tr>
      <w:tr>
        <w:trPr>
          <w:trHeight w:val="262"/>
        </w:trPr>
        <w:tc>
          <w:tcPr>
            <w:tcW w:w="3540" w:type="dxa"/>
            <w:vAlign w:val="bottom"/>
          </w:tcPr>
          <w:p>
            <w:pPr>
              <w:ind w:left="180"/>
              <w:spacing w:after="0"/>
              <w:rPr>
                <w:sz w:val="20"/>
                <w:szCs w:val="20"/>
                <w:color w:val="auto"/>
              </w:rPr>
            </w:pPr>
            <w:r>
              <w:rPr>
                <w:rFonts w:ascii="Arial" w:cs="Arial" w:eastAsia="Arial" w:hAnsi="Arial"/>
                <w:sz w:val="16"/>
                <w:szCs w:val="16"/>
                <w:color w:val="auto"/>
              </w:rPr>
              <w:t>Amounts due government agencies</w:t>
            </w:r>
          </w:p>
        </w:tc>
        <w:tc>
          <w:tcPr>
            <w:tcW w:w="300" w:type="dxa"/>
            <w:vAlign w:val="bottom"/>
          </w:tcPr>
          <w:p>
            <w:pPr>
              <w:spacing w:after="0"/>
              <w:rPr>
                <w:sz w:val="22"/>
                <w:szCs w:val="22"/>
                <w:color w:val="auto"/>
              </w:rPr>
            </w:pPr>
          </w:p>
        </w:tc>
        <w:tc>
          <w:tcPr>
            <w:tcW w:w="13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2"/>
                <w:szCs w:val="22"/>
                <w:color w:val="auto"/>
              </w:rPr>
            </w:pPr>
          </w:p>
        </w:tc>
        <w:tc>
          <w:tcPr>
            <w:tcW w:w="134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80" w:type="dxa"/>
            <w:vAlign w:val="bottom"/>
          </w:tcPr>
          <w:p>
            <w:pPr>
              <w:jc w:val="right"/>
              <w:ind w:right="19"/>
              <w:spacing w:after="0"/>
              <w:rPr>
                <w:sz w:val="20"/>
                <w:szCs w:val="20"/>
                <w:color w:val="auto"/>
              </w:rPr>
            </w:pPr>
            <w:r>
              <w:rPr>
                <w:rFonts w:ascii="Arial" w:cs="Arial" w:eastAsia="Arial" w:hAnsi="Arial"/>
                <w:sz w:val="16"/>
                <w:szCs w:val="16"/>
                <w:color w:val="auto"/>
              </w:rPr>
              <w:t>1,324</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3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2"/>
                <w:szCs w:val="22"/>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1,324</w:t>
            </w:r>
          </w:p>
        </w:tc>
      </w:tr>
      <w:tr>
        <w:trPr>
          <w:trHeight w:val="278"/>
        </w:trPr>
        <w:tc>
          <w:tcPr>
            <w:tcW w:w="3540" w:type="dxa"/>
            <w:vAlign w:val="bottom"/>
            <w:shd w:val="clear" w:color="auto" w:fill="CCEEFF"/>
          </w:tcPr>
          <w:p>
            <w:pPr>
              <w:ind w:left="180"/>
              <w:spacing w:after="0"/>
              <w:rPr>
                <w:sz w:val="20"/>
                <w:szCs w:val="20"/>
                <w:color w:val="auto"/>
              </w:rPr>
            </w:pPr>
            <w:r>
              <w:rPr>
                <w:rFonts w:ascii="Arial" w:cs="Arial" w:eastAsia="Arial" w:hAnsi="Arial"/>
                <w:sz w:val="16"/>
                <w:szCs w:val="16"/>
                <w:color w:val="auto"/>
              </w:rPr>
              <w:t>Accounts payable and accrued liabilities</w:t>
            </w:r>
          </w:p>
        </w:tc>
        <w:tc>
          <w:tcPr>
            <w:tcW w:w="30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227</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3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40</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2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218</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38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24"/>
                <w:szCs w:val="24"/>
                <w:color w:val="auto"/>
              </w:rPr>
            </w:pPr>
          </w:p>
        </w:tc>
        <w:tc>
          <w:tcPr>
            <w:tcW w:w="13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485</w:t>
            </w:r>
          </w:p>
        </w:tc>
      </w:tr>
      <w:tr>
        <w:trPr>
          <w:trHeight w:val="262"/>
        </w:trPr>
        <w:tc>
          <w:tcPr>
            <w:tcW w:w="3540" w:type="dxa"/>
            <w:vAlign w:val="bottom"/>
          </w:tcPr>
          <w:p>
            <w:pPr>
              <w:ind w:left="180"/>
              <w:spacing w:after="0"/>
              <w:rPr>
                <w:sz w:val="20"/>
                <w:szCs w:val="20"/>
                <w:color w:val="auto"/>
              </w:rPr>
            </w:pPr>
            <w:r>
              <w:rPr>
                <w:rFonts w:ascii="Arial" w:cs="Arial" w:eastAsia="Arial" w:hAnsi="Arial"/>
                <w:sz w:val="16"/>
                <w:szCs w:val="16"/>
                <w:color w:val="auto"/>
              </w:rPr>
              <w:t>Deferred revenue</w:t>
            </w:r>
          </w:p>
        </w:tc>
        <w:tc>
          <w:tcPr>
            <w:tcW w:w="300" w:type="dxa"/>
            <w:vAlign w:val="bottom"/>
          </w:tcPr>
          <w:p>
            <w:pPr>
              <w:spacing w:after="0"/>
              <w:rPr>
                <w:sz w:val="22"/>
                <w:szCs w:val="22"/>
                <w:color w:val="auto"/>
              </w:rPr>
            </w:pPr>
          </w:p>
        </w:tc>
        <w:tc>
          <w:tcPr>
            <w:tcW w:w="13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2"/>
                <w:szCs w:val="22"/>
                <w:color w:val="auto"/>
              </w:rPr>
            </w:pPr>
          </w:p>
        </w:tc>
        <w:tc>
          <w:tcPr>
            <w:tcW w:w="1340" w:type="dxa"/>
            <w:vAlign w:val="bottom"/>
          </w:tcPr>
          <w:p>
            <w:pPr>
              <w:jc w:val="right"/>
              <w:ind w:right="19"/>
              <w:spacing w:after="0"/>
              <w:rPr>
                <w:sz w:val="20"/>
                <w:szCs w:val="20"/>
                <w:color w:val="auto"/>
              </w:rPr>
            </w:pPr>
            <w:r>
              <w:rPr>
                <w:rFonts w:ascii="Arial" w:cs="Arial" w:eastAsia="Arial" w:hAnsi="Arial"/>
                <w:sz w:val="16"/>
                <w:szCs w:val="16"/>
                <w:color w:val="auto"/>
              </w:rPr>
              <w:t>52</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80" w:type="dxa"/>
            <w:vAlign w:val="bottom"/>
          </w:tcPr>
          <w:p>
            <w:pPr>
              <w:jc w:val="right"/>
              <w:ind w:right="19"/>
              <w:spacing w:after="0"/>
              <w:rPr>
                <w:sz w:val="20"/>
                <w:szCs w:val="20"/>
                <w:color w:val="auto"/>
              </w:rPr>
            </w:pPr>
            <w:r>
              <w:rPr>
                <w:rFonts w:ascii="Arial" w:cs="Arial" w:eastAsia="Arial" w:hAnsi="Arial"/>
                <w:sz w:val="16"/>
                <w:szCs w:val="16"/>
                <w:color w:val="auto"/>
              </w:rPr>
              <w:t>416</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3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2"/>
                <w:szCs w:val="22"/>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468</w:t>
            </w:r>
          </w:p>
        </w:tc>
      </w:tr>
      <w:tr>
        <w:trPr>
          <w:trHeight w:val="278"/>
        </w:trPr>
        <w:tc>
          <w:tcPr>
            <w:tcW w:w="3540" w:type="dxa"/>
            <w:vAlign w:val="bottom"/>
            <w:shd w:val="clear" w:color="auto" w:fill="CCEEFF"/>
          </w:tcPr>
          <w:p>
            <w:pPr>
              <w:ind w:left="180"/>
              <w:spacing w:after="0"/>
              <w:rPr>
                <w:sz w:val="20"/>
                <w:szCs w:val="20"/>
                <w:color w:val="auto"/>
              </w:rPr>
            </w:pPr>
            <w:r>
              <w:rPr>
                <w:rFonts w:ascii="Arial" w:cs="Arial" w:eastAsia="Arial" w:hAnsi="Arial"/>
                <w:sz w:val="16"/>
                <w:szCs w:val="16"/>
                <w:color w:val="auto"/>
              </w:rPr>
              <w:t>Current portion of long-term debt</w:t>
            </w:r>
          </w:p>
        </w:tc>
        <w:tc>
          <w:tcPr>
            <w:tcW w:w="30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782</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3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38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24"/>
                <w:szCs w:val="24"/>
                <w:color w:val="auto"/>
              </w:rPr>
            </w:pPr>
          </w:p>
        </w:tc>
        <w:tc>
          <w:tcPr>
            <w:tcW w:w="138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24"/>
                <w:szCs w:val="24"/>
                <w:color w:val="auto"/>
              </w:rPr>
            </w:pPr>
          </w:p>
        </w:tc>
        <w:tc>
          <w:tcPr>
            <w:tcW w:w="13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782</w:t>
            </w:r>
          </w:p>
        </w:tc>
      </w:tr>
      <w:tr>
        <w:trPr>
          <w:trHeight w:val="264"/>
        </w:trPr>
        <w:tc>
          <w:tcPr>
            <w:tcW w:w="3540" w:type="dxa"/>
            <w:vAlign w:val="bottom"/>
            <w:tcBorders>
              <w:bottom w:val="single" w:sz="8" w:color="CCEEFF"/>
            </w:tcBorders>
          </w:tcPr>
          <w:p>
            <w:pPr>
              <w:ind w:left="180"/>
              <w:spacing w:after="0"/>
              <w:rPr>
                <w:sz w:val="20"/>
                <w:szCs w:val="20"/>
                <w:color w:val="auto"/>
              </w:rPr>
            </w:pPr>
            <w:r>
              <w:rPr>
                <w:rFonts w:ascii="Arial" w:cs="Arial" w:eastAsia="Arial" w:hAnsi="Arial"/>
                <w:sz w:val="16"/>
                <w:szCs w:val="16"/>
                <w:color w:val="auto"/>
              </w:rPr>
              <w:t>Derivative liability</w:t>
            </w:r>
          </w:p>
        </w:tc>
        <w:tc>
          <w:tcPr>
            <w:tcW w:w="30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425</w:t>
            </w: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425</w:t>
            </w:r>
          </w:p>
        </w:tc>
      </w:tr>
      <w:tr>
        <w:trPr>
          <w:trHeight w:val="257"/>
        </w:trPr>
        <w:tc>
          <w:tcPr>
            <w:tcW w:w="3540" w:type="dxa"/>
            <w:vAlign w:val="bottom"/>
            <w:shd w:val="clear" w:color="auto" w:fill="CCEEFF"/>
          </w:tcPr>
          <w:p>
            <w:pPr>
              <w:ind w:left="280"/>
              <w:spacing w:after="0"/>
              <w:rPr>
                <w:sz w:val="20"/>
                <w:szCs w:val="20"/>
                <w:color w:val="auto"/>
              </w:rPr>
            </w:pPr>
            <w:r>
              <w:rPr>
                <w:rFonts w:ascii="Arial" w:cs="Arial" w:eastAsia="Arial" w:hAnsi="Arial"/>
                <w:sz w:val="16"/>
                <w:szCs w:val="16"/>
                <w:color w:val="auto"/>
              </w:rPr>
              <w:t>Total current liabilities</w:t>
            </w:r>
          </w:p>
        </w:tc>
        <w:tc>
          <w:tcPr>
            <w:tcW w:w="300" w:type="dxa"/>
            <w:vAlign w:val="bottom"/>
            <w:shd w:val="clear" w:color="auto" w:fill="CCEEFF"/>
          </w:tcPr>
          <w:p>
            <w:pPr>
              <w:spacing w:after="0"/>
              <w:rPr>
                <w:sz w:val="22"/>
                <w:szCs w:val="22"/>
                <w:color w:val="auto"/>
              </w:rPr>
            </w:pPr>
          </w:p>
        </w:tc>
        <w:tc>
          <w:tcPr>
            <w:tcW w:w="1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1,434</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3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92</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2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4,436</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38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22"/>
                <w:szCs w:val="22"/>
                <w:color w:val="auto"/>
              </w:rPr>
            </w:pPr>
          </w:p>
        </w:tc>
        <w:tc>
          <w:tcPr>
            <w:tcW w:w="13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5,962</w:t>
            </w:r>
          </w:p>
        </w:tc>
      </w:tr>
      <w:tr>
        <w:trPr>
          <w:trHeight w:val="262"/>
        </w:trPr>
        <w:tc>
          <w:tcPr>
            <w:tcW w:w="3540" w:type="dxa"/>
            <w:vAlign w:val="bottom"/>
          </w:tcPr>
          <w:p>
            <w:pPr>
              <w:ind w:left="40"/>
              <w:spacing w:after="0"/>
              <w:rPr>
                <w:sz w:val="20"/>
                <w:szCs w:val="20"/>
                <w:color w:val="auto"/>
              </w:rPr>
            </w:pPr>
            <w:r>
              <w:rPr>
                <w:rFonts w:ascii="Arial" w:cs="Arial" w:eastAsia="Arial" w:hAnsi="Arial"/>
                <w:sz w:val="16"/>
                <w:szCs w:val="16"/>
                <w:color w:val="auto"/>
              </w:rPr>
              <w:t>Long-term debt</w:t>
            </w:r>
          </w:p>
        </w:tc>
        <w:tc>
          <w:tcPr>
            <w:tcW w:w="300" w:type="dxa"/>
            <w:vAlign w:val="bottom"/>
          </w:tcPr>
          <w:p>
            <w:pPr>
              <w:spacing w:after="0"/>
              <w:rPr>
                <w:sz w:val="22"/>
                <w:szCs w:val="22"/>
                <w:color w:val="auto"/>
              </w:rPr>
            </w:pPr>
          </w:p>
        </w:tc>
        <w:tc>
          <w:tcPr>
            <w:tcW w:w="1220" w:type="dxa"/>
            <w:vAlign w:val="bottom"/>
          </w:tcPr>
          <w:p>
            <w:pPr>
              <w:jc w:val="right"/>
              <w:ind w:right="39"/>
              <w:spacing w:after="0"/>
              <w:rPr>
                <w:sz w:val="20"/>
                <w:szCs w:val="20"/>
                <w:color w:val="auto"/>
              </w:rPr>
            </w:pPr>
            <w:r>
              <w:rPr>
                <w:rFonts w:ascii="Arial" w:cs="Arial" w:eastAsia="Arial" w:hAnsi="Arial"/>
                <w:sz w:val="16"/>
                <w:szCs w:val="16"/>
                <w:color w:val="auto"/>
              </w:rPr>
              <w:t>1,515</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4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80" w:type="dxa"/>
            <w:vAlign w:val="bottom"/>
          </w:tcPr>
          <w:p>
            <w:pPr>
              <w:jc w:val="right"/>
              <w:ind w:right="19"/>
              <w:spacing w:after="0"/>
              <w:rPr>
                <w:sz w:val="20"/>
                <w:szCs w:val="20"/>
                <w:color w:val="auto"/>
              </w:rPr>
            </w:pPr>
            <w:r>
              <w:rPr>
                <w:rFonts w:ascii="Arial" w:cs="Arial" w:eastAsia="Arial" w:hAnsi="Arial"/>
                <w:sz w:val="16"/>
                <w:szCs w:val="16"/>
                <w:color w:val="auto"/>
              </w:rPr>
              <w:t>16</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(16)</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1,515</w:t>
            </w:r>
          </w:p>
        </w:tc>
      </w:tr>
      <w:tr>
        <w:trPr>
          <w:trHeight w:val="278"/>
        </w:trPr>
        <w:tc>
          <w:tcPr>
            <w:tcW w:w="3540" w:type="dxa"/>
            <w:vAlign w:val="bottom"/>
            <w:shd w:val="clear" w:color="auto" w:fill="CCEEFF"/>
          </w:tcPr>
          <w:p>
            <w:pPr>
              <w:ind w:left="40"/>
              <w:spacing w:after="0"/>
              <w:rPr>
                <w:sz w:val="20"/>
                <w:szCs w:val="20"/>
                <w:color w:val="auto"/>
              </w:rPr>
            </w:pPr>
            <w:r>
              <w:rPr>
                <w:rFonts w:ascii="Arial" w:cs="Arial" w:eastAsia="Arial" w:hAnsi="Arial"/>
                <w:sz w:val="16"/>
                <w:szCs w:val="16"/>
                <w:color w:val="auto"/>
              </w:rPr>
              <w:t>Deferred income taxes</w:t>
            </w:r>
          </w:p>
        </w:tc>
        <w:tc>
          <w:tcPr>
            <w:tcW w:w="30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12</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3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32</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38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24"/>
                <w:szCs w:val="24"/>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3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64"/>
        </w:trPr>
        <w:tc>
          <w:tcPr>
            <w:tcW w:w="3540" w:type="dxa"/>
            <w:vAlign w:val="bottom"/>
          </w:tcPr>
          <w:p>
            <w:pPr>
              <w:ind w:left="40"/>
              <w:spacing w:after="0"/>
              <w:rPr>
                <w:sz w:val="20"/>
                <w:szCs w:val="20"/>
                <w:color w:val="auto"/>
              </w:rPr>
            </w:pPr>
            <w:r>
              <w:rPr>
                <w:rFonts w:ascii="Arial" w:cs="Arial" w:eastAsia="Arial" w:hAnsi="Arial"/>
                <w:sz w:val="16"/>
                <w:szCs w:val="16"/>
                <w:color w:val="auto"/>
              </w:rPr>
              <w:t>Other long-term liabilities</w:t>
            </w:r>
          </w:p>
        </w:tc>
        <w:tc>
          <w:tcPr>
            <w:tcW w:w="300" w:type="dxa"/>
            <w:vAlign w:val="bottom"/>
          </w:tcPr>
          <w:p>
            <w:pPr>
              <w:spacing w:after="0"/>
              <w:rPr>
                <w:sz w:val="22"/>
                <w:szCs w:val="22"/>
                <w:color w:val="auto"/>
              </w:rPr>
            </w:pPr>
          </w:p>
        </w:tc>
        <w:tc>
          <w:tcPr>
            <w:tcW w:w="1220" w:type="dxa"/>
            <w:vAlign w:val="bottom"/>
          </w:tcPr>
          <w:p>
            <w:pPr>
              <w:jc w:val="right"/>
              <w:ind w:right="39"/>
              <w:spacing w:after="0"/>
              <w:rPr>
                <w:sz w:val="20"/>
                <w:szCs w:val="20"/>
                <w:color w:val="auto"/>
              </w:rPr>
            </w:pPr>
            <w:r>
              <w:rPr>
                <w:rFonts w:ascii="Arial" w:cs="Arial" w:eastAsia="Arial" w:hAnsi="Arial"/>
                <w:sz w:val="16"/>
                <w:szCs w:val="16"/>
                <w:color w:val="auto"/>
              </w:rPr>
              <w:t>25</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40" w:type="dxa"/>
            <w:vAlign w:val="bottom"/>
          </w:tcPr>
          <w:p>
            <w:pPr>
              <w:jc w:val="right"/>
              <w:ind w:right="19"/>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80" w:type="dxa"/>
            <w:vAlign w:val="bottom"/>
          </w:tcPr>
          <w:p>
            <w:pPr>
              <w:jc w:val="right"/>
              <w:ind w:right="19"/>
              <w:spacing w:after="0"/>
              <w:rPr>
                <w:sz w:val="20"/>
                <w:szCs w:val="20"/>
                <w:color w:val="auto"/>
              </w:rPr>
            </w:pPr>
            <w:r>
              <w:rPr>
                <w:rFonts w:ascii="Arial" w:cs="Arial" w:eastAsia="Arial" w:hAnsi="Arial"/>
                <w:sz w:val="16"/>
                <w:szCs w:val="16"/>
                <w:color w:val="auto"/>
              </w:rPr>
              <w:t>22</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3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2"/>
                <w:szCs w:val="22"/>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48</w:t>
            </w:r>
          </w:p>
        </w:tc>
      </w:tr>
      <w:tr>
        <w:trPr>
          <w:trHeight w:val="257"/>
        </w:trPr>
        <w:tc>
          <w:tcPr>
            <w:tcW w:w="354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liabilities</w:t>
            </w:r>
          </w:p>
        </w:tc>
        <w:tc>
          <w:tcPr>
            <w:tcW w:w="300" w:type="dxa"/>
            <w:vAlign w:val="bottom"/>
            <w:tcBorders>
              <w:top w:val="single" w:sz="8" w:color="auto"/>
            </w:tcBorders>
            <w:shd w:val="clear" w:color="auto" w:fill="CCEEFF"/>
          </w:tcPr>
          <w:p>
            <w:pPr>
              <w:spacing w:after="0"/>
              <w:rPr>
                <w:sz w:val="22"/>
                <w:szCs w:val="22"/>
                <w:color w:val="auto"/>
              </w:rPr>
            </w:pPr>
          </w:p>
        </w:tc>
        <w:tc>
          <w:tcPr>
            <w:tcW w:w="1220" w:type="dxa"/>
            <w:vAlign w:val="bottom"/>
            <w:tcBorders>
              <w:top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2,986</w:t>
            </w:r>
          </w:p>
        </w:tc>
        <w:tc>
          <w:tcPr>
            <w:tcW w:w="120" w:type="dxa"/>
            <w:vAlign w:val="bottom"/>
            <w:tcBorders>
              <w:top w:val="single" w:sz="8" w:color="CCEEFF"/>
            </w:tcBorders>
            <w:shd w:val="clear" w:color="auto" w:fill="CCEEFF"/>
          </w:tcPr>
          <w:p>
            <w:pPr>
              <w:spacing w:after="0"/>
              <w:rPr>
                <w:sz w:val="22"/>
                <w:szCs w:val="22"/>
                <w:color w:val="auto"/>
              </w:rPr>
            </w:pPr>
          </w:p>
        </w:tc>
        <w:tc>
          <w:tcPr>
            <w:tcW w:w="160" w:type="dxa"/>
            <w:vAlign w:val="bottom"/>
            <w:tcBorders>
              <w:top w:val="single" w:sz="8" w:color="auto"/>
            </w:tcBorders>
            <w:shd w:val="clear" w:color="auto" w:fill="CCEEFF"/>
          </w:tcPr>
          <w:p>
            <w:pPr>
              <w:spacing w:after="0"/>
              <w:rPr>
                <w:sz w:val="22"/>
                <w:szCs w:val="22"/>
                <w:color w:val="auto"/>
              </w:rPr>
            </w:pPr>
          </w:p>
        </w:tc>
        <w:tc>
          <w:tcPr>
            <w:tcW w:w="134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125</w:t>
            </w:r>
          </w:p>
        </w:tc>
        <w:tc>
          <w:tcPr>
            <w:tcW w:w="100" w:type="dxa"/>
            <w:vAlign w:val="bottom"/>
            <w:tcBorders>
              <w:top w:val="single" w:sz="8" w:color="CCEEFF"/>
            </w:tcBorders>
            <w:shd w:val="clear" w:color="auto" w:fill="CCEEFF"/>
          </w:tcPr>
          <w:p>
            <w:pPr>
              <w:spacing w:after="0"/>
              <w:rPr>
                <w:sz w:val="22"/>
                <w:szCs w:val="22"/>
                <w:color w:val="auto"/>
              </w:rPr>
            </w:pPr>
          </w:p>
        </w:tc>
        <w:tc>
          <w:tcPr>
            <w:tcW w:w="200" w:type="dxa"/>
            <w:vAlign w:val="bottom"/>
            <w:tcBorders>
              <w:top w:val="single" w:sz="8" w:color="auto"/>
            </w:tcBorders>
            <w:shd w:val="clear" w:color="auto" w:fill="CCEEFF"/>
          </w:tcPr>
          <w:p>
            <w:pPr>
              <w:spacing w:after="0"/>
              <w:rPr>
                <w:sz w:val="22"/>
                <w:szCs w:val="22"/>
                <w:color w:val="auto"/>
              </w:rPr>
            </w:pPr>
          </w:p>
        </w:tc>
        <w:tc>
          <w:tcPr>
            <w:tcW w:w="128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4,474</w:t>
            </w:r>
          </w:p>
        </w:tc>
        <w:tc>
          <w:tcPr>
            <w:tcW w:w="100" w:type="dxa"/>
            <w:vAlign w:val="bottom"/>
            <w:tcBorders>
              <w:top w:val="single" w:sz="8" w:color="CCEEFF"/>
            </w:tcBorders>
            <w:shd w:val="clear" w:color="auto" w:fill="CCEEFF"/>
          </w:tcPr>
          <w:p>
            <w:pPr>
              <w:spacing w:after="0"/>
              <w:rPr>
                <w:sz w:val="22"/>
                <w:szCs w:val="22"/>
                <w:color w:val="auto"/>
              </w:rPr>
            </w:pPr>
          </w:p>
        </w:tc>
        <w:tc>
          <w:tcPr>
            <w:tcW w:w="200" w:type="dxa"/>
            <w:vAlign w:val="bottom"/>
            <w:tcBorders>
              <w:top w:val="single" w:sz="8" w:color="auto"/>
            </w:tcBorders>
            <w:shd w:val="clear" w:color="auto" w:fill="CCEEFF"/>
          </w:tcPr>
          <w:p>
            <w:pPr>
              <w:spacing w:after="0"/>
              <w:rPr>
                <w:sz w:val="22"/>
                <w:szCs w:val="22"/>
                <w:color w:val="auto"/>
              </w:rPr>
            </w:pP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(60)</w:t>
            </w:r>
          </w:p>
        </w:tc>
        <w:tc>
          <w:tcPr>
            <w:tcW w:w="100" w:type="dxa"/>
            <w:vAlign w:val="bottom"/>
            <w:tcBorders>
              <w:top w:val="single" w:sz="8" w:color="CCEEFF"/>
            </w:tcBorders>
            <w:shd w:val="clear" w:color="auto" w:fill="CCEEFF"/>
          </w:tcPr>
          <w:p>
            <w:pPr>
              <w:spacing w:after="0"/>
              <w:rPr>
                <w:sz w:val="22"/>
                <w:szCs w:val="22"/>
                <w:color w:val="auto"/>
              </w:rPr>
            </w:pPr>
          </w:p>
        </w:tc>
        <w:tc>
          <w:tcPr>
            <w:tcW w:w="180" w:type="dxa"/>
            <w:vAlign w:val="bottom"/>
            <w:tcBorders>
              <w:top w:val="single" w:sz="8" w:color="auto"/>
            </w:tcBorders>
            <w:shd w:val="clear" w:color="auto" w:fill="CCEEFF"/>
          </w:tcPr>
          <w:p>
            <w:pPr>
              <w:spacing w:after="0"/>
              <w:rPr>
                <w:sz w:val="22"/>
                <w:szCs w:val="22"/>
                <w:color w:val="auto"/>
              </w:rPr>
            </w:pPr>
          </w:p>
        </w:tc>
        <w:tc>
          <w:tcPr>
            <w:tcW w:w="130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7,525</w:t>
            </w:r>
          </w:p>
        </w:tc>
      </w:tr>
      <w:tr>
        <w:trPr>
          <w:trHeight w:val="264"/>
        </w:trPr>
        <w:tc>
          <w:tcPr>
            <w:tcW w:w="354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Total stockholders’ equity</w:t>
            </w:r>
          </w:p>
        </w:tc>
        <w:tc>
          <w:tcPr>
            <w:tcW w:w="30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1,429</w:t>
            </w: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247</w:t>
            </w: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2,473</w:t>
            </w: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(2,720)</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1,429</w:t>
            </w:r>
          </w:p>
        </w:tc>
      </w:tr>
      <w:tr>
        <w:trPr>
          <w:trHeight w:val="237"/>
        </w:trPr>
        <w:tc>
          <w:tcPr>
            <w:tcW w:w="3540" w:type="dxa"/>
            <w:vAlign w:val="bottom"/>
            <w:shd w:val="clear" w:color="auto" w:fill="CCEEFF"/>
          </w:tcPr>
          <w:p>
            <w:pPr>
              <w:spacing w:after="0"/>
              <w:rPr>
                <w:sz w:val="20"/>
                <w:szCs w:val="20"/>
                <w:color w:val="auto"/>
              </w:rPr>
            </w:pPr>
          </w:p>
        </w:tc>
        <w:tc>
          <w:tcPr>
            <w:tcW w:w="3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4,415</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372</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6,947</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(2,780)</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8,954</w:t>
            </w:r>
          </w:p>
        </w:tc>
      </w:tr>
      <w:tr>
        <w:trPr>
          <w:trHeight w:val="20"/>
        </w:trPr>
        <w:tc>
          <w:tcPr>
            <w:tcW w:w="35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Molina Healthcare, Inc. 2017 Form 10-Q | 35</w:t>
      </w:r>
    </w:p>
    <w:p>
      <w:pPr>
        <w:sectPr>
          <w:pgSz w:w="11900" w:h="16838" w:orient="portrait"/>
          <w:cols w:equalWidth="0" w:num="1">
            <w:col w:w="11420"/>
          </w:cols>
          <w:pgMar w:left="240" w:top="116" w:right="239" w:bottom="1440" w:gutter="0" w:footer="0" w:header="0"/>
        </w:sectPr>
      </w:pPr>
    </w:p>
    <w:bookmarkStart w:id="35" w:name="page36"/>
    <w:bookmarkEnd w:id="3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BALANCE SHEETS</w:t>
      </w:r>
    </w:p>
    <w:p>
      <w:pPr>
        <w:spacing w:after="0" w:line="200" w:lineRule="exact"/>
        <w:rPr>
          <w:sz w:val="20"/>
          <w:szCs w:val="20"/>
          <w:color w:val="auto"/>
        </w:rPr>
      </w:pP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354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spacing w:after="0"/>
              <w:rPr>
                <w:sz w:val="20"/>
                <w:szCs w:val="20"/>
                <w:color w:val="auto"/>
              </w:rPr>
            </w:pPr>
          </w:p>
        </w:tc>
        <w:tc>
          <w:tcPr>
            <w:tcW w:w="1680" w:type="dxa"/>
            <w:vAlign w:val="bottom"/>
            <w:tcBorders>
              <w:bottom w:val="single" w:sz="8" w:color="auto"/>
            </w:tcBorders>
            <w:gridSpan w:val="4"/>
          </w:tcPr>
          <w:p>
            <w:pPr>
              <w:jc w:val="center"/>
              <w:ind w:right="60"/>
              <w:spacing w:after="0"/>
              <w:rPr>
                <w:sz w:val="20"/>
                <w:szCs w:val="20"/>
                <w:color w:val="auto"/>
              </w:rPr>
            </w:pPr>
            <w:r>
              <w:rPr>
                <w:rFonts w:ascii="Arial" w:cs="Arial" w:eastAsia="Arial" w:hAnsi="Arial"/>
                <w:sz w:val="16"/>
                <w:szCs w:val="16"/>
                <w:b w:val="1"/>
                <w:bCs w:val="1"/>
                <w:color w:val="auto"/>
              </w:rPr>
              <w:t>December 31, 2016</w:t>
            </w:r>
          </w:p>
        </w:tc>
        <w:tc>
          <w:tcPr>
            <w:tcW w:w="20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spacing w:after="0"/>
              <w:rPr>
                <w:sz w:val="20"/>
                <w:szCs w:val="20"/>
                <w:color w:val="auto"/>
              </w:rPr>
            </w:pPr>
          </w:p>
        </w:tc>
      </w:tr>
      <w:tr>
        <w:trPr>
          <w:trHeight w:val="264"/>
        </w:trPr>
        <w:tc>
          <w:tcPr>
            <w:tcW w:w="3540" w:type="dxa"/>
            <w:vAlign w:val="bottom"/>
          </w:tcPr>
          <w:p>
            <w:pPr>
              <w:spacing w:after="0"/>
              <w:rPr>
                <w:sz w:val="22"/>
                <w:szCs w:val="22"/>
                <w:color w:val="auto"/>
              </w:rPr>
            </w:pPr>
          </w:p>
        </w:tc>
        <w:tc>
          <w:tcPr>
            <w:tcW w:w="1640" w:type="dxa"/>
            <w:vAlign w:val="bottom"/>
            <w:tcBorders>
              <w:bottom w:val="single" w:sz="8" w:color="auto"/>
            </w:tcBorders>
            <w:gridSpan w:val="3"/>
          </w:tcPr>
          <w:p>
            <w:pPr>
              <w:ind w:left="100"/>
              <w:spacing w:after="0"/>
              <w:rPr>
                <w:sz w:val="20"/>
                <w:szCs w:val="20"/>
                <w:color w:val="auto"/>
              </w:rPr>
            </w:pPr>
            <w:r>
              <w:rPr>
                <w:rFonts w:ascii="Arial" w:cs="Arial" w:eastAsia="Arial" w:hAnsi="Arial"/>
                <w:sz w:val="16"/>
                <w:szCs w:val="16"/>
                <w:b w:val="1"/>
                <w:bCs w:val="1"/>
                <w:color w:val="auto"/>
              </w:rPr>
              <w:t>Parent Guarantor</w:t>
            </w:r>
          </w:p>
        </w:tc>
        <w:tc>
          <w:tcPr>
            <w:tcW w:w="150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b w:val="1"/>
                <w:bCs w:val="1"/>
                <w:color w:val="auto"/>
              </w:rPr>
              <w:t>Other Guarantors</w:t>
            </w:r>
          </w:p>
        </w:tc>
        <w:tc>
          <w:tcPr>
            <w:tcW w:w="100" w:type="dxa"/>
            <w:vAlign w:val="bottom"/>
            <w:tcBorders>
              <w:bottom w:val="single" w:sz="8" w:color="auto"/>
            </w:tcBorders>
          </w:tcPr>
          <w:p>
            <w:pPr>
              <w:spacing w:after="0"/>
              <w:rPr>
                <w:sz w:val="22"/>
                <w:szCs w:val="22"/>
                <w:color w:val="auto"/>
              </w:rPr>
            </w:pPr>
          </w:p>
        </w:tc>
        <w:tc>
          <w:tcPr>
            <w:tcW w:w="1580" w:type="dxa"/>
            <w:vAlign w:val="bottom"/>
            <w:tcBorders>
              <w:bottom w:val="single" w:sz="8" w:color="auto"/>
            </w:tcBorders>
            <w:gridSpan w:val="3"/>
          </w:tcPr>
          <w:p>
            <w:pPr>
              <w:ind w:left="120"/>
              <w:spacing w:after="0"/>
              <w:rPr>
                <w:sz w:val="20"/>
                <w:szCs w:val="20"/>
                <w:color w:val="auto"/>
              </w:rPr>
            </w:pPr>
            <w:r>
              <w:rPr>
                <w:rFonts w:ascii="Arial" w:cs="Arial" w:eastAsia="Arial" w:hAnsi="Arial"/>
                <w:sz w:val="16"/>
                <w:szCs w:val="16"/>
                <w:b w:val="1"/>
                <w:bCs w:val="1"/>
                <w:color w:val="auto"/>
              </w:rPr>
              <w:t>Non-Guarantors</w:t>
            </w:r>
          </w:p>
        </w:tc>
        <w:tc>
          <w:tcPr>
            <w:tcW w:w="20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gridSpan w:val="2"/>
          </w:tcPr>
          <w:p>
            <w:pPr>
              <w:ind w:left="60"/>
              <w:spacing w:after="0"/>
              <w:rPr>
                <w:sz w:val="20"/>
                <w:szCs w:val="20"/>
                <w:color w:val="auto"/>
              </w:rPr>
            </w:pPr>
            <w:r>
              <w:rPr>
                <w:rFonts w:ascii="Arial" w:cs="Arial" w:eastAsia="Arial" w:hAnsi="Arial"/>
                <w:sz w:val="16"/>
                <w:szCs w:val="16"/>
                <w:b w:val="1"/>
                <w:bCs w:val="1"/>
                <w:color w:val="auto"/>
              </w:rPr>
              <w:t>Eliminations</w:t>
            </w:r>
          </w:p>
        </w:tc>
        <w:tc>
          <w:tcPr>
            <w:tcW w:w="18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b w:val="1"/>
                <w:bCs w:val="1"/>
                <w:color w:val="auto"/>
              </w:rPr>
              <w:t>Consolidated</w:t>
            </w:r>
          </w:p>
        </w:tc>
      </w:tr>
      <w:tr>
        <w:trPr>
          <w:trHeight w:val="233"/>
        </w:trPr>
        <w:tc>
          <w:tcPr>
            <w:tcW w:w="35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8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rPr>
              <w:t>(In millions)</w:t>
            </w:r>
          </w:p>
        </w:tc>
        <w:tc>
          <w:tcPr>
            <w:tcW w:w="2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tcPr>
          <w:p>
            <w:pPr>
              <w:spacing w:after="0"/>
              <w:rPr>
                <w:sz w:val="20"/>
                <w:szCs w:val="20"/>
                <w:color w:val="auto"/>
              </w:rPr>
            </w:pPr>
          </w:p>
        </w:tc>
      </w:tr>
      <w:tr>
        <w:trPr>
          <w:trHeight w:val="21"/>
        </w:trPr>
        <w:tc>
          <w:tcPr>
            <w:tcW w:w="35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r>
        <w:trPr>
          <w:trHeight w:val="243"/>
        </w:trPr>
        <w:tc>
          <w:tcPr>
            <w:tcW w:w="354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2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340" w:type="dxa"/>
            <w:vAlign w:val="bottom"/>
            <w:shd w:val="clear" w:color="auto" w:fill="CCEEFF"/>
          </w:tcPr>
          <w:p>
            <w:pPr>
              <w:jc w:val="right"/>
              <w:ind w:right="559"/>
              <w:spacing w:after="0"/>
              <w:rPr>
                <w:sz w:val="20"/>
                <w:szCs w:val="20"/>
                <w:color w:val="auto"/>
              </w:rPr>
            </w:pPr>
            <w:r>
              <w:rPr>
                <w:rFonts w:ascii="Arial" w:cs="Arial" w:eastAsia="Arial" w:hAnsi="Arial"/>
                <w:sz w:val="16"/>
                <w:szCs w:val="16"/>
                <w:b w:val="1"/>
                <w:bCs w:val="1"/>
                <w:color w:val="auto"/>
              </w:rPr>
              <w:t>ASSETS</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2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2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300" w:type="dxa"/>
            <w:vAlign w:val="bottom"/>
            <w:shd w:val="clear" w:color="auto" w:fill="CCEEFF"/>
          </w:tcPr>
          <w:p>
            <w:pPr>
              <w:spacing w:after="0"/>
              <w:rPr>
                <w:sz w:val="21"/>
                <w:szCs w:val="21"/>
                <w:color w:val="auto"/>
              </w:rPr>
            </w:pPr>
          </w:p>
        </w:tc>
      </w:tr>
      <w:tr>
        <w:trPr>
          <w:trHeight w:val="228"/>
        </w:trPr>
        <w:tc>
          <w:tcPr>
            <w:tcW w:w="3540" w:type="dxa"/>
            <w:vAlign w:val="bottom"/>
          </w:tcPr>
          <w:p>
            <w:pPr>
              <w:ind w:left="40"/>
              <w:spacing w:after="0"/>
              <w:rPr>
                <w:sz w:val="20"/>
                <w:szCs w:val="20"/>
                <w:color w:val="auto"/>
              </w:rPr>
            </w:pPr>
            <w:r>
              <w:rPr>
                <w:rFonts w:ascii="Arial" w:cs="Arial" w:eastAsia="Arial" w:hAnsi="Arial"/>
                <w:sz w:val="16"/>
                <w:szCs w:val="16"/>
                <w:color w:val="auto"/>
              </w:rPr>
              <w:t>Current assets:</w:t>
            </w:r>
          </w:p>
        </w:tc>
        <w:tc>
          <w:tcPr>
            <w:tcW w:w="3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spacing w:after="0"/>
              <w:rPr>
                <w:sz w:val="19"/>
                <w:szCs w:val="19"/>
                <w:color w:val="auto"/>
              </w:rPr>
            </w:pPr>
          </w:p>
        </w:tc>
      </w:tr>
      <w:tr>
        <w:trPr>
          <w:trHeight w:val="43"/>
        </w:trPr>
        <w:tc>
          <w:tcPr>
            <w:tcW w:w="3540" w:type="dxa"/>
            <w:vAlign w:val="bottom"/>
          </w:tcPr>
          <w:p>
            <w:pPr>
              <w:spacing w:after="0"/>
              <w:rPr>
                <w:sz w:val="3"/>
                <w:szCs w:val="3"/>
                <w:color w:val="auto"/>
              </w:rPr>
            </w:pPr>
          </w:p>
        </w:tc>
        <w:tc>
          <w:tcPr>
            <w:tcW w:w="300" w:type="dxa"/>
            <w:vAlign w:val="bottom"/>
          </w:tcPr>
          <w:p>
            <w:pPr>
              <w:spacing w:after="0"/>
              <w:rPr>
                <w:sz w:val="3"/>
                <w:szCs w:val="3"/>
                <w:color w:val="auto"/>
              </w:rPr>
            </w:pPr>
          </w:p>
        </w:tc>
        <w:tc>
          <w:tcPr>
            <w:tcW w:w="12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3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1300" w:type="dxa"/>
            <w:vAlign w:val="bottom"/>
          </w:tcPr>
          <w:p>
            <w:pPr>
              <w:spacing w:after="0"/>
              <w:rPr>
                <w:sz w:val="3"/>
                <w:szCs w:val="3"/>
                <w:color w:val="auto"/>
              </w:rPr>
            </w:pPr>
          </w:p>
        </w:tc>
      </w:tr>
      <w:tr>
        <w:trPr>
          <w:trHeight w:val="270"/>
        </w:trPr>
        <w:tc>
          <w:tcPr>
            <w:tcW w:w="3540" w:type="dxa"/>
            <w:vAlign w:val="bottom"/>
            <w:shd w:val="clear" w:color="auto" w:fill="CCEEFF"/>
          </w:tcPr>
          <w:p>
            <w:pPr>
              <w:ind w:left="180"/>
              <w:spacing w:after="0"/>
              <w:rPr>
                <w:sz w:val="20"/>
                <w:szCs w:val="20"/>
                <w:color w:val="auto"/>
              </w:rPr>
            </w:pPr>
            <w:r>
              <w:rPr>
                <w:rFonts w:ascii="Arial" w:cs="Arial" w:eastAsia="Arial" w:hAnsi="Arial"/>
                <w:sz w:val="16"/>
                <w:szCs w:val="16"/>
                <w:color w:val="auto"/>
              </w:rPr>
              <w:t>Cash and cash equivalents</w:t>
            </w:r>
          </w:p>
        </w:tc>
        <w:tc>
          <w:tcPr>
            <w:tcW w:w="3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86</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6</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2,727</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8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2,819</w:t>
            </w:r>
          </w:p>
        </w:tc>
      </w:tr>
      <w:tr>
        <w:trPr>
          <w:trHeight w:val="262"/>
        </w:trPr>
        <w:tc>
          <w:tcPr>
            <w:tcW w:w="3540" w:type="dxa"/>
            <w:vAlign w:val="bottom"/>
          </w:tcPr>
          <w:p>
            <w:pPr>
              <w:ind w:left="180"/>
              <w:spacing w:after="0"/>
              <w:rPr>
                <w:sz w:val="20"/>
                <w:szCs w:val="20"/>
                <w:color w:val="auto"/>
              </w:rPr>
            </w:pPr>
            <w:r>
              <w:rPr>
                <w:rFonts w:ascii="Arial" w:cs="Arial" w:eastAsia="Arial" w:hAnsi="Arial"/>
                <w:sz w:val="16"/>
                <w:szCs w:val="16"/>
                <w:color w:val="auto"/>
              </w:rPr>
              <w:t>Investments</w:t>
            </w:r>
          </w:p>
        </w:tc>
        <w:tc>
          <w:tcPr>
            <w:tcW w:w="300" w:type="dxa"/>
            <w:vAlign w:val="bottom"/>
          </w:tcPr>
          <w:p>
            <w:pPr>
              <w:spacing w:after="0"/>
              <w:rPr>
                <w:sz w:val="22"/>
                <w:szCs w:val="22"/>
                <w:color w:val="auto"/>
              </w:rPr>
            </w:pPr>
          </w:p>
        </w:tc>
        <w:tc>
          <w:tcPr>
            <w:tcW w:w="1220" w:type="dxa"/>
            <w:vAlign w:val="bottom"/>
          </w:tcPr>
          <w:p>
            <w:pPr>
              <w:jc w:val="right"/>
              <w:ind w:right="39"/>
              <w:spacing w:after="0"/>
              <w:rPr>
                <w:sz w:val="20"/>
                <w:szCs w:val="20"/>
                <w:color w:val="auto"/>
              </w:rPr>
            </w:pPr>
            <w:r>
              <w:rPr>
                <w:rFonts w:ascii="Arial" w:cs="Arial" w:eastAsia="Arial" w:hAnsi="Arial"/>
                <w:sz w:val="16"/>
                <w:szCs w:val="16"/>
                <w:color w:val="auto"/>
              </w:rPr>
              <w:t>178</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4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80" w:type="dxa"/>
            <w:vAlign w:val="bottom"/>
          </w:tcPr>
          <w:p>
            <w:pPr>
              <w:jc w:val="right"/>
              <w:ind w:right="19"/>
              <w:spacing w:after="0"/>
              <w:rPr>
                <w:sz w:val="20"/>
                <w:szCs w:val="20"/>
                <w:color w:val="auto"/>
              </w:rPr>
            </w:pPr>
            <w:r>
              <w:rPr>
                <w:rFonts w:ascii="Arial" w:cs="Arial" w:eastAsia="Arial" w:hAnsi="Arial"/>
                <w:sz w:val="16"/>
                <w:szCs w:val="16"/>
                <w:color w:val="auto"/>
              </w:rPr>
              <w:t>1,580</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3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2"/>
                <w:szCs w:val="22"/>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1,758</w:t>
            </w:r>
          </w:p>
        </w:tc>
      </w:tr>
      <w:tr>
        <w:trPr>
          <w:trHeight w:val="278"/>
        </w:trPr>
        <w:tc>
          <w:tcPr>
            <w:tcW w:w="3540" w:type="dxa"/>
            <w:vAlign w:val="bottom"/>
            <w:shd w:val="clear" w:color="auto" w:fill="CCEEFF"/>
          </w:tcPr>
          <w:p>
            <w:pPr>
              <w:ind w:left="180"/>
              <w:spacing w:after="0"/>
              <w:rPr>
                <w:sz w:val="20"/>
                <w:szCs w:val="20"/>
                <w:color w:val="auto"/>
              </w:rPr>
            </w:pPr>
            <w:r>
              <w:rPr>
                <w:rFonts w:ascii="Arial" w:cs="Arial" w:eastAsia="Arial" w:hAnsi="Arial"/>
                <w:sz w:val="16"/>
                <w:szCs w:val="16"/>
                <w:color w:val="auto"/>
              </w:rPr>
              <w:t>Receivables</w:t>
            </w:r>
          </w:p>
        </w:tc>
        <w:tc>
          <w:tcPr>
            <w:tcW w:w="30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3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34</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2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938</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38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24"/>
                <w:szCs w:val="24"/>
                <w:color w:val="auto"/>
              </w:rPr>
            </w:pPr>
          </w:p>
        </w:tc>
        <w:tc>
          <w:tcPr>
            <w:tcW w:w="13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974</w:t>
            </w:r>
          </w:p>
        </w:tc>
      </w:tr>
      <w:tr>
        <w:trPr>
          <w:trHeight w:val="262"/>
        </w:trPr>
        <w:tc>
          <w:tcPr>
            <w:tcW w:w="3540" w:type="dxa"/>
            <w:vAlign w:val="bottom"/>
          </w:tcPr>
          <w:p>
            <w:pPr>
              <w:ind w:left="180"/>
              <w:spacing w:after="0"/>
              <w:rPr>
                <w:sz w:val="20"/>
                <w:szCs w:val="20"/>
                <w:color w:val="auto"/>
              </w:rPr>
            </w:pPr>
            <w:r>
              <w:rPr>
                <w:rFonts w:ascii="Arial" w:cs="Arial" w:eastAsia="Arial" w:hAnsi="Arial"/>
                <w:sz w:val="16"/>
                <w:szCs w:val="16"/>
                <w:color w:val="auto"/>
              </w:rPr>
              <w:t>Income tax refundable</w:t>
            </w:r>
          </w:p>
        </w:tc>
        <w:tc>
          <w:tcPr>
            <w:tcW w:w="300" w:type="dxa"/>
            <w:vAlign w:val="bottom"/>
          </w:tcPr>
          <w:p>
            <w:pPr>
              <w:spacing w:after="0"/>
              <w:rPr>
                <w:sz w:val="22"/>
                <w:szCs w:val="22"/>
                <w:color w:val="auto"/>
              </w:rPr>
            </w:pPr>
          </w:p>
        </w:tc>
        <w:tc>
          <w:tcPr>
            <w:tcW w:w="1220" w:type="dxa"/>
            <w:vAlign w:val="bottom"/>
          </w:tcPr>
          <w:p>
            <w:pPr>
              <w:jc w:val="right"/>
              <w:ind w:right="39"/>
              <w:spacing w:after="0"/>
              <w:rPr>
                <w:sz w:val="20"/>
                <w:szCs w:val="20"/>
                <w:color w:val="auto"/>
              </w:rPr>
            </w:pPr>
            <w:r>
              <w:rPr>
                <w:rFonts w:ascii="Arial" w:cs="Arial" w:eastAsia="Arial" w:hAnsi="Arial"/>
                <w:sz w:val="16"/>
                <w:szCs w:val="16"/>
                <w:color w:val="auto"/>
              </w:rPr>
              <w:t>17</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40" w:type="dxa"/>
            <w:vAlign w:val="bottom"/>
          </w:tcPr>
          <w:p>
            <w:pPr>
              <w:jc w:val="right"/>
              <w:ind w:right="19"/>
              <w:spacing w:after="0"/>
              <w:rPr>
                <w:sz w:val="20"/>
                <w:szCs w:val="20"/>
                <w:color w:val="auto"/>
              </w:rPr>
            </w:pPr>
            <w:r>
              <w:rPr>
                <w:rFonts w:ascii="Arial" w:cs="Arial" w:eastAsia="Arial" w:hAnsi="Arial"/>
                <w:sz w:val="16"/>
                <w:szCs w:val="16"/>
                <w:color w:val="auto"/>
              </w:rPr>
              <w:t>4</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80" w:type="dxa"/>
            <w:vAlign w:val="bottom"/>
          </w:tcPr>
          <w:p>
            <w:pPr>
              <w:jc w:val="right"/>
              <w:ind w:right="19"/>
              <w:spacing w:after="0"/>
              <w:rPr>
                <w:sz w:val="20"/>
                <w:szCs w:val="20"/>
                <w:color w:val="auto"/>
              </w:rPr>
            </w:pPr>
            <w:r>
              <w:rPr>
                <w:rFonts w:ascii="Arial" w:cs="Arial" w:eastAsia="Arial" w:hAnsi="Arial"/>
                <w:sz w:val="16"/>
                <w:szCs w:val="16"/>
                <w:color w:val="auto"/>
              </w:rPr>
              <w:t>18</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3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2"/>
                <w:szCs w:val="22"/>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39</w:t>
            </w:r>
          </w:p>
        </w:tc>
      </w:tr>
      <w:tr>
        <w:trPr>
          <w:trHeight w:val="278"/>
        </w:trPr>
        <w:tc>
          <w:tcPr>
            <w:tcW w:w="3540" w:type="dxa"/>
            <w:vAlign w:val="bottom"/>
            <w:shd w:val="clear" w:color="auto" w:fill="CCEEFF"/>
          </w:tcPr>
          <w:p>
            <w:pPr>
              <w:ind w:left="180"/>
              <w:spacing w:after="0"/>
              <w:rPr>
                <w:sz w:val="20"/>
                <w:szCs w:val="20"/>
                <w:color w:val="auto"/>
              </w:rPr>
            </w:pPr>
            <w:r>
              <w:rPr>
                <w:rFonts w:ascii="Arial" w:cs="Arial" w:eastAsia="Arial" w:hAnsi="Arial"/>
                <w:sz w:val="16"/>
                <w:szCs w:val="16"/>
                <w:color w:val="auto"/>
              </w:rPr>
              <w:t>Due from (to) affiliates</w:t>
            </w:r>
          </w:p>
        </w:tc>
        <w:tc>
          <w:tcPr>
            <w:tcW w:w="30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104</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(99)</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38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24"/>
                <w:szCs w:val="24"/>
                <w:color w:val="auto"/>
              </w:rPr>
            </w:pPr>
          </w:p>
        </w:tc>
        <w:tc>
          <w:tcPr>
            <w:tcW w:w="13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62"/>
        </w:trPr>
        <w:tc>
          <w:tcPr>
            <w:tcW w:w="3540" w:type="dxa"/>
            <w:vAlign w:val="bottom"/>
          </w:tcPr>
          <w:p>
            <w:pPr>
              <w:ind w:left="180"/>
              <w:spacing w:after="0"/>
              <w:rPr>
                <w:sz w:val="20"/>
                <w:szCs w:val="20"/>
                <w:color w:val="auto"/>
              </w:rPr>
            </w:pPr>
            <w:r>
              <w:rPr>
                <w:rFonts w:ascii="Arial" w:cs="Arial" w:eastAsia="Arial" w:hAnsi="Arial"/>
                <w:sz w:val="16"/>
                <w:szCs w:val="16"/>
                <w:color w:val="auto"/>
              </w:rPr>
              <w:t>Prepaid expenses and other current assets</w:t>
            </w:r>
          </w:p>
        </w:tc>
        <w:tc>
          <w:tcPr>
            <w:tcW w:w="300" w:type="dxa"/>
            <w:vAlign w:val="bottom"/>
          </w:tcPr>
          <w:p>
            <w:pPr>
              <w:spacing w:after="0"/>
              <w:rPr>
                <w:sz w:val="22"/>
                <w:szCs w:val="22"/>
                <w:color w:val="auto"/>
              </w:rPr>
            </w:pPr>
          </w:p>
        </w:tc>
        <w:tc>
          <w:tcPr>
            <w:tcW w:w="1220" w:type="dxa"/>
            <w:vAlign w:val="bottom"/>
          </w:tcPr>
          <w:p>
            <w:pPr>
              <w:jc w:val="right"/>
              <w:ind w:right="39"/>
              <w:spacing w:after="0"/>
              <w:rPr>
                <w:sz w:val="20"/>
                <w:szCs w:val="20"/>
                <w:color w:val="auto"/>
              </w:rPr>
            </w:pPr>
            <w:r>
              <w:rPr>
                <w:rFonts w:ascii="Arial" w:cs="Arial" w:eastAsia="Arial" w:hAnsi="Arial"/>
                <w:sz w:val="16"/>
                <w:szCs w:val="16"/>
                <w:color w:val="auto"/>
              </w:rPr>
              <w:t>58</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40" w:type="dxa"/>
            <w:vAlign w:val="bottom"/>
          </w:tcPr>
          <w:p>
            <w:pPr>
              <w:jc w:val="right"/>
              <w:ind w:right="19"/>
              <w:spacing w:after="0"/>
              <w:rPr>
                <w:sz w:val="20"/>
                <w:szCs w:val="20"/>
                <w:color w:val="auto"/>
              </w:rPr>
            </w:pPr>
            <w:r>
              <w:rPr>
                <w:rFonts w:ascii="Arial" w:cs="Arial" w:eastAsia="Arial" w:hAnsi="Arial"/>
                <w:sz w:val="16"/>
                <w:szCs w:val="16"/>
                <w:color w:val="auto"/>
              </w:rPr>
              <w:t>30</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80" w:type="dxa"/>
            <w:vAlign w:val="bottom"/>
          </w:tcPr>
          <w:p>
            <w:pPr>
              <w:jc w:val="right"/>
              <w:ind w:right="19"/>
              <w:spacing w:after="0"/>
              <w:rPr>
                <w:sz w:val="20"/>
                <w:szCs w:val="20"/>
                <w:color w:val="auto"/>
              </w:rPr>
            </w:pPr>
            <w:r>
              <w:rPr>
                <w:rFonts w:ascii="Arial" w:cs="Arial" w:eastAsia="Arial" w:hAnsi="Arial"/>
                <w:sz w:val="16"/>
                <w:szCs w:val="16"/>
                <w:color w:val="auto"/>
              </w:rPr>
              <w:t>43</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3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2"/>
                <w:szCs w:val="22"/>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131</w:t>
            </w:r>
          </w:p>
        </w:tc>
      </w:tr>
      <w:tr>
        <w:trPr>
          <w:trHeight w:val="278"/>
        </w:trPr>
        <w:tc>
          <w:tcPr>
            <w:tcW w:w="3540" w:type="dxa"/>
            <w:vAlign w:val="bottom"/>
            <w:shd w:val="clear" w:color="auto" w:fill="CCEEFF"/>
          </w:tcPr>
          <w:p>
            <w:pPr>
              <w:ind w:left="180"/>
              <w:spacing w:after="0"/>
              <w:rPr>
                <w:sz w:val="20"/>
                <w:szCs w:val="20"/>
                <w:color w:val="auto"/>
              </w:rPr>
            </w:pPr>
            <w:r>
              <w:rPr>
                <w:rFonts w:ascii="Arial" w:cs="Arial" w:eastAsia="Arial" w:hAnsi="Arial"/>
                <w:sz w:val="16"/>
                <w:szCs w:val="16"/>
                <w:color w:val="auto"/>
              </w:rPr>
              <w:t>Derivative asset</w:t>
            </w:r>
          </w:p>
        </w:tc>
        <w:tc>
          <w:tcPr>
            <w:tcW w:w="300" w:type="dxa"/>
            <w:vAlign w:val="bottom"/>
            <w:tcBorders>
              <w:bottom w:val="single" w:sz="8" w:color="auto"/>
            </w:tcBorders>
            <w:shd w:val="clear" w:color="auto" w:fill="CCEEFF"/>
          </w:tcPr>
          <w:p>
            <w:pPr>
              <w:spacing w:after="0"/>
              <w:rPr>
                <w:sz w:val="24"/>
                <w:szCs w:val="24"/>
                <w:color w:val="auto"/>
              </w:rPr>
            </w:pPr>
          </w:p>
        </w:tc>
        <w:tc>
          <w:tcPr>
            <w:tcW w:w="1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267</w:t>
            </w:r>
          </w:p>
        </w:tc>
        <w:tc>
          <w:tcPr>
            <w:tcW w:w="120" w:type="dxa"/>
            <w:vAlign w:val="bottom"/>
            <w:shd w:val="clear" w:color="auto" w:fill="CCEEFF"/>
          </w:tcPr>
          <w:p>
            <w:pPr>
              <w:spacing w:after="0"/>
              <w:rPr>
                <w:sz w:val="24"/>
                <w:szCs w:val="24"/>
                <w:color w:val="auto"/>
              </w:rPr>
            </w:pPr>
          </w:p>
        </w:tc>
        <w:tc>
          <w:tcPr>
            <w:tcW w:w="160" w:type="dxa"/>
            <w:vAlign w:val="bottom"/>
            <w:tcBorders>
              <w:bottom w:val="single" w:sz="8" w:color="auto"/>
            </w:tcBorders>
            <w:shd w:val="clear" w:color="auto" w:fill="CCEEFF"/>
          </w:tcPr>
          <w:p>
            <w:pPr>
              <w:spacing w:after="0"/>
              <w:rPr>
                <w:sz w:val="24"/>
                <w:szCs w:val="24"/>
                <w:color w:val="auto"/>
              </w:rPr>
            </w:pPr>
          </w:p>
        </w:tc>
        <w:tc>
          <w:tcPr>
            <w:tcW w:w="13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24"/>
                <w:szCs w:val="24"/>
                <w:color w:val="auto"/>
              </w:rPr>
            </w:pPr>
          </w:p>
        </w:tc>
        <w:tc>
          <w:tcPr>
            <w:tcW w:w="200" w:type="dxa"/>
            <w:vAlign w:val="bottom"/>
            <w:tcBorders>
              <w:bottom w:val="single" w:sz="8" w:color="auto"/>
            </w:tcBorders>
            <w:shd w:val="clear" w:color="auto" w:fill="CCEEFF"/>
          </w:tcPr>
          <w:p>
            <w:pPr>
              <w:spacing w:after="0"/>
              <w:rPr>
                <w:sz w:val="24"/>
                <w:szCs w:val="24"/>
                <w:color w:val="auto"/>
              </w:rPr>
            </w:pPr>
          </w:p>
        </w:tc>
        <w:tc>
          <w:tcPr>
            <w:tcW w:w="12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24"/>
                <w:szCs w:val="24"/>
                <w:color w:val="auto"/>
              </w:rPr>
            </w:pPr>
          </w:p>
        </w:tc>
        <w:tc>
          <w:tcPr>
            <w:tcW w:w="200" w:type="dxa"/>
            <w:vAlign w:val="bottom"/>
            <w:tcBorders>
              <w:bottom w:val="single" w:sz="8" w:color="auto"/>
            </w:tcBorders>
            <w:shd w:val="clear" w:color="auto" w:fill="CCEEFF"/>
          </w:tcPr>
          <w:p>
            <w:pPr>
              <w:spacing w:after="0"/>
              <w:rPr>
                <w:sz w:val="24"/>
                <w:szCs w:val="24"/>
                <w:color w:val="auto"/>
              </w:rPr>
            </w:pPr>
          </w:p>
        </w:tc>
        <w:tc>
          <w:tcPr>
            <w:tcW w:w="12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24"/>
                <w:szCs w:val="24"/>
                <w:color w:val="auto"/>
              </w:rPr>
            </w:pPr>
          </w:p>
        </w:tc>
        <w:tc>
          <w:tcPr>
            <w:tcW w:w="180" w:type="dxa"/>
            <w:vAlign w:val="bottom"/>
            <w:tcBorders>
              <w:bottom w:val="single" w:sz="8" w:color="auto"/>
            </w:tcBorders>
            <w:shd w:val="clear" w:color="auto" w:fill="CCEEFF"/>
          </w:tcPr>
          <w:p>
            <w:pPr>
              <w:spacing w:after="0"/>
              <w:rPr>
                <w:sz w:val="24"/>
                <w:szCs w:val="24"/>
                <w:color w:val="auto"/>
              </w:rPr>
            </w:pPr>
          </w:p>
        </w:tc>
        <w:tc>
          <w:tcPr>
            <w:tcW w:w="13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267</w:t>
            </w:r>
          </w:p>
        </w:tc>
      </w:tr>
      <w:tr>
        <w:trPr>
          <w:trHeight w:val="242"/>
        </w:trPr>
        <w:tc>
          <w:tcPr>
            <w:tcW w:w="3540" w:type="dxa"/>
            <w:vAlign w:val="bottom"/>
          </w:tcPr>
          <w:p>
            <w:pPr>
              <w:ind w:left="280"/>
              <w:spacing w:after="0"/>
              <w:rPr>
                <w:sz w:val="20"/>
                <w:szCs w:val="20"/>
                <w:color w:val="auto"/>
              </w:rPr>
            </w:pPr>
            <w:r>
              <w:rPr>
                <w:rFonts w:ascii="Arial" w:cs="Arial" w:eastAsia="Arial" w:hAnsi="Arial"/>
                <w:sz w:val="16"/>
                <w:szCs w:val="16"/>
                <w:color w:val="auto"/>
              </w:rPr>
              <w:t>Total current assets</w:t>
            </w:r>
          </w:p>
        </w:tc>
        <w:tc>
          <w:tcPr>
            <w:tcW w:w="300" w:type="dxa"/>
            <w:vAlign w:val="bottom"/>
          </w:tcPr>
          <w:p>
            <w:pPr>
              <w:spacing w:after="0"/>
              <w:rPr>
                <w:sz w:val="21"/>
                <w:szCs w:val="21"/>
                <w:color w:val="auto"/>
              </w:rPr>
            </w:pPr>
          </w:p>
        </w:tc>
        <w:tc>
          <w:tcPr>
            <w:tcW w:w="1220" w:type="dxa"/>
            <w:vAlign w:val="bottom"/>
          </w:tcPr>
          <w:p>
            <w:pPr>
              <w:jc w:val="right"/>
              <w:ind w:right="39"/>
              <w:spacing w:after="0"/>
              <w:rPr>
                <w:sz w:val="20"/>
                <w:szCs w:val="20"/>
                <w:color w:val="auto"/>
              </w:rPr>
            </w:pPr>
            <w:r>
              <w:rPr>
                <w:rFonts w:ascii="Arial" w:cs="Arial" w:eastAsia="Arial" w:hAnsi="Arial"/>
                <w:sz w:val="16"/>
                <w:szCs w:val="16"/>
                <w:color w:val="auto"/>
              </w:rPr>
              <w:t>712</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40" w:type="dxa"/>
            <w:vAlign w:val="bottom"/>
          </w:tcPr>
          <w:p>
            <w:pPr>
              <w:jc w:val="right"/>
              <w:ind w:right="19"/>
              <w:spacing w:after="0"/>
              <w:rPr>
                <w:sz w:val="20"/>
                <w:szCs w:val="20"/>
                <w:color w:val="auto"/>
              </w:rPr>
            </w:pPr>
            <w:r>
              <w:rPr>
                <w:rFonts w:ascii="Arial" w:cs="Arial" w:eastAsia="Arial" w:hAnsi="Arial"/>
                <w:sz w:val="16"/>
                <w:szCs w:val="16"/>
                <w:color w:val="auto"/>
              </w:rPr>
              <w:t>69</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ind w:right="19"/>
              <w:spacing w:after="0"/>
              <w:rPr>
                <w:sz w:val="20"/>
                <w:szCs w:val="20"/>
                <w:color w:val="auto"/>
              </w:rPr>
            </w:pPr>
            <w:r>
              <w:rPr>
                <w:rFonts w:ascii="Arial" w:cs="Arial" w:eastAsia="Arial" w:hAnsi="Arial"/>
                <w:sz w:val="16"/>
                <w:szCs w:val="16"/>
                <w:color w:val="auto"/>
              </w:rPr>
              <w:t>5,207</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1"/>
                <w:szCs w:val="21"/>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5,988</w:t>
            </w:r>
          </w:p>
        </w:tc>
      </w:tr>
      <w:tr>
        <w:trPr>
          <w:trHeight w:val="206"/>
        </w:trPr>
        <w:tc>
          <w:tcPr>
            <w:tcW w:w="3540" w:type="dxa"/>
            <w:vAlign w:val="bottom"/>
            <w:shd w:val="clear" w:color="auto" w:fill="CCEEFF"/>
          </w:tcPr>
          <w:p>
            <w:pPr>
              <w:ind w:left="40"/>
              <w:spacing w:after="0"/>
              <w:rPr>
                <w:sz w:val="20"/>
                <w:szCs w:val="20"/>
                <w:color w:val="auto"/>
              </w:rPr>
            </w:pPr>
            <w:r>
              <w:rPr>
                <w:rFonts w:ascii="Arial" w:cs="Arial" w:eastAsia="Arial" w:hAnsi="Arial"/>
                <w:sz w:val="16"/>
                <w:szCs w:val="16"/>
                <w:color w:val="auto"/>
              </w:rPr>
              <w:t>Property, equipment, and capitalized software,</w:t>
            </w:r>
          </w:p>
        </w:tc>
        <w:tc>
          <w:tcPr>
            <w:tcW w:w="30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r>
      <w:tr>
        <w:trPr>
          <w:trHeight w:val="234"/>
        </w:trPr>
        <w:tc>
          <w:tcPr>
            <w:tcW w:w="3540" w:type="dxa"/>
            <w:vAlign w:val="bottom"/>
            <w:shd w:val="clear" w:color="auto" w:fill="CCEEFF"/>
          </w:tcPr>
          <w:p>
            <w:pPr>
              <w:ind w:left="200"/>
              <w:spacing w:after="0"/>
              <w:rPr>
                <w:sz w:val="20"/>
                <w:szCs w:val="20"/>
                <w:color w:val="auto"/>
              </w:rPr>
            </w:pPr>
            <w:r>
              <w:rPr>
                <w:rFonts w:ascii="Arial" w:cs="Arial" w:eastAsia="Arial" w:hAnsi="Arial"/>
                <w:sz w:val="16"/>
                <w:szCs w:val="16"/>
                <w:color w:val="auto"/>
              </w:rPr>
              <w:t>net</w:t>
            </w:r>
          </w:p>
        </w:tc>
        <w:tc>
          <w:tcPr>
            <w:tcW w:w="300" w:type="dxa"/>
            <w:vAlign w:val="bottom"/>
            <w:shd w:val="clear" w:color="auto" w:fill="CCEEFF"/>
          </w:tcPr>
          <w:p>
            <w:pPr>
              <w:spacing w:after="0"/>
              <w:rPr>
                <w:sz w:val="20"/>
                <w:szCs w:val="20"/>
                <w:color w:val="auto"/>
              </w:rPr>
            </w:pPr>
          </w:p>
        </w:tc>
        <w:tc>
          <w:tcPr>
            <w:tcW w:w="1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301</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3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46</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2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107</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38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20"/>
                <w:szCs w:val="20"/>
                <w:color w:val="auto"/>
              </w:rPr>
            </w:pPr>
          </w:p>
        </w:tc>
        <w:tc>
          <w:tcPr>
            <w:tcW w:w="13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454</w:t>
            </w:r>
          </w:p>
        </w:tc>
      </w:tr>
      <w:tr>
        <w:trPr>
          <w:trHeight w:val="262"/>
        </w:trPr>
        <w:tc>
          <w:tcPr>
            <w:tcW w:w="3540" w:type="dxa"/>
            <w:vAlign w:val="bottom"/>
          </w:tcPr>
          <w:p>
            <w:pPr>
              <w:ind w:left="40"/>
              <w:spacing w:after="0"/>
              <w:rPr>
                <w:sz w:val="20"/>
                <w:szCs w:val="20"/>
                <w:color w:val="auto"/>
              </w:rPr>
            </w:pPr>
            <w:r>
              <w:rPr>
                <w:rFonts w:ascii="Arial" w:cs="Arial" w:eastAsia="Arial" w:hAnsi="Arial"/>
                <w:sz w:val="16"/>
                <w:szCs w:val="16"/>
                <w:color w:val="auto"/>
              </w:rPr>
              <w:t>Deferred contract costs</w:t>
            </w:r>
          </w:p>
        </w:tc>
        <w:tc>
          <w:tcPr>
            <w:tcW w:w="300" w:type="dxa"/>
            <w:vAlign w:val="bottom"/>
          </w:tcPr>
          <w:p>
            <w:pPr>
              <w:spacing w:after="0"/>
              <w:rPr>
                <w:sz w:val="22"/>
                <w:szCs w:val="22"/>
                <w:color w:val="auto"/>
              </w:rPr>
            </w:pPr>
          </w:p>
        </w:tc>
        <w:tc>
          <w:tcPr>
            <w:tcW w:w="13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2"/>
                <w:szCs w:val="22"/>
                <w:color w:val="auto"/>
              </w:rPr>
            </w:pPr>
          </w:p>
        </w:tc>
        <w:tc>
          <w:tcPr>
            <w:tcW w:w="1340" w:type="dxa"/>
            <w:vAlign w:val="bottom"/>
          </w:tcPr>
          <w:p>
            <w:pPr>
              <w:jc w:val="right"/>
              <w:ind w:right="19"/>
              <w:spacing w:after="0"/>
              <w:rPr>
                <w:sz w:val="20"/>
                <w:szCs w:val="20"/>
                <w:color w:val="auto"/>
              </w:rPr>
            </w:pPr>
            <w:r>
              <w:rPr>
                <w:rFonts w:ascii="Arial" w:cs="Arial" w:eastAsia="Arial" w:hAnsi="Arial"/>
                <w:sz w:val="16"/>
                <w:szCs w:val="16"/>
                <w:color w:val="auto"/>
              </w:rPr>
              <w:t>86</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3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2"/>
                <w:szCs w:val="22"/>
                <w:color w:val="auto"/>
              </w:rPr>
            </w:pPr>
          </w:p>
        </w:tc>
        <w:tc>
          <w:tcPr>
            <w:tcW w:w="13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2"/>
                <w:szCs w:val="22"/>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86</w:t>
            </w:r>
          </w:p>
        </w:tc>
      </w:tr>
      <w:tr>
        <w:trPr>
          <w:trHeight w:val="278"/>
        </w:trPr>
        <w:tc>
          <w:tcPr>
            <w:tcW w:w="3540" w:type="dxa"/>
            <w:vAlign w:val="bottom"/>
            <w:shd w:val="clear" w:color="auto" w:fill="CCEEFF"/>
          </w:tcPr>
          <w:p>
            <w:pPr>
              <w:ind w:left="40"/>
              <w:spacing w:after="0"/>
              <w:rPr>
                <w:sz w:val="20"/>
                <w:szCs w:val="20"/>
                <w:color w:val="auto"/>
              </w:rPr>
            </w:pPr>
            <w:r>
              <w:rPr>
                <w:rFonts w:ascii="Arial" w:cs="Arial" w:eastAsia="Arial" w:hAnsi="Arial"/>
                <w:sz w:val="16"/>
                <w:szCs w:val="16"/>
                <w:color w:val="auto"/>
              </w:rPr>
              <w:t>Goodwill and intangible assets, net</w:t>
            </w:r>
          </w:p>
        </w:tc>
        <w:tc>
          <w:tcPr>
            <w:tcW w:w="30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58</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3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73</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2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629</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38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24"/>
                <w:szCs w:val="24"/>
                <w:color w:val="auto"/>
              </w:rPr>
            </w:pPr>
          </w:p>
        </w:tc>
        <w:tc>
          <w:tcPr>
            <w:tcW w:w="13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760</w:t>
            </w:r>
          </w:p>
        </w:tc>
      </w:tr>
      <w:tr>
        <w:trPr>
          <w:trHeight w:val="262"/>
        </w:trPr>
        <w:tc>
          <w:tcPr>
            <w:tcW w:w="3540" w:type="dxa"/>
            <w:vAlign w:val="bottom"/>
          </w:tcPr>
          <w:p>
            <w:pPr>
              <w:ind w:left="40"/>
              <w:spacing w:after="0"/>
              <w:rPr>
                <w:sz w:val="20"/>
                <w:szCs w:val="20"/>
                <w:color w:val="auto"/>
              </w:rPr>
            </w:pPr>
            <w:r>
              <w:rPr>
                <w:rFonts w:ascii="Arial" w:cs="Arial" w:eastAsia="Arial" w:hAnsi="Arial"/>
                <w:sz w:val="16"/>
                <w:szCs w:val="16"/>
                <w:color w:val="auto"/>
              </w:rPr>
              <w:t>Restricted investments</w:t>
            </w:r>
          </w:p>
        </w:tc>
        <w:tc>
          <w:tcPr>
            <w:tcW w:w="300" w:type="dxa"/>
            <w:vAlign w:val="bottom"/>
          </w:tcPr>
          <w:p>
            <w:pPr>
              <w:spacing w:after="0"/>
              <w:rPr>
                <w:sz w:val="22"/>
                <w:szCs w:val="22"/>
                <w:color w:val="auto"/>
              </w:rPr>
            </w:pPr>
          </w:p>
        </w:tc>
        <w:tc>
          <w:tcPr>
            <w:tcW w:w="13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2"/>
                <w:szCs w:val="22"/>
                <w:color w:val="auto"/>
              </w:rPr>
            </w:pPr>
          </w:p>
        </w:tc>
        <w:tc>
          <w:tcPr>
            <w:tcW w:w="134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80" w:type="dxa"/>
            <w:vAlign w:val="bottom"/>
          </w:tcPr>
          <w:p>
            <w:pPr>
              <w:jc w:val="right"/>
              <w:ind w:right="19"/>
              <w:spacing w:after="0"/>
              <w:rPr>
                <w:sz w:val="20"/>
                <w:szCs w:val="20"/>
                <w:color w:val="auto"/>
              </w:rPr>
            </w:pPr>
            <w:r>
              <w:rPr>
                <w:rFonts w:ascii="Arial" w:cs="Arial" w:eastAsia="Arial" w:hAnsi="Arial"/>
                <w:sz w:val="16"/>
                <w:szCs w:val="16"/>
                <w:color w:val="auto"/>
              </w:rPr>
              <w:t>110</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3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2"/>
                <w:szCs w:val="22"/>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110</w:t>
            </w:r>
          </w:p>
        </w:tc>
      </w:tr>
      <w:tr>
        <w:trPr>
          <w:trHeight w:val="278"/>
        </w:trPr>
        <w:tc>
          <w:tcPr>
            <w:tcW w:w="3540" w:type="dxa"/>
            <w:vAlign w:val="bottom"/>
            <w:shd w:val="clear" w:color="auto" w:fill="CCEEFF"/>
          </w:tcPr>
          <w:p>
            <w:pPr>
              <w:ind w:left="40"/>
              <w:spacing w:after="0"/>
              <w:rPr>
                <w:sz w:val="20"/>
                <w:szCs w:val="20"/>
                <w:color w:val="auto"/>
              </w:rPr>
            </w:pPr>
            <w:r>
              <w:rPr>
                <w:rFonts w:ascii="Arial" w:cs="Arial" w:eastAsia="Arial" w:hAnsi="Arial"/>
                <w:sz w:val="16"/>
                <w:szCs w:val="16"/>
                <w:color w:val="auto"/>
              </w:rPr>
              <w:t>Investment in subsidiaries, net</w:t>
            </w:r>
          </w:p>
        </w:tc>
        <w:tc>
          <w:tcPr>
            <w:tcW w:w="30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2,609</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3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246</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38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24"/>
                <w:szCs w:val="24"/>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(2,855)</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3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62"/>
        </w:trPr>
        <w:tc>
          <w:tcPr>
            <w:tcW w:w="3540" w:type="dxa"/>
            <w:vAlign w:val="bottom"/>
          </w:tcPr>
          <w:p>
            <w:pPr>
              <w:ind w:left="40"/>
              <w:spacing w:after="0"/>
              <w:rPr>
                <w:sz w:val="20"/>
                <w:szCs w:val="20"/>
                <w:color w:val="auto"/>
              </w:rPr>
            </w:pPr>
            <w:r>
              <w:rPr>
                <w:rFonts w:ascii="Arial" w:cs="Arial" w:eastAsia="Arial" w:hAnsi="Arial"/>
                <w:sz w:val="16"/>
                <w:szCs w:val="16"/>
                <w:color w:val="auto"/>
              </w:rPr>
              <w:t>Deferred income taxes</w:t>
            </w:r>
          </w:p>
        </w:tc>
        <w:tc>
          <w:tcPr>
            <w:tcW w:w="300" w:type="dxa"/>
            <w:vAlign w:val="bottom"/>
          </w:tcPr>
          <w:p>
            <w:pPr>
              <w:spacing w:after="0"/>
              <w:rPr>
                <w:sz w:val="22"/>
                <w:szCs w:val="22"/>
                <w:color w:val="auto"/>
              </w:rPr>
            </w:pPr>
          </w:p>
        </w:tc>
        <w:tc>
          <w:tcPr>
            <w:tcW w:w="1220" w:type="dxa"/>
            <w:vAlign w:val="bottom"/>
          </w:tcPr>
          <w:p>
            <w:pPr>
              <w:jc w:val="right"/>
              <w:ind w:right="39"/>
              <w:spacing w:after="0"/>
              <w:rPr>
                <w:sz w:val="20"/>
                <w:szCs w:val="20"/>
                <w:color w:val="auto"/>
              </w:rPr>
            </w:pPr>
            <w:r>
              <w:rPr>
                <w:rFonts w:ascii="Arial" w:cs="Arial" w:eastAsia="Arial" w:hAnsi="Arial"/>
                <w:sz w:val="16"/>
                <w:szCs w:val="16"/>
                <w:color w:val="auto"/>
              </w:rPr>
              <w:t>10</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4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3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2"/>
                <w:szCs w:val="22"/>
                <w:color w:val="auto"/>
              </w:rPr>
            </w:pPr>
          </w:p>
        </w:tc>
        <w:tc>
          <w:tcPr>
            <w:tcW w:w="13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2"/>
                <w:szCs w:val="22"/>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10</w:t>
            </w:r>
          </w:p>
        </w:tc>
      </w:tr>
      <w:tr>
        <w:trPr>
          <w:trHeight w:val="271"/>
        </w:trPr>
        <w:tc>
          <w:tcPr>
            <w:tcW w:w="3540" w:type="dxa"/>
            <w:vAlign w:val="bottom"/>
            <w:shd w:val="clear" w:color="auto" w:fill="CCEEFF"/>
          </w:tcPr>
          <w:p>
            <w:pPr>
              <w:ind w:left="40"/>
              <w:spacing w:after="0"/>
              <w:rPr>
                <w:sz w:val="20"/>
                <w:szCs w:val="20"/>
                <w:color w:val="auto"/>
              </w:rPr>
            </w:pPr>
            <w:r>
              <w:rPr>
                <w:rFonts w:ascii="Arial" w:cs="Arial" w:eastAsia="Arial" w:hAnsi="Arial"/>
                <w:sz w:val="16"/>
                <w:szCs w:val="16"/>
                <w:color w:val="auto"/>
              </w:rPr>
              <w:t>Other assets</w:t>
            </w:r>
          </w:p>
        </w:tc>
        <w:tc>
          <w:tcPr>
            <w:tcW w:w="300" w:type="dxa"/>
            <w:vAlign w:val="bottom"/>
            <w:tcBorders>
              <w:bottom w:val="single" w:sz="8" w:color="auto"/>
            </w:tcBorders>
            <w:shd w:val="clear" w:color="auto" w:fill="CCEEFF"/>
          </w:tcPr>
          <w:p>
            <w:pPr>
              <w:spacing w:after="0"/>
              <w:rPr>
                <w:sz w:val="23"/>
                <w:szCs w:val="23"/>
                <w:color w:val="auto"/>
              </w:rPr>
            </w:pPr>
          </w:p>
        </w:tc>
        <w:tc>
          <w:tcPr>
            <w:tcW w:w="1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48</w:t>
            </w:r>
          </w:p>
        </w:tc>
        <w:tc>
          <w:tcPr>
            <w:tcW w:w="12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13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3</w:t>
            </w:r>
          </w:p>
        </w:tc>
        <w:tc>
          <w:tcPr>
            <w:tcW w:w="10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12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6</w:t>
            </w:r>
          </w:p>
        </w:tc>
        <w:tc>
          <w:tcPr>
            <w:tcW w:w="10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w:t>
            </w:r>
          </w:p>
        </w:tc>
        <w:tc>
          <w:tcPr>
            <w:tcW w:w="10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3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41</w:t>
            </w:r>
          </w:p>
        </w:tc>
      </w:tr>
      <w:tr>
        <w:trPr>
          <w:trHeight w:val="277"/>
        </w:trPr>
        <w:tc>
          <w:tcPr>
            <w:tcW w:w="3540" w:type="dxa"/>
            <w:vAlign w:val="bottom"/>
            <w:tcBorders>
              <w:bottom w:val="single" w:sz="8" w:color="CCEEFF"/>
            </w:tcBorders>
          </w:tcPr>
          <w:p>
            <w:pPr>
              <w:spacing w:after="0"/>
              <w:rPr>
                <w:sz w:val="24"/>
                <w:szCs w:val="24"/>
                <w:color w:val="auto"/>
              </w:rPr>
            </w:pPr>
          </w:p>
        </w:tc>
        <w:tc>
          <w:tcPr>
            <w:tcW w:w="3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3,738</w:t>
            </w:r>
          </w:p>
        </w:tc>
        <w:tc>
          <w:tcPr>
            <w:tcW w:w="120" w:type="dxa"/>
            <w:vAlign w:val="bottom"/>
            <w:tcBorders>
              <w:bottom w:val="single" w:sz="8" w:color="CCEEFF"/>
            </w:tcBorders>
          </w:tcPr>
          <w:p>
            <w:pPr>
              <w:spacing w:after="0"/>
              <w:rPr>
                <w:sz w:val="24"/>
                <w:szCs w:val="24"/>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3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523</w:t>
            </w:r>
          </w:p>
        </w:tc>
        <w:tc>
          <w:tcPr>
            <w:tcW w:w="100" w:type="dxa"/>
            <w:vAlign w:val="bottom"/>
            <w:tcBorders>
              <w:bottom w:val="single" w:sz="8" w:color="CCEEFF"/>
            </w:tcBorders>
          </w:tcPr>
          <w:p>
            <w:pPr>
              <w:spacing w:after="0"/>
              <w:rPr>
                <w:sz w:val="24"/>
                <w:szCs w:val="24"/>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6,059</w:t>
            </w:r>
          </w:p>
        </w:tc>
        <w:tc>
          <w:tcPr>
            <w:tcW w:w="100" w:type="dxa"/>
            <w:vAlign w:val="bottom"/>
            <w:tcBorders>
              <w:bottom w:val="single" w:sz="8" w:color="CCEEFF"/>
            </w:tcBorders>
          </w:tcPr>
          <w:p>
            <w:pPr>
              <w:spacing w:after="0"/>
              <w:rPr>
                <w:sz w:val="24"/>
                <w:szCs w:val="24"/>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(2,871)</w:t>
            </w:r>
          </w:p>
        </w:tc>
        <w:tc>
          <w:tcPr>
            <w:tcW w:w="10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7,449</w:t>
            </w:r>
          </w:p>
        </w:tc>
      </w:tr>
      <w:tr>
        <w:trPr>
          <w:trHeight w:val="284"/>
        </w:trPr>
        <w:tc>
          <w:tcPr>
            <w:tcW w:w="354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3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2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2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300" w:type="dxa"/>
            <w:vAlign w:val="bottom"/>
            <w:shd w:val="clear" w:color="auto" w:fill="CCEEFF"/>
          </w:tcPr>
          <w:p>
            <w:pPr>
              <w:spacing w:after="0"/>
              <w:rPr>
                <w:sz w:val="24"/>
                <w:szCs w:val="24"/>
                <w:color w:val="auto"/>
              </w:rPr>
            </w:pPr>
          </w:p>
        </w:tc>
      </w:tr>
      <w:tr>
        <w:trPr>
          <w:trHeight w:val="239"/>
        </w:trPr>
        <w:tc>
          <w:tcPr>
            <w:tcW w:w="35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520" w:type="dxa"/>
            <w:vAlign w:val="bottom"/>
            <w:gridSpan w:val="8"/>
          </w:tcPr>
          <w:p>
            <w:pPr>
              <w:ind w:left="160"/>
              <w:spacing w:after="0"/>
              <w:rPr>
                <w:sz w:val="20"/>
                <w:szCs w:val="20"/>
                <w:color w:val="auto"/>
              </w:rPr>
            </w:pPr>
            <w:r>
              <w:rPr>
                <w:rFonts w:ascii="Arial" w:cs="Arial" w:eastAsia="Arial" w:hAnsi="Arial"/>
                <w:sz w:val="16"/>
                <w:szCs w:val="16"/>
                <w:b w:val="1"/>
                <w:bCs w:val="1"/>
                <w:color w:val="auto"/>
              </w:rPr>
              <w:t>LIABILITIES AND STOCKHOLDERS’ EQUITY</w:t>
            </w:r>
          </w:p>
        </w:tc>
        <w:tc>
          <w:tcPr>
            <w:tcW w:w="2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tcPr>
          <w:p>
            <w:pPr>
              <w:spacing w:after="0"/>
              <w:rPr>
                <w:sz w:val="20"/>
                <w:szCs w:val="20"/>
                <w:color w:val="auto"/>
              </w:rPr>
            </w:pPr>
          </w:p>
        </w:tc>
      </w:tr>
      <w:tr>
        <w:trPr>
          <w:trHeight w:val="254"/>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Current liabilities:</w:t>
            </w:r>
          </w:p>
        </w:tc>
        <w:tc>
          <w:tcPr>
            <w:tcW w:w="30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spacing w:after="0"/>
              <w:rPr>
                <w:sz w:val="22"/>
                <w:szCs w:val="22"/>
                <w:color w:val="auto"/>
              </w:rPr>
            </w:pPr>
          </w:p>
        </w:tc>
      </w:tr>
      <w:tr>
        <w:trPr>
          <w:trHeight w:val="262"/>
        </w:trPr>
        <w:tc>
          <w:tcPr>
            <w:tcW w:w="3540" w:type="dxa"/>
            <w:vAlign w:val="bottom"/>
          </w:tcPr>
          <w:p>
            <w:pPr>
              <w:ind w:left="180"/>
              <w:spacing w:after="0"/>
              <w:rPr>
                <w:sz w:val="20"/>
                <w:szCs w:val="20"/>
                <w:color w:val="auto"/>
              </w:rPr>
            </w:pPr>
            <w:r>
              <w:rPr>
                <w:rFonts w:ascii="Arial" w:cs="Arial" w:eastAsia="Arial" w:hAnsi="Arial"/>
                <w:sz w:val="16"/>
                <w:szCs w:val="16"/>
                <w:color w:val="auto"/>
              </w:rPr>
              <w:t>Medical claims and benefits payable</w:t>
            </w:r>
          </w:p>
        </w:tc>
        <w:tc>
          <w:tcPr>
            <w:tcW w:w="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220" w:type="dxa"/>
            <w:vAlign w:val="bottom"/>
          </w:tcPr>
          <w:p>
            <w:pPr>
              <w:jc w:val="right"/>
              <w:ind w:right="39"/>
              <w:spacing w:after="0"/>
              <w:rPr>
                <w:sz w:val="20"/>
                <w:szCs w:val="20"/>
                <w:color w:val="auto"/>
              </w:rPr>
            </w:pPr>
            <w:r>
              <w:rPr>
                <w:rFonts w:ascii="Arial" w:cs="Arial" w:eastAsia="Arial" w:hAnsi="Arial"/>
                <w:sz w:val="16"/>
                <w:szCs w:val="16"/>
                <w:color w:val="auto"/>
              </w:rPr>
              <w:t>1</w:t>
            </w:r>
          </w:p>
        </w:tc>
        <w:tc>
          <w:tcPr>
            <w:tcW w:w="12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34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30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280" w:type="dxa"/>
            <w:vAlign w:val="bottom"/>
          </w:tcPr>
          <w:p>
            <w:pPr>
              <w:jc w:val="right"/>
              <w:ind w:right="19"/>
              <w:spacing w:after="0"/>
              <w:rPr>
                <w:sz w:val="20"/>
                <w:szCs w:val="20"/>
                <w:color w:val="auto"/>
              </w:rPr>
            </w:pPr>
            <w:r>
              <w:rPr>
                <w:rFonts w:ascii="Arial" w:cs="Arial" w:eastAsia="Arial" w:hAnsi="Arial"/>
                <w:sz w:val="16"/>
                <w:szCs w:val="16"/>
                <w:color w:val="auto"/>
              </w:rPr>
              <w:t>1,928</w:t>
            </w:r>
          </w:p>
        </w:tc>
        <w:tc>
          <w:tcPr>
            <w:tcW w:w="100" w:type="dxa"/>
            <w:vAlign w:val="bottom"/>
          </w:tcPr>
          <w:p>
            <w:pPr>
              <w:spacing w:after="0"/>
              <w:rPr>
                <w:sz w:val="22"/>
                <w:szCs w:val="22"/>
                <w:color w:val="auto"/>
              </w:rPr>
            </w:pP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3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1,929</w:t>
            </w:r>
          </w:p>
        </w:tc>
      </w:tr>
      <w:tr>
        <w:trPr>
          <w:trHeight w:val="278"/>
        </w:trPr>
        <w:tc>
          <w:tcPr>
            <w:tcW w:w="3540" w:type="dxa"/>
            <w:vAlign w:val="bottom"/>
            <w:shd w:val="clear" w:color="auto" w:fill="CCEEFF"/>
          </w:tcPr>
          <w:p>
            <w:pPr>
              <w:ind w:left="180"/>
              <w:spacing w:after="0"/>
              <w:rPr>
                <w:sz w:val="20"/>
                <w:szCs w:val="20"/>
                <w:color w:val="auto"/>
              </w:rPr>
            </w:pPr>
            <w:r>
              <w:rPr>
                <w:rFonts w:ascii="Arial" w:cs="Arial" w:eastAsia="Arial" w:hAnsi="Arial"/>
                <w:sz w:val="16"/>
                <w:szCs w:val="16"/>
                <w:color w:val="auto"/>
              </w:rPr>
              <w:t>Amounts due government agencies</w:t>
            </w:r>
          </w:p>
        </w:tc>
        <w:tc>
          <w:tcPr>
            <w:tcW w:w="300" w:type="dxa"/>
            <w:vAlign w:val="bottom"/>
            <w:shd w:val="clear" w:color="auto" w:fill="CCEEFF"/>
          </w:tcPr>
          <w:p>
            <w:pPr>
              <w:spacing w:after="0"/>
              <w:rPr>
                <w:sz w:val="24"/>
                <w:szCs w:val="24"/>
                <w:color w:val="auto"/>
              </w:rPr>
            </w:pPr>
          </w:p>
        </w:tc>
        <w:tc>
          <w:tcPr>
            <w:tcW w:w="134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24"/>
                <w:szCs w:val="24"/>
                <w:color w:val="auto"/>
              </w:rPr>
            </w:pPr>
          </w:p>
        </w:tc>
        <w:tc>
          <w:tcPr>
            <w:tcW w:w="13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2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1,202</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38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24"/>
                <w:szCs w:val="24"/>
                <w:color w:val="auto"/>
              </w:rPr>
            </w:pPr>
          </w:p>
        </w:tc>
        <w:tc>
          <w:tcPr>
            <w:tcW w:w="13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1,202</w:t>
            </w:r>
          </w:p>
        </w:tc>
      </w:tr>
      <w:tr>
        <w:trPr>
          <w:trHeight w:val="262"/>
        </w:trPr>
        <w:tc>
          <w:tcPr>
            <w:tcW w:w="3540" w:type="dxa"/>
            <w:vAlign w:val="bottom"/>
          </w:tcPr>
          <w:p>
            <w:pPr>
              <w:ind w:left="180"/>
              <w:spacing w:after="0"/>
              <w:rPr>
                <w:sz w:val="20"/>
                <w:szCs w:val="20"/>
                <w:color w:val="auto"/>
              </w:rPr>
            </w:pPr>
            <w:r>
              <w:rPr>
                <w:rFonts w:ascii="Arial" w:cs="Arial" w:eastAsia="Arial" w:hAnsi="Arial"/>
                <w:sz w:val="16"/>
                <w:szCs w:val="16"/>
                <w:color w:val="auto"/>
              </w:rPr>
              <w:t>Accounts payable and accrued liabilities</w:t>
            </w:r>
          </w:p>
        </w:tc>
        <w:tc>
          <w:tcPr>
            <w:tcW w:w="300" w:type="dxa"/>
            <w:vAlign w:val="bottom"/>
          </w:tcPr>
          <w:p>
            <w:pPr>
              <w:spacing w:after="0"/>
              <w:rPr>
                <w:sz w:val="22"/>
                <w:szCs w:val="22"/>
                <w:color w:val="auto"/>
              </w:rPr>
            </w:pPr>
          </w:p>
        </w:tc>
        <w:tc>
          <w:tcPr>
            <w:tcW w:w="1220" w:type="dxa"/>
            <w:vAlign w:val="bottom"/>
          </w:tcPr>
          <w:p>
            <w:pPr>
              <w:jc w:val="right"/>
              <w:ind w:right="39"/>
              <w:spacing w:after="0"/>
              <w:rPr>
                <w:sz w:val="20"/>
                <w:szCs w:val="20"/>
                <w:color w:val="auto"/>
              </w:rPr>
            </w:pPr>
            <w:r>
              <w:rPr>
                <w:rFonts w:ascii="Arial" w:cs="Arial" w:eastAsia="Arial" w:hAnsi="Arial"/>
                <w:sz w:val="16"/>
                <w:szCs w:val="16"/>
                <w:color w:val="auto"/>
              </w:rPr>
              <w:t>146</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40" w:type="dxa"/>
            <w:vAlign w:val="bottom"/>
          </w:tcPr>
          <w:p>
            <w:pPr>
              <w:jc w:val="right"/>
              <w:ind w:right="19"/>
              <w:spacing w:after="0"/>
              <w:rPr>
                <w:sz w:val="20"/>
                <w:szCs w:val="20"/>
                <w:color w:val="auto"/>
              </w:rPr>
            </w:pPr>
            <w:r>
              <w:rPr>
                <w:rFonts w:ascii="Arial" w:cs="Arial" w:eastAsia="Arial" w:hAnsi="Arial"/>
                <w:sz w:val="16"/>
                <w:szCs w:val="16"/>
                <w:color w:val="auto"/>
              </w:rPr>
              <w:t>34</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80" w:type="dxa"/>
            <w:vAlign w:val="bottom"/>
          </w:tcPr>
          <w:p>
            <w:pPr>
              <w:jc w:val="right"/>
              <w:ind w:right="19"/>
              <w:spacing w:after="0"/>
              <w:rPr>
                <w:sz w:val="20"/>
                <w:szCs w:val="20"/>
                <w:color w:val="auto"/>
              </w:rPr>
            </w:pPr>
            <w:r>
              <w:rPr>
                <w:rFonts w:ascii="Arial" w:cs="Arial" w:eastAsia="Arial" w:hAnsi="Arial"/>
                <w:sz w:val="16"/>
                <w:szCs w:val="16"/>
                <w:color w:val="auto"/>
              </w:rPr>
              <w:t>205</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3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2"/>
                <w:szCs w:val="22"/>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385</w:t>
            </w:r>
          </w:p>
        </w:tc>
      </w:tr>
      <w:tr>
        <w:trPr>
          <w:trHeight w:val="278"/>
        </w:trPr>
        <w:tc>
          <w:tcPr>
            <w:tcW w:w="3540" w:type="dxa"/>
            <w:vAlign w:val="bottom"/>
            <w:shd w:val="clear" w:color="auto" w:fill="CCEEFF"/>
          </w:tcPr>
          <w:p>
            <w:pPr>
              <w:ind w:left="180"/>
              <w:spacing w:after="0"/>
              <w:rPr>
                <w:sz w:val="20"/>
                <w:szCs w:val="20"/>
                <w:color w:val="auto"/>
              </w:rPr>
            </w:pPr>
            <w:r>
              <w:rPr>
                <w:rFonts w:ascii="Arial" w:cs="Arial" w:eastAsia="Arial" w:hAnsi="Arial"/>
                <w:sz w:val="16"/>
                <w:szCs w:val="16"/>
                <w:color w:val="auto"/>
              </w:rPr>
              <w:t>Deferred revenue</w:t>
            </w:r>
          </w:p>
        </w:tc>
        <w:tc>
          <w:tcPr>
            <w:tcW w:w="300" w:type="dxa"/>
            <w:vAlign w:val="bottom"/>
            <w:shd w:val="clear" w:color="auto" w:fill="CCEEFF"/>
          </w:tcPr>
          <w:p>
            <w:pPr>
              <w:spacing w:after="0"/>
              <w:rPr>
                <w:sz w:val="24"/>
                <w:szCs w:val="24"/>
                <w:color w:val="auto"/>
              </w:rPr>
            </w:pPr>
          </w:p>
        </w:tc>
        <w:tc>
          <w:tcPr>
            <w:tcW w:w="134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24"/>
                <w:szCs w:val="24"/>
                <w:color w:val="auto"/>
              </w:rPr>
            </w:pPr>
          </w:p>
        </w:tc>
        <w:tc>
          <w:tcPr>
            <w:tcW w:w="13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40</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2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275</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38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24"/>
                <w:szCs w:val="24"/>
                <w:color w:val="auto"/>
              </w:rPr>
            </w:pPr>
          </w:p>
        </w:tc>
        <w:tc>
          <w:tcPr>
            <w:tcW w:w="13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315</w:t>
            </w:r>
          </w:p>
        </w:tc>
      </w:tr>
      <w:tr>
        <w:trPr>
          <w:trHeight w:val="262"/>
        </w:trPr>
        <w:tc>
          <w:tcPr>
            <w:tcW w:w="3540" w:type="dxa"/>
            <w:vAlign w:val="bottom"/>
          </w:tcPr>
          <w:p>
            <w:pPr>
              <w:ind w:left="180"/>
              <w:spacing w:after="0"/>
              <w:rPr>
                <w:sz w:val="20"/>
                <w:szCs w:val="20"/>
                <w:color w:val="auto"/>
              </w:rPr>
            </w:pPr>
            <w:r>
              <w:rPr>
                <w:rFonts w:ascii="Arial" w:cs="Arial" w:eastAsia="Arial" w:hAnsi="Arial"/>
                <w:sz w:val="16"/>
                <w:szCs w:val="16"/>
                <w:color w:val="auto"/>
              </w:rPr>
              <w:t>Current portion of long-term debt</w:t>
            </w:r>
          </w:p>
        </w:tc>
        <w:tc>
          <w:tcPr>
            <w:tcW w:w="300" w:type="dxa"/>
            <w:vAlign w:val="bottom"/>
          </w:tcPr>
          <w:p>
            <w:pPr>
              <w:spacing w:after="0"/>
              <w:rPr>
                <w:sz w:val="22"/>
                <w:szCs w:val="22"/>
                <w:color w:val="auto"/>
              </w:rPr>
            </w:pPr>
          </w:p>
        </w:tc>
        <w:tc>
          <w:tcPr>
            <w:tcW w:w="1220" w:type="dxa"/>
            <w:vAlign w:val="bottom"/>
          </w:tcPr>
          <w:p>
            <w:pPr>
              <w:jc w:val="right"/>
              <w:ind w:right="39"/>
              <w:spacing w:after="0"/>
              <w:rPr>
                <w:sz w:val="20"/>
                <w:szCs w:val="20"/>
                <w:color w:val="auto"/>
              </w:rPr>
            </w:pPr>
            <w:r>
              <w:rPr>
                <w:rFonts w:ascii="Arial" w:cs="Arial" w:eastAsia="Arial" w:hAnsi="Arial"/>
                <w:sz w:val="16"/>
                <w:szCs w:val="16"/>
                <w:color w:val="auto"/>
              </w:rPr>
              <w:t>472</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4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3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2"/>
                <w:szCs w:val="22"/>
                <w:color w:val="auto"/>
              </w:rPr>
            </w:pPr>
          </w:p>
        </w:tc>
        <w:tc>
          <w:tcPr>
            <w:tcW w:w="13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2"/>
                <w:szCs w:val="22"/>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472</w:t>
            </w:r>
          </w:p>
        </w:tc>
      </w:tr>
      <w:tr>
        <w:trPr>
          <w:trHeight w:val="278"/>
        </w:trPr>
        <w:tc>
          <w:tcPr>
            <w:tcW w:w="3540" w:type="dxa"/>
            <w:vAlign w:val="bottom"/>
            <w:shd w:val="clear" w:color="auto" w:fill="CCEEFF"/>
          </w:tcPr>
          <w:p>
            <w:pPr>
              <w:ind w:left="180"/>
              <w:spacing w:after="0"/>
              <w:rPr>
                <w:sz w:val="20"/>
                <w:szCs w:val="20"/>
                <w:color w:val="auto"/>
              </w:rPr>
            </w:pPr>
            <w:r>
              <w:rPr>
                <w:rFonts w:ascii="Arial" w:cs="Arial" w:eastAsia="Arial" w:hAnsi="Arial"/>
                <w:sz w:val="16"/>
                <w:szCs w:val="16"/>
                <w:color w:val="auto"/>
              </w:rPr>
              <w:t>Derivative liability</w:t>
            </w:r>
          </w:p>
        </w:tc>
        <w:tc>
          <w:tcPr>
            <w:tcW w:w="300" w:type="dxa"/>
            <w:vAlign w:val="bottom"/>
            <w:tcBorders>
              <w:bottom w:val="single" w:sz="8" w:color="auto"/>
            </w:tcBorders>
            <w:shd w:val="clear" w:color="auto" w:fill="CCEEFF"/>
          </w:tcPr>
          <w:p>
            <w:pPr>
              <w:spacing w:after="0"/>
              <w:rPr>
                <w:sz w:val="24"/>
                <w:szCs w:val="24"/>
                <w:color w:val="auto"/>
              </w:rPr>
            </w:pPr>
          </w:p>
        </w:tc>
        <w:tc>
          <w:tcPr>
            <w:tcW w:w="1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267</w:t>
            </w:r>
          </w:p>
        </w:tc>
        <w:tc>
          <w:tcPr>
            <w:tcW w:w="120" w:type="dxa"/>
            <w:vAlign w:val="bottom"/>
            <w:shd w:val="clear" w:color="auto" w:fill="CCEEFF"/>
          </w:tcPr>
          <w:p>
            <w:pPr>
              <w:spacing w:after="0"/>
              <w:rPr>
                <w:sz w:val="24"/>
                <w:szCs w:val="24"/>
                <w:color w:val="auto"/>
              </w:rPr>
            </w:pPr>
          </w:p>
        </w:tc>
        <w:tc>
          <w:tcPr>
            <w:tcW w:w="160" w:type="dxa"/>
            <w:vAlign w:val="bottom"/>
            <w:tcBorders>
              <w:bottom w:val="single" w:sz="8" w:color="auto"/>
            </w:tcBorders>
            <w:shd w:val="clear" w:color="auto" w:fill="CCEEFF"/>
          </w:tcPr>
          <w:p>
            <w:pPr>
              <w:spacing w:after="0"/>
              <w:rPr>
                <w:sz w:val="24"/>
                <w:szCs w:val="24"/>
                <w:color w:val="auto"/>
              </w:rPr>
            </w:pPr>
          </w:p>
        </w:tc>
        <w:tc>
          <w:tcPr>
            <w:tcW w:w="13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24"/>
                <w:szCs w:val="24"/>
                <w:color w:val="auto"/>
              </w:rPr>
            </w:pPr>
          </w:p>
        </w:tc>
        <w:tc>
          <w:tcPr>
            <w:tcW w:w="200" w:type="dxa"/>
            <w:vAlign w:val="bottom"/>
            <w:tcBorders>
              <w:bottom w:val="single" w:sz="8" w:color="auto"/>
            </w:tcBorders>
            <w:shd w:val="clear" w:color="auto" w:fill="CCEEFF"/>
          </w:tcPr>
          <w:p>
            <w:pPr>
              <w:spacing w:after="0"/>
              <w:rPr>
                <w:sz w:val="24"/>
                <w:szCs w:val="24"/>
                <w:color w:val="auto"/>
              </w:rPr>
            </w:pPr>
          </w:p>
        </w:tc>
        <w:tc>
          <w:tcPr>
            <w:tcW w:w="12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24"/>
                <w:szCs w:val="24"/>
                <w:color w:val="auto"/>
              </w:rPr>
            </w:pPr>
          </w:p>
        </w:tc>
        <w:tc>
          <w:tcPr>
            <w:tcW w:w="200" w:type="dxa"/>
            <w:vAlign w:val="bottom"/>
            <w:tcBorders>
              <w:bottom w:val="single" w:sz="8" w:color="auto"/>
            </w:tcBorders>
            <w:shd w:val="clear" w:color="auto" w:fill="CCEEFF"/>
          </w:tcPr>
          <w:p>
            <w:pPr>
              <w:spacing w:after="0"/>
              <w:rPr>
                <w:sz w:val="24"/>
                <w:szCs w:val="24"/>
                <w:color w:val="auto"/>
              </w:rPr>
            </w:pPr>
          </w:p>
        </w:tc>
        <w:tc>
          <w:tcPr>
            <w:tcW w:w="12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24"/>
                <w:szCs w:val="24"/>
                <w:color w:val="auto"/>
              </w:rPr>
            </w:pPr>
          </w:p>
        </w:tc>
        <w:tc>
          <w:tcPr>
            <w:tcW w:w="180" w:type="dxa"/>
            <w:vAlign w:val="bottom"/>
            <w:tcBorders>
              <w:bottom w:val="single" w:sz="8" w:color="auto"/>
            </w:tcBorders>
            <w:shd w:val="clear" w:color="auto" w:fill="CCEEFF"/>
          </w:tcPr>
          <w:p>
            <w:pPr>
              <w:spacing w:after="0"/>
              <w:rPr>
                <w:sz w:val="24"/>
                <w:szCs w:val="24"/>
                <w:color w:val="auto"/>
              </w:rPr>
            </w:pPr>
          </w:p>
        </w:tc>
        <w:tc>
          <w:tcPr>
            <w:tcW w:w="13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267</w:t>
            </w:r>
          </w:p>
        </w:tc>
      </w:tr>
      <w:tr>
        <w:trPr>
          <w:trHeight w:val="242"/>
        </w:trPr>
        <w:tc>
          <w:tcPr>
            <w:tcW w:w="3540" w:type="dxa"/>
            <w:vAlign w:val="bottom"/>
          </w:tcPr>
          <w:p>
            <w:pPr>
              <w:ind w:left="280"/>
              <w:spacing w:after="0"/>
              <w:rPr>
                <w:sz w:val="20"/>
                <w:szCs w:val="20"/>
                <w:color w:val="auto"/>
              </w:rPr>
            </w:pPr>
            <w:r>
              <w:rPr>
                <w:rFonts w:ascii="Arial" w:cs="Arial" w:eastAsia="Arial" w:hAnsi="Arial"/>
                <w:sz w:val="16"/>
                <w:szCs w:val="16"/>
                <w:color w:val="auto"/>
              </w:rPr>
              <w:t>Total current liabilities</w:t>
            </w:r>
          </w:p>
        </w:tc>
        <w:tc>
          <w:tcPr>
            <w:tcW w:w="300" w:type="dxa"/>
            <w:vAlign w:val="bottom"/>
          </w:tcPr>
          <w:p>
            <w:pPr>
              <w:spacing w:after="0"/>
              <w:rPr>
                <w:sz w:val="21"/>
                <w:szCs w:val="21"/>
                <w:color w:val="auto"/>
              </w:rPr>
            </w:pPr>
          </w:p>
        </w:tc>
        <w:tc>
          <w:tcPr>
            <w:tcW w:w="1220" w:type="dxa"/>
            <w:vAlign w:val="bottom"/>
          </w:tcPr>
          <w:p>
            <w:pPr>
              <w:jc w:val="right"/>
              <w:ind w:right="39"/>
              <w:spacing w:after="0"/>
              <w:rPr>
                <w:sz w:val="20"/>
                <w:szCs w:val="20"/>
                <w:color w:val="auto"/>
              </w:rPr>
            </w:pPr>
            <w:r>
              <w:rPr>
                <w:rFonts w:ascii="Arial" w:cs="Arial" w:eastAsia="Arial" w:hAnsi="Arial"/>
                <w:sz w:val="16"/>
                <w:szCs w:val="16"/>
                <w:color w:val="auto"/>
              </w:rPr>
              <w:t>886</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40" w:type="dxa"/>
            <w:vAlign w:val="bottom"/>
          </w:tcPr>
          <w:p>
            <w:pPr>
              <w:jc w:val="right"/>
              <w:ind w:right="19"/>
              <w:spacing w:after="0"/>
              <w:rPr>
                <w:sz w:val="20"/>
                <w:szCs w:val="20"/>
                <w:color w:val="auto"/>
              </w:rPr>
            </w:pPr>
            <w:r>
              <w:rPr>
                <w:rFonts w:ascii="Arial" w:cs="Arial" w:eastAsia="Arial" w:hAnsi="Arial"/>
                <w:sz w:val="16"/>
                <w:szCs w:val="16"/>
                <w:color w:val="auto"/>
              </w:rPr>
              <w:t>74</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ind w:right="19"/>
              <w:spacing w:after="0"/>
              <w:rPr>
                <w:sz w:val="20"/>
                <w:szCs w:val="20"/>
                <w:color w:val="auto"/>
              </w:rPr>
            </w:pPr>
            <w:r>
              <w:rPr>
                <w:rFonts w:ascii="Arial" w:cs="Arial" w:eastAsia="Arial" w:hAnsi="Arial"/>
                <w:sz w:val="16"/>
                <w:szCs w:val="16"/>
                <w:color w:val="auto"/>
              </w:rPr>
              <w:t>3,610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1"/>
                <w:szCs w:val="21"/>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4,570</w:t>
            </w:r>
          </w:p>
        </w:tc>
      </w:tr>
      <w:tr>
        <w:trPr>
          <w:trHeight w:val="278"/>
        </w:trPr>
        <w:tc>
          <w:tcPr>
            <w:tcW w:w="3540" w:type="dxa"/>
            <w:vAlign w:val="bottom"/>
            <w:shd w:val="clear" w:color="auto" w:fill="CCEEFF"/>
          </w:tcPr>
          <w:p>
            <w:pPr>
              <w:ind w:left="40"/>
              <w:spacing w:after="0"/>
              <w:rPr>
                <w:sz w:val="20"/>
                <w:szCs w:val="20"/>
                <w:color w:val="auto"/>
              </w:rPr>
            </w:pPr>
            <w:r>
              <w:rPr>
                <w:rFonts w:ascii="Arial" w:cs="Arial" w:eastAsia="Arial" w:hAnsi="Arial"/>
                <w:sz w:val="16"/>
                <w:szCs w:val="16"/>
                <w:color w:val="auto"/>
              </w:rPr>
              <w:t>Long-term debt</w:t>
            </w:r>
          </w:p>
        </w:tc>
        <w:tc>
          <w:tcPr>
            <w:tcW w:w="30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1,173</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3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2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16</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3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1,173</w:t>
            </w:r>
          </w:p>
        </w:tc>
      </w:tr>
      <w:tr>
        <w:trPr>
          <w:trHeight w:val="262"/>
        </w:trPr>
        <w:tc>
          <w:tcPr>
            <w:tcW w:w="3540" w:type="dxa"/>
            <w:vAlign w:val="bottom"/>
          </w:tcPr>
          <w:p>
            <w:pPr>
              <w:ind w:left="40"/>
              <w:spacing w:after="0"/>
              <w:rPr>
                <w:sz w:val="20"/>
                <w:szCs w:val="20"/>
                <w:color w:val="auto"/>
              </w:rPr>
            </w:pPr>
            <w:r>
              <w:rPr>
                <w:rFonts w:ascii="Arial" w:cs="Arial" w:eastAsia="Arial" w:hAnsi="Arial"/>
                <w:sz w:val="16"/>
                <w:szCs w:val="16"/>
                <w:color w:val="auto"/>
              </w:rPr>
              <w:t>Deferred income taxes</w:t>
            </w:r>
          </w:p>
        </w:tc>
        <w:tc>
          <w:tcPr>
            <w:tcW w:w="300" w:type="dxa"/>
            <w:vAlign w:val="bottom"/>
          </w:tcPr>
          <w:p>
            <w:pPr>
              <w:spacing w:after="0"/>
              <w:rPr>
                <w:sz w:val="22"/>
                <w:szCs w:val="22"/>
                <w:color w:val="auto"/>
              </w:rPr>
            </w:pPr>
          </w:p>
        </w:tc>
        <w:tc>
          <w:tcPr>
            <w:tcW w:w="1220" w:type="dxa"/>
            <w:vAlign w:val="bottom"/>
          </w:tcPr>
          <w:p>
            <w:pPr>
              <w:jc w:val="right"/>
              <w:ind w:right="39"/>
              <w:spacing w:after="0"/>
              <w:rPr>
                <w:sz w:val="20"/>
                <w:szCs w:val="20"/>
                <w:color w:val="auto"/>
              </w:rPr>
            </w:pPr>
            <w:r>
              <w:rPr>
                <w:rFonts w:ascii="Arial" w:cs="Arial" w:eastAsia="Arial" w:hAnsi="Arial"/>
                <w:sz w:val="16"/>
                <w:szCs w:val="16"/>
                <w:color w:val="auto"/>
              </w:rPr>
              <w:t>11</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40" w:type="dxa"/>
            <w:vAlign w:val="bottom"/>
          </w:tcPr>
          <w:p>
            <w:pPr>
              <w:jc w:val="right"/>
              <w:ind w:right="19"/>
              <w:spacing w:after="0"/>
              <w:rPr>
                <w:sz w:val="20"/>
                <w:szCs w:val="20"/>
                <w:color w:val="auto"/>
              </w:rPr>
            </w:pPr>
            <w:r>
              <w:rPr>
                <w:rFonts w:ascii="Arial" w:cs="Arial" w:eastAsia="Arial" w:hAnsi="Arial"/>
                <w:sz w:val="16"/>
                <w:szCs w:val="16"/>
                <w:color w:val="auto"/>
              </w:rPr>
              <w:t>39</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(35)</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3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2"/>
                <w:szCs w:val="22"/>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15</w:t>
            </w:r>
          </w:p>
        </w:tc>
      </w:tr>
      <w:tr>
        <w:trPr>
          <w:trHeight w:val="278"/>
        </w:trPr>
        <w:tc>
          <w:tcPr>
            <w:tcW w:w="3540" w:type="dxa"/>
            <w:vAlign w:val="bottom"/>
            <w:shd w:val="clear" w:color="auto" w:fill="CCEEFF"/>
          </w:tcPr>
          <w:p>
            <w:pPr>
              <w:ind w:left="40"/>
              <w:spacing w:after="0"/>
              <w:rPr>
                <w:sz w:val="20"/>
                <w:szCs w:val="20"/>
                <w:color w:val="auto"/>
              </w:rPr>
            </w:pPr>
            <w:r>
              <w:rPr>
                <w:rFonts w:ascii="Arial" w:cs="Arial" w:eastAsia="Arial" w:hAnsi="Arial"/>
                <w:sz w:val="16"/>
                <w:szCs w:val="16"/>
                <w:color w:val="auto"/>
              </w:rPr>
              <w:t>Other long-term liabilities</w:t>
            </w:r>
          </w:p>
        </w:tc>
        <w:tc>
          <w:tcPr>
            <w:tcW w:w="30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19</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3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2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22</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38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24"/>
                <w:szCs w:val="24"/>
                <w:color w:val="auto"/>
              </w:rPr>
            </w:pPr>
          </w:p>
        </w:tc>
        <w:tc>
          <w:tcPr>
            <w:tcW w:w="13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42</w:t>
            </w:r>
          </w:p>
        </w:tc>
      </w:tr>
      <w:tr>
        <w:trPr>
          <w:trHeight w:val="242"/>
        </w:trPr>
        <w:tc>
          <w:tcPr>
            <w:tcW w:w="3540" w:type="dxa"/>
            <w:vAlign w:val="bottom"/>
          </w:tcPr>
          <w:p>
            <w:pPr>
              <w:ind w:left="40"/>
              <w:spacing w:after="0"/>
              <w:rPr>
                <w:sz w:val="20"/>
                <w:szCs w:val="20"/>
                <w:color w:val="auto"/>
              </w:rPr>
            </w:pPr>
            <w:r>
              <w:rPr>
                <w:rFonts w:ascii="Arial" w:cs="Arial" w:eastAsia="Arial" w:hAnsi="Arial"/>
                <w:sz w:val="16"/>
                <w:szCs w:val="16"/>
                <w:color w:val="auto"/>
              </w:rPr>
              <w:t>Total liabilities</w:t>
            </w:r>
          </w:p>
        </w:tc>
        <w:tc>
          <w:tcPr>
            <w:tcW w:w="300" w:type="dxa"/>
            <w:vAlign w:val="bottom"/>
            <w:tcBorders>
              <w:top w:val="single" w:sz="8" w:color="auto"/>
            </w:tcBorders>
          </w:tcPr>
          <w:p>
            <w:pPr>
              <w:spacing w:after="0"/>
              <w:rPr>
                <w:sz w:val="21"/>
                <w:szCs w:val="21"/>
                <w:color w:val="auto"/>
              </w:rPr>
            </w:pPr>
          </w:p>
        </w:tc>
        <w:tc>
          <w:tcPr>
            <w:tcW w:w="12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2,089</w:t>
            </w:r>
          </w:p>
        </w:tc>
        <w:tc>
          <w:tcPr>
            <w:tcW w:w="120" w:type="dxa"/>
            <w:vAlign w:val="bottom"/>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13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114</w:t>
            </w:r>
          </w:p>
        </w:tc>
        <w:tc>
          <w:tcPr>
            <w:tcW w:w="100" w:type="dxa"/>
            <w:vAlign w:val="bottom"/>
          </w:tcPr>
          <w:p>
            <w:pPr>
              <w:spacing w:after="0"/>
              <w:rPr>
                <w:sz w:val="21"/>
                <w:szCs w:val="21"/>
                <w:color w:val="auto"/>
              </w:rPr>
            </w:pPr>
          </w:p>
        </w:tc>
        <w:tc>
          <w:tcPr>
            <w:tcW w:w="200" w:type="dxa"/>
            <w:vAlign w:val="bottom"/>
            <w:tcBorders>
              <w:top w:val="single" w:sz="8" w:color="auto"/>
            </w:tcBorders>
          </w:tcPr>
          <w:p>
            <w:pPr>
              <w:spacing w:after="0"/>
              <w:rPr>
                <w:sz w:val="21"/>
                <w:szCs w:val="21"/>
                <w:color w:val="auto"/>
              </w:rPr>
            </w:pPr>
          </w:p>
        </w:tc>
        <w:tc>
          <w:tcPr>
            <w:tcW w:w="12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3,613</w:t>
            </w:r>
          </w:p>
        </w:tc>
        <w:tc>
          <w:tcPr>
            <w:tcW w:w="100" w:type="dxa"/>
            <w:vAlign w:val="bottom"/>
          </w:tcPr>
          <w:p>
            <w:pPr>
              <w:spacing w:after="0"/>
              <w:rPr>
                <w:sz w:val="21"/>
                <w:szCs w:val="21"/>
                <w:color w:val="auto"/>
              </w:rPr>
            </w:pPr>
          </w:p>
        </w:tc>
        <w:tc>
          <w:tcPr>
            <w:tcW w:w="200" w:type="dxa"/>
            <w:vAlign w:val="bottom"/>
            <w:tcBorders>
              <w:top w:val="single" w:sz="8" w:color="auto"/>
            </w:tcBorders>
          </w:tcPr>
          <w:p>
            <w:pPr>
              <w:spacing w:after="0"/>
              <w:rPr>
                <w:sz w:val="21"/>
                <w:szCs w:val="21"/>
                <w:color w:val="auto"/>
              </w:rPr>
            </w:pP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(16)</w:t>
            </w:r>
          </w:p>
        </w:tc>
        <w:tc>
          <w:tcPr>
            <w:tcW w:w="100" w:type="dxa"/>
            <w:vAlign w:val="bottom"/>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13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5,800</w:t>
            </w:r>
          </w:p>
        </w:tc>
      </w:tr>
      <w:tr>
        <w:trPr>
          <w:trHeight w:val="271"/>
        </w:trPr>
        <w:tc>
          <w:tcPr>
            <w:tcW w:w="3540" w:type="dxa"/>
            <w:vAlign w:val="bottom"/>
            <w:shd w:val="clear" w:color="auto" w:fill="CCEEFF"/>
          </w:tcPr>
          <w:p>
            <w:pPr>
              <w:ind w:left="40"/>
              <w:spacing w:after="0"/>
              <w:rPr>
                <w:sz w:val="20"/>
                <w:szCs w:val="20"/>
                <w:color w:val="auto"/>
              </w:rPr>
            </w:pPr>
            <w:r>
              <w:rPr>
                <w:rFonts w:ascii="Arial" w:cs="Arial" w:eastAsia="Arial" w:hAnsi="Arial"/>
                <w:sz w:val="16"/>
                <w:szCs w:val="16"/>
                <w:color w:val="auto"/>
              </w:rPr>
              <w:t>Total stockholders’ equity</w:t>
            </w:r>
          </w:p>
        </w:tc>
        <w:tc>
          <w:tcPr>
            <w:tcW w:w="300" w:type="dxa"/>
            <w:vAlign w:val="bottom"/>
            <w:tcBorders>
              <w:bottom w:val="single" w:sz="8" w:color="auto"/>
            </w:tcBorders>
            <w:shd w:val="clear" w:color="auto" w:fill="CCEEFF"/>
          </w:tcPr>
          <w:p>
            <w:pPr>
              <w:spacing w:after="0"/>
              <w:rPr>
                <w:sz w:val="23"/>
                <w:szCs w:val="23"/>
                <w:color w:val="auto"/>
              </w:rPr>
            </w:pPr>
          </w:p>
        </w:tc>
        <w:tc>
          <w:tcPr>
            <w:tcW w:w="1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1,649</w:t>
            </w:r>
          </w:p>
        </w:tc>
        <w:tc>
          <w:tcPr>
            <w:tcW w:w="12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13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409</w:t>
            </w:r>
          </w:p>
        </w:tc>
        <w:tc>
          <w:tcPr>
            <w:tcW w:w="10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12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2,446</w:t>
            </w:r>
          </w:p>
        </w:tc>
        <w:tc>
          <w:tcPr>
            <w:tcW w:w="10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(2,855)</w:t>
            </w:r>
          </w:p>
        </w:tc>
        <w:tc>
          <w:tcPr>
            <w:tcW w:w="10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3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1,649</w:t>
            </w:r>
          </w:p>
        </w:tc>
      </w:tr>
      <w:tr>
        <w:trPr>
          <w:trHeight w:val="237"/>
        </w:trPr>
        <w:tc>
          <w:tcPr>
            <w:tcW w:w="3540" w:type="dxa"/>
            <w:vAlign w:val="bottom"/>
          </w:tcPr>
          <w:p>
            <w:pPr>
              <w:spacing w:after="0"/>
              <w:rPr>
                <w:sz w:val="20"/>
                <w:szCs w:val="20"/>
                <w:color w:val="auto"/>
              </w:rPr>
            </w:pPr>
          </w:p>
        </w:tc>
        <w:tc>
          <w:tcPr>
            <w:tcW w:w="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220" w:type="dxa"/>
            <w:vAlign w:val="bottom"/>
          </w:tcPr>
          <w:p>
            <w:pPr>
              <w:jc w:val="right"/>
              <w:ind w:right="39"/>
              <w:spacing w:after="0"/>
              <w:rPr>
                <w:sz w:val="20"/>
                <w:szCs w:val="20"/>
                <w:color w:val="auto"/>
              </w:rPr>
            </w:pPr>
            <w:r>
              <w:rPr>
                <w:rFonts w:ascii="Arial" w:cs="Arial" w:eastAsia="Arial" w:hAnsi="Arial"/>
                <w:sz w:val="16"/>
                <w:szCs w:val="16"/>
                <w:color w:val="auto"/>
              </w:rPr>
              <w:t>3,738</w:t>
            </w:r>
          </w:p>
        </w:tc>
        <w:tc>
          <w:tcPr>
            <w:tcW w:w="12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340" w:type="dxa"/>
            <w:vAlign w:val="bottom"/>
          </w:tcPr>
          <w:p>
            <w:pPr>
              <w:jc w:val="right"/>
              <w:ind w:right="19"/>
              <w:spacing w:after="0"/>
              <w:rPr>
                <w:sz w:val="20"/>
                <w:szCs w:val="20"/>
                <w:color w:val="auto"/>
              </w:rPr>
            </w:pPr>
            <w:r>
              <w:rPr>
                <w:rFonts w:ascii="Arial" w:cs="Arial" w:eastAsia="Arial" w:hAnsi="Arial"/>
                <w:sz w:val="16"/>
                <w:szCs w:val="16"/>
                <w:color w:val="auto"/>
              </w:rPr>
              <w:t>523</w:t>
            </w:r>
          </w:p>
        </w:tc>
        <w:tc>
          <w:tcPr>
            <w:tcW w:w="30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280" w:type="dxa"/>
            <w:vAlign w:val="bottom"/>
          </w:tcPr>
          <w:p>
            <w:pPr>
              <w:jc w:val="right"/>
              <w:ind w:right="19"/>
              <w:spacing w:after="0"/>
              <w:rPr>
                <w:sz w:val="20"/>
                <w:szCs w:val="20"/>
                <w:color w:val="auto"/>
              </w:rPr>
            </w:pPr>
            <w:r>
              <w:rPr>
                <w:rFonts w:ascii="Arial" w:cs="Arial" w:eastAsia="Arial" w:hAnsi="Arial"/>
                <w:sz w:val="16"/>
                <w:szCs w:val="16"/>
                <w:color w:val="auto"/>
              </w:rPr>
              <w:t>6,059</w:t>
            </w:r>
          </w:p>
        </w:tc>
        <w:tc>
          <w:tcPr>
            <w:tcW w:w="10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280" w:type="dxa"/>
            <w:vAlign w:val="bottom"/>
          </w:tcPr>
          <w:p>
            <w:pPr>
              <w:jc w:val="right"/>
              <w:spacing w:after="0"/>
              <w:rPr>
                <w:sz w:val="20"/>
                <w:szCs w:val="20"/>
                <w:color w:val="auto"/>
              </w:rPr>
            </w:pPr>
            <w:r>
              <w:rPr>
                <w:rFonts w:ascii="Arial" w:cs="Arial" w:eastAsia="Arial" w:hAnsi="Arial"/>
                <w:sz w:val="16"/>
                <w:szCs w:val="16"/>
                <w:color w:val="auto"/>
              </w:rPr>
              <w:t>(2,871)</w:t>
            </w: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7,449</w:t>
            </w:r>
          </w:p>
        </w:tc>
      </w:tr>
      <w:tr>
        <w:trPr>
          <w:trHeight w:val="20"/>
        </w:trPr>
        <w:tc>
          <w:tcPr>
            <w:tcW w:w="35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Molina Healthcare, Inc. 2017 Form 10-Q | 36</w:t>
      </w:r>
    </w:p>
    <w:p>
      <w:pPr>
        <w:sectPr>
          <w:pgSz w:w="11900" w:h="16838" w:orient="portrait"/>
          <w:cols w:equalWidth="0" w:num="1">
            <w:col w:w="11420"/>
          </w:cols>
          <w:pgMar w:left="240" w:top="115" w:right="239" w:bottom="1440" w:gutter="0" w:footer="0" w:header="0"/>
        </w:sectPr>
      </w:pPr>
    </w:p>
    <w:bookmarkStart w:id="36" w:name="page37"/>
    <w:bookmarkEnd w:id="3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STATEMENTS OF CASH FLOWS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3540" w:type="dxa"/>
            <w:vAlign w:val="bottom"/>
          </w:tcPr>
          <w:p>
            <w:pPr>
              <w:spacing w:after="0"/>
              <w:rPr>
                <w:sz w:val="20"/>
                <w:szCs w:val="20"/>
                <w:color w:val="auto"/>
              </w:rPr>
            </w:pPr>
          </w:p>
        </w:tc>
        <w:tc>
          <w:tcPr>
            <w:tcW w:w="6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4320" w:type="dxa"/>
            <w:vAlign w:val="bottom"/>
            <w:tcBorders>
              <w:bottom w:val="single" w:sz="8" w:color="auto"/>
            </w:tcBorders>
            <w:gridSpan w:val="8"/>
          </w:tcPr>
          <w:p>
            <w:pPr>
              <w:jc w:val="center"/>
              <w:ind w:right="560"/>
              <w:spacing w:after="0"/>
              <w:rPr>
                <w:sz w:val="20"/>
                <w:szCs w:val="20"/>
                <w:color w:val="auto"/>
              </w:rPr>
            </w:pPr>
            <w:r>
              <w:rPr>
                <w:rFonts w:ascii="Arial" w:cs="Arial" w:eastAsia="Arial" w:hAnsi="Arial"/>
                <w:sz w:val="16"/>
                <w:szCs w:val="16"/>
                <w:b w:val="1"/>
                <w:bCs w:val="1"/>
                <w:color w:val="auto"/>
              </w:rPr>
              <w:t>Nine Months Ended September 30, 2017</w:t>
            </w:r>
          </w:p>
        </w:tc>
        <w:tc>
          <w:tcPr>
            <w:tcW w:w="18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spacing w:after="0"/>
              <w:rPr>
                <w:sz w:val="20"/>
                <w:szCs w:val="20"/>
                <w:color w:val="auto"/>
              </w:rPr>
            </w:pPr>
          </w:p>
        </w:tc>
      </w:tr>
      <w:tr>
        <w:trPr>
          <w:trHeight w:val="264"/>
        </w:trPr>
        <w:tc>
          <w:tcPr>
            <w:tcW w:w="3540" w:type="dxa"/>
            <w:vAlign w:val="bottom"/>
          </w:tcPr>
          <w:p>
            <w:pPr>
              <w:spacing w:after="0"/>
              <w:rPr>
                <w:sz w:val="22"/>
                <w:szCs w:val="22"/>
                <w:color w:val="auto"/>
              </w:rPr>
            </w:pPr>
          </w:p>
        </w:tc>
        <w:tc>
          <w:tcPr>
            <w:tcW w:w="1640" w:type="dxa"/>
            <w:vAlign w:val="bottom"/>
            <w:tcBorders>
              <w:bottom w:val="single" w:sz="8" w:color="auto"/>
            </w:tcBorders>
            <w:gridSpan w:val="3"/>
          </w:tcPr>
          <w:p>
            <w:pPr>
              <w:ind w:left="100"/>
              <w:spacing w:after="0"/>
              <w:rPr>
                <w:sz w:val="20"/>
                <w:szCs w:val="20"/>
                <w:color w:val="auto"/>
              </w:rPr>
            </w:pPr>
            <w:r>
              <w:rPr>
                <w:rFonts w:ascii="Arial" w:cs="Arial" w:eastAsia="Arial" w:hAnsi="Arial"/>
                <w:sz w:val="16"/>
                <w:szCs w:val="16"/>
                <w:b w:val="1"/>
                <w:bCs w:val="1"/>
                <w:color w:val="auto"/>
              </w:rPr>
              <w:t>Parent Guarantor</w:t>
            </w:r>
          </w:p>
        </w:tc>
        <w:tc>
          <w:tcPr>
            <w:tcW w:w="1600" w:type="dxa"/>
            <w:vAlign w:val="bottom"/>
            <w:tcBorders>
              <w:bottom w:val="single" w:sz="8" w:color="auto"/>
            </w:tcBorders>
            <w:gridSpan w:val="3"/>
          </w:tcPr>
          <w:p>
            <w:pPr>
              <w:ind w:left="80"/>
              <w:spacing w:after="0"/>
              <w:rPr>
                <w:sz w:val="20"/>
                <w:szCs w:val="20"/>
                <w:color w:val="auto"/>
              </w:rPr>
            </w:pPr>
            <w:r>
              <w:rPr>
                <w:rFonts w:ascii="Arial" w:cs="Arial" w:eastAsia="Arial" w:hAnsi="Arial"/>
                <w:sz w:val="16"/>
                <w:szCs w:val="16"/>
                <w:b w:val="1"/>
                <w:bCs w:val="1"/>
                <w:color w:val="auto"/>
              </w:rPr>
              <w:t>Other Guarantors</w:t>
            </w:r>
          </w:p>
        </w:tc>
        <w:tc>
          <w:tcPr>
            <w:tcW w:w="1580" w:type="dxa"/>
            <w:vAlign w:val="bottom"/>
            <w:tcBorders>
              <w:bottom w:val="single" w:sz="8" w:color="auto"/>
            </w:tcBorders>
            <w:gridSpan w:val="3"/>
          </w:tcPr>
          <w:p>
            <w:pPr>
              <w:ind w:left="120"/>
              <w:spacing w:after="0"/>
              <w:rPr>
                <w:sz w:val="20"/>
                <w:szCs w:val="20"/>
                <w:color w:val="auto"/>
              </w:rPr>
            </w:pPr>
            <w:r>
              <w:rPr>
                <w:rFonts w:ascii="Arial" w:cs="Arial" w:eastAsia="Arial" w:hAnsi="Arial"/>
                <w:sz w:val="16"/>
                <w:szCs w:val="16"/>
                <w:b w:val="1"/>
                <w:bCs w:val="1"/>
                <w:color w:val="auto"/>
              </w:rPr>
              <w:t>Non-Guarantors</w:t>
            </w:r>
          </w:p>
        </w:tc>
        <w:tc>
          <w:tcPr>
            <w:tcW w:w="20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gridSpan w:val="2"/>
          </w:tcPr>
          <w:p>
            <w:pPr>
              <w:ind w:left="60"/>
              <w:spacing w:after="0"/>
              <w:rPr>
                <w:sz w:val="20"/>
                <w:szCs w:val="20"/>
                <w:color w:val="auto"/>
              </w:rPr>
            </w:pPr>
            <w:r>
              <w:rPr>
                <w:rFonts w:ascii="Arial" w:cs="Arial" w:eastAsia="Arial" w:hAnsi="Arial"/>
                <w:sz w:val="16"/>
                <w:szCs w:val="16"/>
                <w:b w:val="1"/>
                <w:bCs w:val="1"/>
                <w:color w:val="auto"/>
              </w:rPr>
              <w:t>Eliminations</w:t>
            </w:r>
          </w:p>
        </w:tc>
        <w:tc>
          <w:tcPr>
            <w:tcW w:w="18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b w:val="1"/>
                <w:bCs w:val="1"/>
                <w:color w:val="auto"/>
              </w:rPr>
              <w:t>Consolidated</w:t>
            </w:r>
          </w:p>
        </w:tc>
      </w:tr>
      <w:tr>
        <w:trPr>
          <w:trHeight w:val="250"/>
        </w:trPr>
        <w:tc>
          <w:tcPr>
            <w:tcW w:w="35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8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rPr>
              <w:t>(In millions)</w:t>
            </w:r>
          </w:p>
        </w:tc>
        <w:tc>
          <w:tcPr>
            <w:tcW w:w="2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spacing w:after="0"/>
              <w:rPr>
                <w:sz w:val="21"/>
                <w:szCs w:val="21"/>
                <w:color w:val="auto"/>
              </w:rPr>
            </w:pPr>
          </w:p>
        </w:tc>
      </w:tr>
      <w:tr>
        <w:trPr>
          <w:trHeight w:val="274"/>
        </w:trPr>
        <w:tc>
          <w:tcPr>
            <w:tcW w:w="3540" w:type="dxa"/>
            <w:vAlign w:val="bottom"/>
            <w:shd w:val="clear" w:color="auto" w:fill="CCEEFF"/>
          </w:tcPr>
          <w:p>
            <w:pPr>
              <w:ind w:left="40"/>
              <w:spacing w:after="0"/>
              <w:rPr>
                <w:sz w:val="20"/>
                <w:szCs w:val="20"/>
                <w:color w:val="auto"/>
              </w:rPr>
            </w:pPr>
            <w:r>
              <w:rPr>
                <w:rFonts w:ascii="Arial" w:cs="Arial" w:eastAsia="Arial" w:hAnsi="Arial"/>
                <w:sz w:val="16"/>
                <w:szCs w:val="16"/>
                <w:b w:val="1"/>
                <w:bCs w:val="1"/>
                <w:color w:val="auto"/>
              </w:rPr>
              <w:t>Operating activities:</w:t>
            </w:r>
          </w:p>
        </w:tc>
        <w:tc>
          <w:tcPr>
            <w:tcW w:w="600" w:type="dxa"/>
            <w:vAlign w:val="bottom"/>
            <w:shd w:val="clear" w:color="auto" w:fill="CCEEFF"/>
          </w:tcPr>
          <w:p>
            <w:pPr>
              <w:spacing w:after="0"/>
              <w:rPr>
                <w:sz w:val="23"/>
                <w:szCs w:val="23"/>
                <w:color w:val="auto"/>
              </w:rPr>
            </w:pPr>
          </w:p>
        </w:tc>
        <w:tc>
          <w:tcPr>
            <w:tcW w:w="9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44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2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2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300" w:type="dxa"/>
            <w:vAlign w:val="bottom"/>
            <w:shd w:val="clear" w:color="auto" w:fill="CCEEFF"/>
          </w:tcPr>
          <w:p>
            <w:pPr>
              <w:spacing w:after="0"/>
              <w:rPr>
                <w:sz w:val="23"/>
                <w:szCs w:val="23"/>
                <w:color w:val="auto"/>
              </w:rPr>
            </w:pPr>
          </w:p>
        </w:tc>
      </w:tr>
      <w:tr>
        <w:trPr>
          <w:trHeight w:val="264"/>
        </w:trPr>
        <w:tc>
          <w:tcPr>
            <w:tcW w:w="3540" w:type="dxa"/>
            <w:vAlign w:val="bottom"/>
          </w:tcPr>
          <w:p>
            <w:pPr>
              <w:ind w:left="40"/>
              <w:spacing w:after="0"/>
              <w:rPr>
                <w:sz w:val="20"/>
                <w:szCs w:val="20"/>
                <w:color w:val="auto"/>
              </w:rPr>
            </w:pPr>
            <w:r>
              <w:rPr>
                <w:rFonts w:ascii="Arial" w:cs="Arial" w:eastAsia="Arial" w:hAnsi="Arial"/>
                <w:sz w:val="16"/>
                <w:szCs w:val="16"/>
                <w:color w:val="auto"/>
              </w:rPr>
              <w:t>Net cash provided by operating activities</w:t>
            </w:r>
          </w:p>
        </w:tc>
        <w:tc>
          <w:tcPr>
            <w:tcW w:w="600" w:type="dxa"/>
            <w:vAlign w:val="bottom"/>
          </w:tcPr>
          <w:p>
            <w:pPr>
              <w:jc w:val="right"/>
              <w:ind w:right="399"/>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39"/>
              <w:spacing w:after="0"/>
              <w:rPr>
                <w:sz w:val="20"/>
                <w:szCs w:val="20"/>
                <w:color w:val="auto"/>
              </w:rPr>
            </w:pPr>
            <w:r>
              <w:rPr>
                <w:rFonts w:ascii="Arial" w:cs="Arial" w:eastAsia="Arial" w:hAnsi="Arial"/>
                <w:sz w:val="16"/>
                <w:szCs w:val="16"/>
                <w:color w:val="auto"/>
              </w:rPr>
              <w:t>215</w:t>
            </w:r>
          </w:p>
        </w:tc>
        <w:tc>
          <w:tcPr>
            <w:tcW w:w="120" w:type="dxa"/>
            <w:vAlign w:val="bottom"/>
          </w:tcPr>
          <w:p>
            <w:pPr>
              <w:spacing w:after="0"/>
              <w:rPr>
                <w:sz w:val="22"/>
                <w:szCs w:val="22"/>
                <w:color w:val="auto"/>
              </w:rPr>
            </w:pPr>
          </w:p>
        </w:tc>
        <w:tc>
          <w:tcPr>
            <w:tcW w:w="440" w:type="dxa"/>
            <w:vAlign w:val="bottom"/>
          </w:tcPr>
          <w:p>
            <w:pPr>
              <w:jc w:val="right"/>
              <w:ind w:right="239"/>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81</w:t>
            </w:r>
          </w:p>
        </w:tc>
        <w:tc>
          <w:tcPr>
            <w:tcW w:w="100" w:type="dxa"/>
            <w:vAlign w:val="bottom"/>
          </w:tcPr>
          <w:p>
            <w:pPr>
              <w:spacing w:after="0"/>
              <w:rPr>
                <w:sz w:val="22"/>
                <w:szCs w:val="22"/>
                <w:color w:val="auto"/>
              </w:rPr>
            </w:pP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280" w:type="dxa"/>
            <w:vAlign w:val="bottom"/>
          </w:tcPr>
          <w:p>
            <w:pPr>
              <w:jc w:val="right"/>
              <w:ind w:right="19"/>
              <w:spacing w:after="0"/>
              <w:rPr>
                <w:sz w:val="20"/>
                <w:szCs w:val="20"/>
                <w:color w:val="auto"/>
              </w:rPr>
            </w:pPr>
            <w:r>
              <w:rPr>
                <w:rFonts w:ascii="Arial" w:cs="Arial" w:eastAsia="Arial" w:hAnsi="Arial"/>
                <w:sz w:val="16"/>
                <w:szCs w:val="16"/>
                <w:color w:val="auto"/>
              </w:rPr>
              <w:t>661</w:t>
            </w:r>
          </w:p>
        </w:tc>
        <w:tc>
          <w:tcPr>
            <w:tcW w:w="100" w:type="dxa"/>
            <w:vAlign w:val="bottom"/>
          </w:tcPr>
          <w:p>
            <w:pPr>
              <w:spacing w:after="0"/>
              <w:rPr>
                <w:sz w:val="22"/>
                <w:szCs w:val="22"/>
                <w:color w:val="auto"/>
              </w:rPr>
            </w:pP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380" w:type="dxa"/>
            <w:vAlign w:val="bottom"/>
            <w:gridSpan w:val="2"/>
          </w:tcPr>
          <w:p>
            <w:pPr>
              <w:ind w:left="1000"/>
              <w:spacing w:after="0"/>
              <w:rPr>
                <w:sz w:val="20"/>
                <w:szCs w:val="20"/>
                <w:color w:val="auto"/>
              </w:rPr>
            </w:pPr>
            <w:r>
              <w:rPr>
                <w:rFonts w:ascii="Arial" w:cs="Arial" w:eastAsia="Arial" w:hAnsi="Arial"/>
                <w:sz w:val="16"/>
                <w:szCs w:val="16"/>
                <w:color w:val="auto"/>
              </w:rPr>
              <w:t>—</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957</w:t>
            </w:r>
          </w:p>
        </w:tc>
      </w:tr>
      <w:tr>
        <w:trPr>
          <w:trHeight w:val="270"/>
        </w:trPr>
        <w:tc>
          <w:tcPr>
            <w:tcW w:w="354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Investing activities:</w:t>
            </w:r>
          </w:p>
        </w:tc>
        <w:tc>
          <w:tcPr>
            <w:tcW w:w="600" w:type="dxa"/>
            <w:vAlign w:val="bottom"/>
            <w:tcBorders>
              <w:top w:val="single" w:sz="8" w:color="auto"/>
            </w:tcBorders>
            <w:shd w:val="clear" w:color="auto" w:fill="CCEEFF"/>
          </w:tcPr>
          <w:p>
            <w:pPr>
              <w:spacing w:after="0"/>
              <w:rPr>
                <w:sz w:val="23"/>
                <w:szCs w:val="23"/>
                <w:color w:val="auto"/>
              </w:rPr>
            </w:pPr>
          </w:p>
        </w:tc>
        <w:tc>
          <w:tcPr>
            <w:tcW w:w="92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440" w:type="dxa"/>
            <w:vAlign w:val="bottom"/>
            <w:tcBorders>
              <w:top w:val="single" w:sz="8" w:color="auto"/>
            </w:tcBorders>
            <w:shd w:val="clear" w:color="auto" w:fill="CCEEFF"/>
          </w:tcPr>
          <w:p>
            <w:pPr>
              <w:spacing w:after="0"/>
              <w:rPr>
                <w:sz w:val="23"/>
                <w:szCs w:val="23"/>
                <w:color w:val="auto"/>
              </w:rPr>
            </w:pPr>
          </w:p>
        </w:tc>
        <w:tc>
          <w:tcPr>
            <w:tcW w:w="106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200" w:type="dxa"/>
            <w:vAlign w:val="bottom"/>
            <w:tcBorders>
              <w:top w:val="single" w:sz="8" w:color="auto"/>
            </w:tcBorders>
            <w:shd w:val="clear" w:color="auto" w:fill="CCEEFF"/>
          </w:tcPr>
          <w:p>
            <w:pPr>
              <w:spacing w:after="0"/>
              <w:rPr>
                <w:sz w:val="23"/>
                <w:szCs w:val="23"/>
                <w:color w:val="auto"/>
              </w:rPr>
            </w:pPr>
          </w:p>
        </w:tc>
        <w:tc>
          <w:tcPr>
            <w:tcW w:w="128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200" w:type="dxa"/>
            <w:vAlign w:val="bottom"/>
            <w:tcBorders>
              <w:top w:val="single" w:sz="8" w:color="auto"/>
            </w:tcBorders>
            <w:shd w:val="clear" w:color="auto" w:fill="CCEEFF"/>
          </w:tcPr>
          <w:p>
            <w:pPr>
              <w:spacing w:after="0"/>
              <w:rPr>
                <w:sz w:val="23"/>
                <w:szCs w:val="23"/>
                <w:color w:val="auto"/>
              </w:rPr>
            </w:pPr>
          </w:p>
        </w:tc>
        <w:tc>
          <w:tcPr>
            <w:tcW w:w="128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180" w:type="dxa"/>
            <w:vAlign w:val="bottom"/>
            <w:tcBorders>
              <w:top w:val="single" w:sz="8" w:color="auto"/>
            </w:tcBorders>
            <w:shd w:val="clear" w:color="auto" w:fill="CCEEFF"/>
          </w:tcPr>
          <w:p>
            <w:pPr>
              <w:spacing w:after="0"/>
              <w:rPr>
                <w:sz w:val="23"/>
                <w:szCs w:val="23"/>
                <w:color w:val="auto"/>
              </w:rPr>
            </w:pPr>
          </w:p>
        </w:tc>
        <w:tc>
          <w:tcPr>
            <w:tcW w:w="1300" w:type="dxa"/>
            <w:vAlign w:val="bottom"/>
            <w:tcBorders>
              <w:top w:val="single" w:sz="8" w:color="auto"/>
            </w:tcBorders>
            <w:shd w:val="clear" w:color="auto" w:fill="CCEEFF"/>
          </w:tcPr>
          <w:p>
            <w:pPr>
              <w:spacing w:after="0"/>
              <w:rPr>
                <w:sz w:val="23"/>
                <w:szCs w:val="23"/>
                <w:color w:val="auto"/>
              </w:rPr>
            </w:pPr>
          </w:p>
        </w:tc>
      </w:tr>
      <w:tr>
        <w:trPr>
          <w:trHeight w:val="262"/>
        </w:trPr>
        <w:tc>
          <w:tcPr>
            <w:tcW w:w="3540" w:type="dxa"/>
            <w:vAlign w:val="bottom"/>
          </w:tcPr>
          <w:p>
            <w:pPr>
              <w:ind w:left="40"/>
              <w:spacing w:after="0"/>
              <w:rPr>
                <w:sz w:val="20"/>
                <w:szCs w:val="20"/>
                <w:color w:val="auto"/>
              </w:rPr>
            </w:pPr>
            <w:r>
              <w:rPr>
                <w:rFonts w:ascii="Arial" w:cs="Arial" w:eastAsia="Arial" w:hAnsi="Arial"/>
                <w:sz w:val="16"/>
                <w:szCs w:val="16"/>
                <w:color w:val="auto"/>
              </w:rPr>
              <w:t>Purchases of investments</w:t>
            </w:r>
          </w:p>
        </w:tc>
        <w:tc>
          <w:tcPr>
            <w:tcW w:w="60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(333)</w:t>
            </w:r>
          </w:p>
        </w:tc>
        <w:tc>
          <w:tcPr>
            <w:tcW w:w="1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2"/>
                <w:szCs w:val="22"/>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(1,563)</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380" w:type="dxa"/>
            <w:vAlign w:val="bottom"/>
            <w:gridSpan w:val="2"/>
          </w:tcPr>
          <w:p>
            <w:pPr>
              <w:ind w:left="10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2"/>
                <w:szCs w:val="22"/>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(1,896)</w:t>
            </w:r>
          </w:p>
        </w:tc>
      </w:tr>
      <w:tr>
        <w:trPr>
          <w:trHeight w:val="206"/>
        </w:trPr>
        <w:tc>
          <w:tcPr>
            <w:tcW w:w="3540" w:type="dxa"/>
            <w:vAlign w:val="bottom"/>
            <w:shd w:val="clear" w:color="auto" w:fill="CCEEFF"/>
          </w:tcPr>
          <w:p>
            <w:pPr>
              <w:ind w:left="40"/>
              <w:spacing w:after="0"/>
              <w:rPr>
                <w:sz w:val="20"/>
                <w:szCs w:val="20"/>
                <w:color w:val="auto"/>
              </w:rPr>
            </w:pPr>
            <w:r>
              <w:rPr>
                <w:rFonts w:ascii="Arial" w:cs="Arial" w:eastAsia="Arial" w:hAnsi="Arial"/>
                <w:sz w:val="16"/>
                <w:szCs w:val="16"/>
                <w:color w:val="auto"/>
              </w:rPr>
              <w:t>Proceeds from sales and maturities of</w:t>
            </w:r>
          </w:p>
        </w:tc>
        <w:tc>
          <w:tcPr>
            <w:tcW w:w="6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r>
      <w:tr>
        <w:trPr>
          <w:trHeight w:val="234"/>
        </w:trPr>
        <w:tc>
          <w:tcPr>
            <w:tcW w:w="3540" w:type="dxa"/>
            <w:vAlign w:val="bottom"/>
            <w:shd w:val="clear" w:color="auto" w:fill="CCEEFF"/>
          </w:tcPr>
          <w:p>
            <w:pPr>
              <w:ind w:left="200"/>
              <w:spacing w:after="0"/>
              <w:rPr>
                <w:sz w:val="20"/>
                <w:szCs w:val="20"/>
                <w:color w:val="auto"/>
              </w:rPr>
            </w:pPr>
            <w:r>
              <w:rPr>
                <w:rFonts w:ascii="Arial" w:cs="Arial" w:eastAsia="Arial" w:hAnsi="Arial"/>
                <w:sz w:val="16"/>
                <w:szCs w:val="16"/>
                <w:color w:val="auto"/>
              </w:rPr>
              <w:t>investments</w:t>
            </w:r>
          </w:p>
        </w:tc>
        <w:tc>
          <w:tcPr>
            <w:tcW w:w="600" w:type="dxa"/>
            <w:vAlign w:val="bottom"/>
            <w:shd w:val="clear" w:color="auto" w:fill="CCEEFF"/>
          </w:tcPr>
          <w:p>
            <w:pPr>
              <w:spacing w:after="0"/>
              <w:rPr>
                <w:sz w:val="20"/>
                <w:szCs w:val="20"/>
                <w:color w:val="auto"/>
              </w:rPr>
            </w:pPr>
          </w:p>
        </w:tc>
        <w:tc>
          <w:tcPr>
            <w:tcW w:w="9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150</w:t>
            </w:r>
          </w:p>
        </w:tc>
        <w:tc>
          <w:tcPr>
            <w:tcW w:w="12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20"/>
                <w:szCs w:val="20"/>
                <w:color w:val="auto"/>
              </w:rPr>
            </w:pPr>
          </w:p>
        </w:tc>
        <w:tc>
          <w:tcPr>
            <w:tcW w:w="12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1,388</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380" w:type="dxa"/>
            <w:vAlign w:val="bottom"/>
            <w:gridSpan w:val="2"/>
            <w:shd w:val="clear" w:color="auto" w:fill="CCEEFF"/>
          </w:tcPr>
          <w:p>
            <w:pPr>
              <w:ind w:left="100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20"/>
                <w:szCs w:val="20"/>
                <w:color w:val="auto"/>
              </w:rPr>
            </w:pPr>
          </w:p>
        </w:tc>
        <w:tc>
          <w:tcPr>
            <w:tcW w:w="13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1,538</w:t>
            </w:r>
          </w:p>
        </w:tc>
      </w:tr>
      <w:tr>
        <w:trPr>
          <w:trHeight w:val="198"/>
        </w:trPr>
        <w:tc>
          <w:tcPr>
            <w:tcW w:w="3540" w:type="dxa"/>
            <w:vAlign w:val="bottom"/>
          </w:tcPr>
          <w:p>
            <w:pPr>
              <w:ind w:left="40"/>
              <w:spacing w:after="0"/>
              <w:rPr>
                <w:sz w:val="20"/>
                <w:szCs w:val="20"/>
                <w:color w:val="auto"/>
              </w:rPr>
            </w:pPr>
            <w:r>
              <w:rPr>
                <w:rFonts w:ascii="Arial" w:cs="Arial" w:eastAsia="Arial" w:hAnsi="Arial"/>
                <w:sz w:val="16"/>
                <w:szCs w:val="16"/>
                <w:color w:val="auto"/>
              </w:rPr>
              <w:t>Purchases of property, equipment and</w:t>
            </w:r>
          </w:p>
        </w:tc>
        <w:tc>
          <w:tcPr>
            <w:tcW w:w="6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00" w:type="dxa"/>
            <w:vAlign w:val="bottom"/>
          </w:tcPr>
          <w:p>
            <w:pPr>
              <w:spacing w:after="0"/>
              <w:rPr>
                <w:sz w:val="17"/>
                <w:szCs w:val="17"/>
                <w:color w:val="auto"/>
              </w:rPr>
            </w:pPr>
          </w:p>
        </w:tc>
      </w:tr>
      <w:tr>
        <w:trPr>
          <w:trHeight w:val="226"/>
        </w:trPr>
        <w:tc>
          <w:tcPr>
            <w:tcW w:w="3540" w:type="dxa"/>
            <w:vAlign w:val="bottom"/>
          </w:tcPr>
          <w:p>
            <w:pPr>
              <w:ind w:left="200"/>
              <w:spacing w:after="0"/>
              <w:rPr>
                <w:sz w:val="20"/>
                <w:szCs w:val="20"/>
                <w:color w:val="auto"/>
              </w:rPr>
            </w:pPr>
            <w:r>
              <w:rPr>
                <w:rFonts w:ascii="Arial" w:cs="Arial" w:eastAsia="Arial" w:hAnsi="Arial"/>
                <w:sz w:val="16"/>
                <w:szCs w:val="16"/>
                <w:color w:val="auto"/>
              </w:rPr>
              <w:t>capitalized software</w:t>
            </w:r>
          </w:p>
        </w:tc>
        <w:tc>
          <w:tcPr>
            <w:tcW w:w="6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(67)</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(8)</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80" w:type="dxa"/>
            <w:vAlign w:val="bottom"/>
            <w:gridSpan w:val="2"/>
          </w:tcPr>
          <w:p>
            <w:pPr>
              <w:ind w:left="10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(85)</w:t>
            </w:r>
          </w:p>
        </w:tc>
      </w:tr>
      <w:tr>
        <w:trPr>
          <w:trHeight w:val="206"/>
        </w:trPr>
        <w:tc>
          <w:tcPr>
            <w:tcW w:w="3540" w:type="dxa"/>
            <w:vAlign w:val="bottom"/>
            <w:shd w:val="clear" w:color="auto" w:fill="CCEEFF"/>
          </w:tcPr>
          <w:p>
            <w:pPr>
              <w:ind w:left="40"/>
              <w:spacing w:after="0"/>
              <w:rPr>
                <w:sz w:val="20"/>
                <w:szCs w:val="20"/>
                <w:color w:val="auto"/>
              </w:rPr>
            </w:pPr>
            <w:r>
              <w:rPr>
                <w:rFonts w:ascii="Arial" w:cs="Arial" w:eastAsia="Arial" w:hAnsi="Arial"/>
                <w:sz w:val="16"/>
                <w:szCs w:val="16"/>
                <w:color w:val="auto"/>
              </w:rPr>
              <w:t>Increase in restricted investments held-to-</w:t>
            </w:r>
          </w:p>
        </w:tc>
        <w:tc>
          <w:tcPr>
            <w:tcW w:w="6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r>
      <w:tr>
        <w:trPr>
          <w:trHeight w:val="234"/>
        </w:trPr>
        <w:tc>
          <w:tcPr>
            <w:tcW w:w="3540" w:type="dxa"/>
            <w:vAlign w:val="bottom"/>
            <w:shd w:val="clear" w:color="auto" w:fill="CCEEFF"/>
          </w:tcPr>
          <w:p>
            <w:pPr>
              <w:ind w:left="200"/>
              <w:spacing w:after="0"/>
              <w:rPr>
                <w:sz w:val="20"/>
                <w:szCs w:val="20"/>
                <w:color w:val="auto"/>
              </w:rPr>
            </w:pPr>
            <w:r>
              <w:rPr>
                <w:rFonts w:ascii="Arial" w:cs="Arial" w:eastAsia="Arial" w:hAnsi="Arial"/>
                <w:sz w:val="16"/>
                <w:szCs w:val="16"/>
                <w:color w:val="auto"/>
              </w:rPr>
              <w:t>maturity</w:t>
            </w:r>
          </w:p>
        </w:tc>
        <w:tc>
          <w:tcPr>
            <w:tcW w:w="60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44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20"/>
                <w:szCs w:val="20"/>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380" w:type="dxa"/>
            <w:vAlign w:val="bottom"/>
            <w:gridSpan w:val="2"/>
            <w:shd w:val="clear" w:color="auto" w:fill="CCEEFF"/>
          </w:tcPr>
          <w:p>
            <w:pPr>
              <w:ind w:left="100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20"/>
                <w:szCs w:val="20"/>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w:t>
            </w:r>
          </w:p>
        </w:tc>
      </w:tr>
      <w:tr>
        <w:trPr>
          <w:trHeight w:val="262"/>
        </w:trPr>
        <w:tc>
          <w:tcPr>
            <w:tcW w:w="3540" w:type="dxa"/>
            <w:vAlign w:val="bottom"/>
          </w:tcPr>
          <w:p>
            <w:pPr>
              <w:ind w:left="40"/>
              <w:spacing w:after="0"/>
              <w:rPr>
                <w:sz w:val="20"/>
                <w:szCs w:val="20"/>
                <w:color w:val="auto"/>
              </w:rPr>
            </w:pPr>
            <w:r>
              <w:rPr>
                <w:rFonts w:ascii="Arial" w:cs="Arial" w:eastAsia="Arial" w:hAnsi="Arial"/>
                <w:sz w:val="16"/>
                <w:szCs w:val="16"/>
                <w:color w:val="auto"/>
              </w:rPr>
              <w:t>Capital contributions to/from subsidiaries</w:t>
            </w:r>
          </w:p>
        </w:tc>
        <w:tc>
          <w:tcPr>
            <w:tcW w:w="60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(363)</w:t>
            </w:r>
          </w:p>
        </w:tc>
        <w:tc>
          <w:tcPr>
            <w:tcW w:w="1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2</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80" w:type="dxa"/>
            <w:vAlign w:val="bottom"/>
          </w:tcPr>
          <w:p>
            <w:pPr>
              <w:jc w:val="right"/>
              <w:ind w:right="19"/>
              <w:spacing w:after="0"/>
              <w:rPr>
                <w:sz w:val="20"/>
                <w:szCs w:val="20"/>
                <w:color w:val="auto"/>
              </w:rPr>
            </w:pPr>
            <w:r>
              <w:rPr>
                <w:rFonts w:ascii="Arial" w:cs="Arial" w:eastAsia="Arial" w:hAnsi="Arial"/>
                <w:sz w:val="16"/>
                <w:szCs w:val="16"/>
                <w:color w:val="auto"/>
              </w:rPr>
              <w:t>361</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380" w:type="dxa"/>
            <w:vAlign w:val="bottom"/>
            <w:gridSpan w:val="2"/>
          </w:tcPr>
          <w:p>
            <w:pPr>
              <w:ind w:left="10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2"/>
                <w:szCs w:val="22"/>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278"/>
        </w:trPr>
        <w:tc>
          <w:tcPr>
            <w:tcW w:w="3540" w:type="dxa"/>
            <w:vAlign w:val="bottom"/>
            <w:shd w:val="clear" w:color="auto" w:fill="CCEEFF"/>
          </w:tcPr>
          <w:p>
            <w:pPr>
              <w:ind w:left="40"/>
              <w:spacing w:after="0"/>
              <w:rPr>
                <w:sz w:val="20"/>
                <w:szCs w:val="20"/>
                <w:color w:val="auto"/>
              </w:rPr>
            </w:pPr>
            <w:r>
              <w:rPr>
                <w:rFonts w:ascii="Arial" w:cs="Arial" w:eastAsia="Arial" w:hAnsi="Arial"/>
                <w:sz w:val="16"/>
                <w:szCs w:val="16"/>
                <w:color w:val="auto"/>
              </w:rPr>
              <w:t>Dividends to/from subsidiaries</w:t>
            </w:r>
          </w:p>
        </w:tc>
        <w:tc>
          <w:tcPr>
            <w:tcW w:w="60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136</w:t>
            </w:r>
          </w:p>
        </w:tc>
        <w:tc>
          <w:tcPr>
            <w:tcW w:w="12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24"/>
                <w:szCs w:val="24"/>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(136)</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380" w:type="dxa"/>
            <w:vAlign w:val="bottom"/>
            <w:gridSpan w:val="2"/>
            <w:shd w:val="clear" w:color="auto" w:fill="CCEEFF"/>
          </w:tcPr>
          <w:p>
            <w:pPr>
              <w:ind w:left="100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24"/>
                <w:szCs w:val="24"/>
                <w:color w:val="auto"/>
              </w:rPr>
            </w:pPr>
          </w:p>
        </w:tc>
        <w:tc>
          <w:tcPr>
            <w:tcW w:w="13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62"/>
        </w:trPr>
        <w:tc>
          <w:tcPr>
            <w:tcW w:w="3540" w:type="dxa"/>
            <w:vAlign w:val="bottom"/>
          </w:tcPr>
          <w:p>
            <w:pPr>
              <w:ind w:left="40"/>
              <w:spacing w:after="0"/>
              <w:rPr>
                <w:sz w:val="20"/>
                <w:szCs w:val="20"/>
                <w:color w:val="auto"/>
              </w:rPr>
            </w:pPr>
            <w:r>
              <w:rPr>
                <w:rFonts w:ascii="Arial" w:cs="Arial" w:eastAsia="Arial" w:hAnsi="Arial"/>
                <w:sz w:val="16"/>
                <w:szCs w:val="16"/>
                <w:color w:val="auto"/>
              </w:rPr>
              <w:t>Change in amounts due to/from affiliates</w:t>
            </w:r>
          </w:p>
        </w:tc>
        <w:tc>
          <w:tcPr>
            <w:tcW w:w="60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(100)</w:t>
            </w:r>
          </w:p>
        </w:tc>
        <w:tc>
          <w:tcPr>
            <w:tcW w:w="1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2"/>
                <w:szCs w:val="22"/>
                <w:color w:val="auto"/>
              </w:rPr>
            </w:pPr>
          </w:p>
        </w:tc>
        <w:tc>
          <w:tcPr>
            <w:tcW w:w="1280" w:type="dxa"/>
            <w:vAlign w:val="bottom"/>
          </w:tcPr>
          <w:p>
            <w:pPr>
              <w:jc w:val="right"/>
              <w:ind w:right="19"/>
              <w:spacing w:after="0"/>
              <w:rPr>
                <w:sz w:val="20"/>
                <w:szCs w:val="20"/>
                <w:color w:val="auto"/>
              </w:rPr>
            </w:pPr>
            <w:r>
              <w:rPr>
                <w:rFonts w:ascii="Arial" w:cs="Arial" w:eastAsia="Arial" w:hAnsi="Arial"/>
                <w:sz w:val="16"/>
                <w:szCs w:val="16"/>
                <w:color w:val="auto"/>
              </w:rPr>
              <w:t>100</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380" w:type="dxa"/>
            <w:vAlign w:val="bottom"/>
            <w:gridSpan w:val="2"/>
          </w:tcPr>
          <w:p>
            <w:pPr>
              <w:ind w:left="10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2"/>
                <w:szCs w:val="22"/>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278"/>
        </w:trPr>
        <w:tc>
          <w:tcPr>
            <w:tcW w:w="3540" w:type="dxa"/>
            <w:vAlign w:val="bottom"/>
            <w:shd w:val="clear" w:color="auto" w:fill="CCEEFF"/>
          </w:tcPr>
          <w:p>
            <w:pPr>
              <w:ind w:left="40"/>
              <w:spacing w:after="0"/>
              <w:rPr>
                <w:sz w:val="20"/>
                <w:szCs w:val="20"/>
                <w:color w:val="auto"/>
              </w:rPr>
            </w:pPr>
            <w:r>
              <w:rPr>
                <w:rFonts w:ascii="Arial" w:cs="Arial" w:eastAsia="Arial" w:hAnsi="Arial"/>
                <w:sz w:val="16"/>
                <w:szCs w:val="16"/>
                <w:color w:val="auto"/>
              </w:rPr>
              <w:t>Other, net</w:t>
            </w:r>
          </w:p>
        </w:tc>
        <w:tc>
          <w:tcPr>
            <w:tcW w:w="600" w:type="dxa"/>
            <w:vAlign w:val="bottom"/>
            <w:shd w:val="clear" w:color="auto" w:fill="CCEEFF"/>
          </w:tcPr>
          <w:p>
            <w:pPr>
              <w:spacing w:after="0"/>
              <w:rPr>
                <w:sz w:val="24"/>
                <w:szCs w:val="24"/>
                <w:color w:val="auto"/>
              </w:rPr>
            </w:pP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440" w:type="dxa"/>
            <w:vAlign w:val="bottom"/>
            <w:shd w:val="clear" w:color="auto" w:fill="CCEEFF"/>
          </w:tcPr>
          <w:p>
            <w:pPr>
              <w:spacing w:after="0"/>
              <w:rPr>
                <w:sz w:val="24"/>
                <w:szCs w:val="2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38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24"/>
                <w:szCs w:val="24"/>
                <w:color w:val="auto"/>
              </w:rPr>
            </w:pPr>
          </w:p>
        </w:tc>
        <w:tc>
          <w:tcPr>
            <w:tcW w:w="1380" w:type="dxa"/>
            <w:vAlign w:val="bottom"/>
            <w:gridSpan w:val="2"/>
            <w:shd w:val="clear" w:color="auto" w:fill="CCEEFF"/>
          </w:tcPr>
          <w:p>
            <w:pPr>
              <w:ind w:left="100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24"/>
                <w:szCs w:val="24"/>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w:t>
            </w:r>
          </w:p>
        </w:tc>
      </w:tr>
      <w:tr>
        <w:trPr>
          <w:trHeight w:val="178"/>
        </w:trPr>
        <w:tc>
          <w:tcPr>
            <w:tcW w:w="3540" w:type="dxa"/>
            <w:vAlign w:val="bottom"/>
          </w:tcPr>
          <w:p>
            <w:pPr>
              <w:ind w:left="40"/>
              <w:spacing w:after="0" w:line="178" w:lineRule="exact"/>
              <w:rPr>
                <w:sz w:val="20"/>
                <w:szCs w:val="20"/>
                <w:color w:val="auto"/>
              </w:rPr>
            </w:pPr>
            <w:r>
              <w:rPr>
                <w:rFonts w:ascii="Arial" w:cs="Arial" w:eastAsia="Arial" w:hAnsi="Arial"/>
                <w:sz w:val="16"/>
                <w:szCs w:val="16"/>
                <w:color w:val="auto"/>
              </w:rPr>
              <w:t>Net cash (used in) provided by investing</w:t>
            </w:r>
          </w:p>
        </w:tc>
        <w:tc>
          <w:tcPr>
            <w:tcW w:w="600" w:type="dxa"/>
            <w:vAlign w:val="bottom"/>
            <w:tcBorders>
              <w:top w:val="single" w:sz="8" w:color="auto"/>
            </w:tcBorders>
          </w:tcPr>
          <w:p>
            <w:pPr>
              <w:spacing w:after="0"/>
              <w:rPr>
                <w:sz w:val="15"/>
                <w:szCs w:val="15"/>
                <w:color w:val="auto"/>
              </w:rPr>
            </w:pPr>
          </w:p>
        </w:tc>
        <w:tc>
          <w:tcPr>
            <w:tcW w:w="92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440" w:type="dxa"/>
            <w:vAlign w:val="bottom"/>
            <w:tcBorders>
              <w:top w:val="single" w:sz="8" w:color="auto"/>
            </w:tcBorders>
          </w:tcPr>
          <w:p>
            <w:pPr>
              <w:spacing w:after="0"/>
              <w:rPr>
                <w:sz w:val="15"/>
                <w:szCs w:val="15"/>
                <w:color w:val="auto"/>
              </w:rPr>
            </w:pPr>
          </w:p>
        </w:tc>
        <w:tc>
          <w:tcPr>
            <w:tcW w:w="106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128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128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1300" w:type="dxa"/>
            <w:vAlign w:val="bottom"/>
            <w:tcBorders>
              <w:top w:val="single" w:sz="8" w:color="auto"/>
            </w:tcBorders>
          </w:tcPr>
          <w:p>
            <w:pPr>
              <w:spacing w:after="0"/>
              <w:rPr>
                <w:sz w:val="15"/>
                <w:szCs w:val="15"/>
                <w:color w:val="auto"/>
              </w:rPr>
            </w:pPr>
          </w:p>
        </w:tc>
      </w:tr>
      <w:tr>
        <w:trPr>
          <w:trHeight w:val="228"/>
        </w:trPr>
        <w:tc>
          <w:tcPr>
            <w:tcW w:w="3540" w:type="dxa"/>
            <w:vAlign w:val="bottom"/>
          </w:tcPr>
          <w:p>
            <w:pPr>
              <w:ind w:left="200"/>
              <w:spacing w:after="0"/>
              <w:rPr>
                <w:sz w:val="20"/>
                <w:szCs w:val="20"/>
                <w:color w:val="auto"/>
              </w:rPr>
            </w:pPr>
            <w:r>
              <w:rPr>
                <w:rFonts w:ascii="Arial" w:cs="Arial" w:eastAsia="Arial" w:hAnsi="Arial"/>
                <w:sz w:val="16"/>
                <w:szCs w:val="16"/>
                <w:color w:val="auto"/>
              </w:rPr>
              <w:t>activities</w:t>
            </w:r>
          </w:p>
        </w:tc>
        <w:tc>
          <w:tcPr>
            <w:tcW w:w="6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(577)</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(29)</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jc w:val="right"/>
              <w:ind w:right="19"/>
              <w:spacing w:after="0"/>
              <w:rPr>
                <w:sz w:val="20"/>
                <w:szCs w:val="20"/>
                <w:color w:val="auto"/>
              </w:rPr>
            </w:pPr>
            <w:r>
              <w:rPr>
                <w:rFonts w:ascii="Arial" w:cs="Arial" w:eastAsia="Arial" w:hAnsi="Arial"/>
                <w:sz w:val="16"/>
                <w:szCs w:val="16"/>
                <w:color w:val="auto"/>
              </w:rPr>
              <w:t>132</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80" w:type="dxa"/>
            <w:vAlign w:val="bottom"/>
            <w:gridSpan w:val="2"/>
          </w:tcPr>
          <w:p>
            <w:pPr>
              <w:ind w:left="10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(474)</w:t>
            </w:r>
          </w:p>
        </w:tc>
      </w:tr>
      <w:tr>
        <w:trPr>
          <w:trHeight w:val="270"/>
        </w:trPr>
        <w:tc>
          <w:tcPr>
            <w:tcW w:w="354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Financing activities:</w:t>
            </w:r>
          </w:p>
        </w:tc>
        <w:tc>
          <w:tcPr>
            <w:tcW w:w="600" w:type="dxa"/>
            <w:vAlign w:val="bottom"/>
            <w:tcBorders>
              <w:top w:val="single" w:sz="8" w:color="auto"/>
            </w:tcBorders>
            <w:shd w:val="clear" w:color="auto" w:fill="CCEEFF"/>
          </w:tcPr>
          <w:p>
            <w:pPr>
              <w:spacing w:after="0"/>
              <w:rPr>
                <w:sz w:val="23"/>
                <w:szCs w:val="23"/>
                <w:color w:val="auto"/>
              </w:rPr>
            </w:pPr>
          </w:p>
        </w:tc>
        <w:tc>
          <w:tcPr>
            <w:tcW w:w="92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440" w:type="dxa"/>
            <w:vAlign w:val="bottom"/>
            <w:tcBorders>
              <w:top w:val="single" w:sz="8" w:color="auto"/>
            </w:tcBorders>
            <w:shd w:val="clear" w:color="auto" w:fill="CCEEFF"/>
          </w:tcPr>
          <w:p>
            <w:pPr>
              <w:spacing w:after="0"/>
              <w:rPr>
                <w:sz w:val="23"/>
                <w:szCs w:val="23"/>
                <w:color w:val="auto"/>
              </w:rPr>
            </w:pPr>
          </w:p>
        </w:tc>
        <w:tc>
          <w:tcPr>
            <w:tcW w:w="106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200" w:type="dxa"/>
            <w:vAlign w:val="bottom"/>
            <w:tcBorders>
              <w:top w:val="single" w:sz="8" w:color="auto"/>
            </w:tcBorders>
            <w:shd w:val="clear" w:color="auto" w:fill="CCEEFF"/>
          </w:tcPr>
          <w:p>
            <w:pPr>
              <w:spacing w:after="0"/>
              <w:rPr>
                <w:sz w:val="23"/>
                <w:szCs w:val="23"/>
                <w:color w:val="auto"/>
              </w:rPr>
            </w:pPr>
          </w:p>
        </w:tc>
        <w:tc>
          <w:tcPr>
            <w:tcW w:w="128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200" w:type="dxa"/>
            <w:vAlign w:val="bottom"/>
            <w:tcBorders>
              <w:top w:val="single" w:sz="8" w:color="auto"/>
            </w:tcBorders>
            <w:shd w:val="clear" w:color="auto" w:fill="CCEEFF"/>
          </w:tcPr>
          <w:p>
            <w:pPr>
              <w:spacing w:after="0"/>
              <w:rPr>
                <w:sz w:val="23"/>
                <w:szCs w:val="23"/>
                <w:color w:val="auto"/>
              </w:rPr>
            </w:pPr>
          </w:p>
        </w:tc>
        <w:tc>
          <w:tcPr>
            <w:tcW w:w="128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180" w:type="dxa"/>
            <w:vAlign w:val="bottom"/>
            <w:tcBorders>
              <w:top w:val="single" w:sz="8" w:color="auto"/>
            </w:tcBorders>
            <w:shd w:val="clear" w:color="auto" w:fill="CCEEFF"/>
          </w:tcPr>
          <w:p>
            <w:pPr>
              <w:spacing w:after="0"/>
              <w:rPr>
                <w:sz w:val="23"/>
                <w:szCs w:val="23"/>
                <w:color w:val="auto"/>
              </w:rPr>
            </w:pPr>
          </w:p>
        </w:tc>
        <w:tc>
          <w:tcPr>
            <w:tcW w:w="1300" w:type="dxa"/>
            <w:vAlign w:val="bottom"/>
            <w:tcBorders>
              <w:top w:val="single" w:sz="8" w:color="auto"/>
            </w:tcBorders>
            <w:shd w:val="clear" w:color="auto" w:fill="CCEEFF"/>
          </w:tcPr>
          <w:p>
            <w:pPr>
              <w:spacing w:after="0"/>
              <w:rPr>
                <w:sz w:val="23"/>
                <w:szCs w:val="23"/>
                <w:color w:val="auto"/>
              </w:rPr>
            </w:pPr>
          </w:p>
        </w:tc>
      </w:tr>
      <w:tr>
        <w:trPr>
          <w:trHeight w:val="198"/>
        </w:trPr>
        <w:tc>
          <w:tcPr>
            <w:tcW w:w="3540" w:type="dxa"/>
            <w:vAlign w:val="bottom"/>
          </w:tcPr>
          <w:p>
            <w:pPr>
              <w:ind w:left="40"/>
              <w:spacing w:after="0"/>
              <w:rPr>
                <w:sz w:val="20"/>
                <w:szCs w:val="20"/>
                <w:color w:val="auto"/>
              </w:rPr>
            </w:pPr>
            <w:r>
              <w:rPr>
                <w:rFonts w:ascii="Arial" w:cs="Arial" w:eastAsia="Arial" w:hAnsi="Arial"/>
                <w:sz w:val="16"/>
                <w:szCs w:val="16"/>
                <w:color w:val="auto"/>
              </w:rPr>
              <w:t>Proceeds from senior notes offering, net of</w:t>
            </w:r>
          </w:p>
        </w:tc>
        <w:tc>
          <w:tcPr>
            <w:tcW w:w="6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00" w:type="dxa"/>
            <w:vAlign w:val="bottom"/>
          </w:tcPr>
          <w:p>
            <w:pPr>
              <w:spacing w:after="0"/>
              <w:rPr>
                <w:sz w:val="17"/>
                <w:szCs w:val="17"/>
                <w:color w:val="auto"/>
              </w:rPr>
            </w:pPr>
          </w:p>
        </w:tc>
      </w:tr>
      <w:tr>
        <w:trPr>
          <w:trHeight w:val="226"/>
        </w:trPr>
        <w:tc>
          <w:tcPr>
            <w:tcW w:w="3540" w:type="dxa"/>
            <w:vAlign w:val="bottom"/>
          </w:tcPr>
          <w:p>
            <w:pPr>
              <w:ind w:left="200"/>
              <w:spacing w:after="0"/>
              <w:rPr>
                <w:sz w:val="20"/>
                <w:szCs w:val="20"/>
                <w:color w:val="auto"/>
              </w:rPr>
            </w:pPr>
            <w:r>
              <w:rPr>
                <w:rFonts w:ascii="Arial" w:cs="Arial" w:eastAsia="Arial" w:hAnsi="Arial"/>
                <w:sz w:val="16"/>
                <w:szCs w:val="16"/>
                <w:color w:val="auto"/>
              </w:rPr>
              <w:t>issuance costs</w:t>
            </w:r>
          </w:p>
        </w:tc>
        <w:tc>
          <w:tcPr>
            <w:tcW w:w="600" w:type="dxa"/>
            <w:vAlign w:val="bottom"/>
          </w:tcPr>
          <w:p>
            <w:pPr>
              <w:spacing w:after="0"/>
              <w:rPr>
                <w:sz w:val="19"/>
                <w:szCs w:val="19"/>
                <w:color w:val="auto"/>
              </w:rPr>
            </w:pPr>
          </w:p>
        </w:tc>
        <w:tc>
          <w:tcPr>
            <w:tcW w:w="920" w:type="dxa"/>
            <w:vAlign w:val="bottom"/>
          </w:tcPr>
          <w:p>
            <w:pPr>
              <w:jc w:val="right"/>
              <w:ind w:right="39"/>
              <w:spacing w:after="0"/>
              <w:rPr>
                <w:sz w:val="20"/>
                <w:szCs w:val="20"/>
                <w:color w:val="auto"/>
              </w:rPr>
            </w:pPr>
            <w:r>
              <w:rPr>
                <w:rFonts w:ascii="Arial" w:cs="Arial" w:eastAsia="Arial" w:hAnsi="Arial"/>
                <w:sz w:val="16"/>
                <w:szCs w:val="16"/>
                <w:color w:val="auto"/>
              </w:rPr>
              <w:t>325</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9"/>
                <w:szCs w:val="19"/>
                <w:color w:val="auto"/>
              </w:rPr>
            </w:pPr>
          </w:p>
        </w:tc>
        <w:tc>
          <w:tcPr>
            <w:tcW w:w="13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9"/>
                <w:szCs w:val="19"/>
                <w:color w:val="auto"/>
              </w:rPr>
            </w:pPr>
          </w:p>
        </w:tc>
        <w:tc>
          <w:tcPr>
            <w:tcW w:w="1380" w:type="dxa"/>
            <w:vAlign w:val="bottom"/>
            <w:gridSpan w:val="2"/>
          </w:tcPr>
          <w:p>
            <w:pPr>
              <w:ind w:left="10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9"/>
                <w:szCs w:val="19"/>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325</w:t>
            </w:r>
          </w:p>
        </w:tc>
      </w:tr>
      <w:tr>
        <w:trPr>
          <w:trHeight w:val="278"/>
        </w:trPr>
        <w:tc>
          <w:tcPr>
            <w:tcW w:w="3540" w:type="dxa"/>
            <w:vAlign w:val="bottom"/>
            <w:shd w:val="clear" w:color="auto" w:fill="CCEEFF"/>
          </w:tcPr>
          <w:p>
            <w:pPr>
              <w:ind w:left="40"/>
              <w:spacing w:after="0"/>
              <w:rPr>
                <w:sz w:val="20"/>
                <w:szCs w:val="20"/>
                <w:color w:val="auto"/>
              </w:rPr>
            </w:pPr>
            <w:r>
              <w:rPr>
                <w:rFonts w:ascii="Arial" w:cs="Arial" w:eastAsia="Arial" w:hAnsi="Arial"/>
                <w:sz w:val="16"/>
                <w:szCs w:val="16"/>
                <w:color w:val="auto"/>
              </w:rPr>
              <w:t>Proceeds from borrowings under credit facility</w:t>
            </w:r>
          </w:p>
        </w:tc>
        <w:tc>
          <w:tcPr>
            <w:tcW w:w="60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300</w:t>
            </w:r>
          </w:p>
        </w:tc>
        <w:tc>
          <w:tcPr>
            <w:tcW w:w="12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24"/>
                <w:szCs w:val="24"/>
                <w:color w:val="auto"/>
              </w:rPr>
            </w:pPr>
          </w:p>
        </w:tc>
        <w:tc>
          <w:tcPr>
            <w:tcW w:w="138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24"/>
                <w:szCs w:val="24"/>
                <w:color w:val="auto"/>
              </w:rPr>
            </w:pPr>
          </w:p>
        </w:tc>
        <w:tc>
          <w:tcPr>
            <w:tcW w:w="1380" w:type="dxa"/>
            <w:vAlign w:val="bottom"/>
            <w:gridSpan w:val="2"/>
            <w:shd w:val="clear" w:color="auto" w:fill="CCEEFF"/>
          </w:tcPr>
          <w:p>
            <w:pPr>
              <w:ind w:left="100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24"/>
                <w:szCs w:val="24"/>
                <w:color w:val="auto"/>
              </w:rPr>
            </w:pPr>
          </w:p>
        </w:tc>
        <w:tc>
          <w:tcPr>
            <w:tcW w:w="13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300</w:t>
            </w:r>
          </w:p>
        </w:tc>
      </w:tr>
      <w:tr>
        <w:trPr>
          <w:trHeight w:val="262"/>
        </w:trPr>
        <w:tc>
          <w:tcPr>
            <w:tcW w:w="3540" w:type="dxa"/>
            <w:vAlign w:val="bottom"/>
          </w:tcPr>
          <w:p>
            <w:pPr>
              <w:ind w:left="40"/>
              <w:spacing w:after="0"/>
              <w:rPr>
                <w:sz w:val="20"/>
                <w:szCs w:val="20"/>
                <w:color w:val="auto"/>
              </w:rPr>
            </w:pPr>
            <w:r>
              <w:rPr>
                <w:rFonts w:ascii="Arial" w:cs="Arial" w:eastAsia="Arial" w:hAnsi="Arial"/>
                <w:sz w:val="16"/>
                <w:szCs w:val="16"/>
                <w:color w:val="auto"/>
              </w:rPr>
              <w:t>Proceeds from employee stock plans</w:t>
            </w:r>
          </w:p>
        </w:tc>
        <w:tc>
          <w:tcPr>
            <w:tcW w:w="600" w:type="dxa"/>
            <w:vAlign w:val="bottom"/>
          </w:tcPr>
          <w:p>
            <w:pPr>
              <w:spacing w:after="0"/>
              <w:rPr>
                <w:sz w:val="22"/>
                <w:szCs w:val="22"/>
                <w:color w:val="auto"/>
              </w:rPr>
            </w:pPr>
          </w:p>
        </w:tc>
        <w:tc>
          <w:tcPr>
            <w:tcW w:w="920" w:type="dxa"/>
            <w:vAlign w:val="bottom"/>
          </w:tcPr>
          <w:p>
            <w:pPr>
              <w:jc w:val="right"/>
              <w:ind w:right="39"/>
              <w:spacing w:after="0"/>
              <w:rPr>
                <w:sz w:val="20"/>
                <w:szCs w:val="20"/>
                <w:color w:val="auto"/>
              </w:rPr>
            </w:pPr>
            <w:r>
              <w:rPr>
                <w:rFonts w:ascii="Arial" w:cs="Arial" w:eastAsia="Arial" w:hAnsi="Arial"/>
                <w:sz w:val="16"/>
                <w:szCs w:val="16"/>
                <w:color w:val="auto"/>
              </w:rPr>
              <w:t>11</w:t>
            </w:r>
          </w:p>
        </w:tc>
        <w:tc>
          <w:tcPr>
            <w:tcW w:w="1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2"/>
                <w:szCs w:val="22"/>
                <w:color w:val="auto"/>
              </w:rPr>
            </w:pPr>
          </w:p>
        </w:tc>
        <w:tc>
          <w:tcPr>
            <w:tcW w:w="13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2"/>
                <w:szCs w:val="22"/>
                <w:color w:val="auto"/>
              </w:rPr>
            </w:pPr>
          </w:p>
        </w:tc>
        <w:tc>
          <w:tcPr>
            <w:tcW w:w="1380" w:type="dxa"/>
            <w:vAlign w:val="bottom"/>
            <w:gridSpan w:val="2"/>
          </w:tcPr>
          <w:p>
            <w:pPr>
              <w:ind w:left="10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2"/>
                <w:szCs w:val="22"/>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11</w:t>
            </w:r>
          </w:p>
        </w:tc>
      </w:tr>
      <w:tr>
        <w:trPr>
          <w:trHeight w:val="271"/>
        </w:trPr>
        <w:tc>
          <w:tcPr>
            <w:tcW w:w="3540" w:type="dxa"/>
            <w:vAlign w:val="bottom"/>
            <w:shd w:val="clear" w:color="auto" w:fill="CCEEFF"/>
          </w:tcPr>
          <w:p>
            <w:pPr>
              <w:ind w:left="40"/>
              <w:spacing w:after="0"/>
              <w:rPr>
                <w:sz w:val="20"/>
                <w:szCs w:val="20"/>
                <w:color w:val="auto"/>
              </w:rPr>
            </w:pPr>
            <w:r>
              <w:rPr>
                <w:rFonts w:ascii="Arial" w:cs="Arial" w:eastAsia="Arial" w:hAnsi="Arial"/>
                <w:sz w:val="16"/>
                <w:szCs w:val="16"/>
                <w:color w:val="auto"/>
              </w:rPr>
              <w:t>Other, net</w:t>
            </w:r>
          </w:p>
        </w:tc>
        <w:tc>
          <w:tcPr>
            <w:tcW w:w="600" w:type="dxa"/>
            <w:vAlign w:val="bottom"/>
            <w:tcBorders>
              <w:bottom w:val="single" w:sz="8" w:color="auto"/>
            </w:tcBorders>
            <w:shd w:val="clear" w:color="auto" w:fill="CCEEFF"/>
          </w:tcPr>
          <w:p>
            <w:pPr>
              <w:spacing w:after="0"/>
              <w:rPr>
                <w:sz w:val="23"/>
                <w:szCs w:val="23"/>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120" w:type="dxa"/>
            <w:vAlign w:val="bottom"/>
            <w:shd w:val="clear" w:color="auto" w:fill="CCEEFF"/>
          </w:tcPr>
          <w:p>
            <w:pPr>
              <w:spacing w:after="0"/>
              <w:rPr>
                <w:sz w:val="23"/>
                <w:szCs w:val="23"/>
                <w:color w:val="auto"/>
              </w:rPr>
            </w:pPr>
          </w:p>
        </w:tc>
        <w:tc>
          <w:tcPr>
            <w:tcW w:w="44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12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1280" w:type="dxa"/>
            <w:vAlign w:val="bottom"/>
            <w:tcBorders>
              <w:bottom w:val="single" w:sz="8" w:color="auto"/>
            </w:tcBorders>
            <w:shd w:val="clear" w:color="auto" w:fill="CCEEFF"/>
          </w:tcPr>
          <w:p>
            <w:pPr>
              <w:ind w:left="100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w:t>
            </w:r>
          </w:p>
        </w:tc>
      </w:tr>
      <w:tr>
        <w:trPr>
          <w:trHeight w:val="250"/>
        </w:trPr>
        <w:tc>
          <w:tcPr>
            <w:tcW w:w="354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Net cash provided by financing activities</w:t>
            </w:r>
          </w:p>
        </w:tc>
        <w:tc>
          <w:tcPr>
            <w:tcW w:w="60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632</w:t>
            </w:r>
          </w:p>
        </w:tc>
        <w:tc>
          <w:tcPr>
            <w:tcW w:w="120" w:type="dxa"/>
            <w:vAlign w:val="bottom"/>
            <w:tcBorders>
              <w:bottom w:val="single" w:sz="8" w:color="CCEEFF"/>
            </w:tcBorders>
          </w:tcPr>
          <w:p>
            <w:pPr>
              <w:spacing w:after="0"/>
              <w:rPr>
                <w:sz w:val="21"/>
                <w:szCs w:val="21"/>
                <w:color w:val="auto"/>
              </w:rPr>
            </w:pPr>
          </w:p>
        </w:tc>
        <w:tc>
          <w:tcPr>
            <w:tcW w:w="44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ind w:left="100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632</w:t>
            </w:r>
          </w:p>
        </w:tc>
      </w:tr>
      <w:tr>
        <w:trPr>
          <w:trHeight w:val="257"/>
        </w:trPr>
        <w:tc>
          <w:tcPr>
            <w:tcW w:w="3540" w:type="dxa"/>
            <w:vAlign w:val="bottom"/>
            <w:shd w:val="clear" w:color="auto" w:fill="CCEEFF"/>
          </w:tcPr>
          <w:p>
            <w:pPr>
              <w:ind w:left="40"/>
              <w:spacing w:after="0"/>
              <w:rPr>
                <w:sz w:val="20"/>
                <w:szCs w:val="20"/>
                <w:color w:val="auto"/>
              </w:rPr>
            </w:pPr>
            <w:r>
              <w:rPr>
                <w:rFonts w:ascii="Arial" w:cs="Arial" w:eastAsia="Arial" w:hAnsi="Arial"/>
                <w:sz w:val="16"/>
                <w:szCs w:val="16"/>
                <w:color w:val="auto"/>
              </w:rPr>
              <w:t>Net increase in cash and cash equivalents</w:t>
            </w:r>
          </w:p>
        </w:tc>
        <w:tc>
          <w:tcPr>
            <w:tcW w:w="600" w:type="dxa"/>
            <w:vAlign w:val="bottom"/>
            <w:shd w:val="clear" w:color="auto" w:fill="CCEEFF"/>
          </w:tcPr>
          <w:p>
            <w:pPr>
              <w:spacing w:after="0"/>
              <w:rPr>
                <w:sz w:val="22"/>
                <w:szCs w:val="22"/>
                <w:color w:val="auto"/>
              </w:rPr>
            </w:pPr>
          </w:p>
        </w:tc>
        <w:tc>
          <w:tcPr>
            <w:tcW w:w="9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270</w:t>
            </w:r>
          </w:p>
        </w:tc>
        <w:tc>
          <w:tcPr>
            <w:tcW w:w="120" w:type="dxa"/>
            <w:vAlign w:val="bottom"/>
            <w:shd w:val="clear" w:color="auto" w:fill="CCEEFF"/>
          </w:tcPr>
          <w:p>
            <w:pPr>
              <w:spacing w:after="0"/>
              <w:rPr>
                <w:sz w:val="22"/>
                <w:szCs w:val="22"/>
                <w:color w:val="auto"/>
              </w:rPr>
            </w:pPr>
          </w:p>
        </w:tc>
        <w:tc>
          <w:tcPr>
            <w:tcW w:w="440" w:type="dxa"/>
            <w:vAlign w:val="bottom"/>
            <w:shd w:val="clear" w:color="auto" w:fill="CCEEFF"/>
          </w:tcPr>
          <w:p>
            <w:pPr>
              <w:spacing w:after="0"/>
              <w:rPr>
                <w:sz w:val="22"/>
                <w:szCs w:val="22"/>
                <w:color w:val="auto"/>
              </w:rPr>
            </w:pPr>
          </w:p>
        </w:tc>
        <w:tc>
          <w:tcPr>
            <w:tcW w:w="10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52</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2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793</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380" w:type="dxa"/>
            <w:vAlign w:val="bottom"/>
            <w:gridSpan w:val="2"/>
            <w:shd w:val="clear" w:color="auto" w:fill="CCEEFF"/>
          </w:tcPr>
          <w:p>
            <w:pPr>
              <w:ind w:left="100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22"/>
                <w:szCs w:val="22"/>
                <w:color w:val="auto"/>
              </w:rPr>
            </w:pPr>
          </w:p>
        </w:tc>
        <w:tc>
          <w:tcPr>
            <w:tcW w:w="13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1,115</w:t>
            </w:r>
          </w:p>
        </w:tc>
      </w:tr>
      <w:tr>
        <w:trPr>
          <w:trHeight w:val="198"/>
        </w:trPr>
        <w:tc>
          <w:tcPr>
            <w:tcW w:w="3540" w:type="dxa"/>
            <w:vAlign w:val="bottom"/>
          </w:tcPr>
          <w:p>
            <w:pPr>
              <w:ind w:left="40"/>
              <w:spacing w:after="0"/>
              <w:rPr>
                <w:sz w:val="20"/>
                <w:szCs w:val="20"/>
                <w:color w:val="auto"/>
              </w:rPr>
            </w:pPr>
            <w:r>
              <w:rPr>
                <w:rFonts w:ascii="Arial" w:cs="Arial" w:eastAsia="Arial" w:hAnsi="Arial"/>
                <w:sz w:val="16"/>
                <w:szCs w:val="16"/>
                <w:color w:val="auto"/>
              </w:rPr>
              <w:t>Cash and cash equivalents at beginning of</w:t>
            </w:r>
          </w:p>
        </w:tc>
        <w:tc>
          <w:tcPr>
            <w:tcW w:w="6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00" w:type="dxa"/>
            <w:vAlign w:val="bottom"/>
          </w:tcPr>
          <w:p>
            <w:pPr>
              <w:spacing w:after="0"/>
              <w:rPr>
                <w:sz w:val="17"/>
                <w:szCs w:val="17"/>
                <w:color w:val="auto"/>
              </w:rPr>
            </w:pPr>
          </w:p>
        </w:tc>
      </w:tr>
      <w:tr>
        <w:trPr>
          <w:trHeight w:val="228"/>
        </w:trPr>
        <w:tc>
          <w:tcPr>
            <w:tcW w:w="3540" w:type="dxa"/>
            <w:vAlign w:val="bottom"/>
            <w:tcBorders>
              <w:bottom w:val="single" w:sz="8" w:color="CCEEFF"/>
            </w:tcBorders>
          </w:tcPr>
          <w:p>
            <w:pPr>
              <w:ind w:left="200"/>
              <w:spacing w:after="0"/>
              <w:rPr>
                <w:sz w:val="20"/>
                <w:szCs w:val="20"/>
                <w:color w:val="auto"/>
              </w:rPr>
            </w:pPr>
            <w:r>
              <w:rPr>
                <w:rFonts w:ascii="Arial" w:cs="Arial" w:eastAsia="Arial" w:hAnsi="Arial"/>
                <w:sz w:val="16"/>
                <w:szCs w:val="16"/>
                <w:color w:val="auto"/>
              </w:rPr>
              <w:t>period</w:t>
            </w:r>
          </w:p>
        </w:tc>
        <w:tc>
          <w:tcPr>
            <w:tcW w:w="6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86</w:t>
            </w:r>
          </w:p>
        </w:tc>
        <w:tc>
          <w:tcPr>
            <w:tcW w:w="12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6</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2,727</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ind w:left="100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2,819</w:t>
            </w:r>
          </w:p>
        </w:tc>
      </w:tr>
      <w:tr>
        <w:trPr>
          <w:trHeight w:val="242"/>
        </w:trPr>
        <w:tc>
          <w:tcPr>
            <w:tcW w:w="3540" w:type="dxa"/>
            <w:vAlign w:val="bottom"/>
            <w:shd w:val="clear" w:color="auto" w:fill="CCEEFF"/>
          </w:tcPr>
          <w:p>
            <w:pPr>
              <w:ind w:left="40"/>
              <w:spacing w:after="0"/>
              <w:rPr>
                <w:sz w:val="20"/>
                <w:szCs w:val="20"/>
                <w:color w:val="auto"/>
              </w:rPr>
            </w:pPr>
            <w:r>
              <w:rPr>
                <w:rFonts w:ascii="Arial" w:cs="Arial" w:eastAsia="Arial" w:hAnsi="Arial"/>
                <w:sz w:val="16"/>
                <w:szCs w:val="16"/>
                <w:color w:val="auto"/>
              </w:rPr>
              <w:t>Cash and cash equivalents at end of period</w:t>
            </w:r>
          </w:p>
        </w:tc>
        <w:tc>
          <w:tcPr>
            <w:tcW w:w="600" w:type="dxa"/>
            <w:vAlign w:val="bottom"/>
            <w:shd w:val="clear" w:color="auto" w:fill="CCEEFF"/>
          </w:tcPr>
          <w:p>
            <w:pPr>
              <w:jc w:val="right"/>
              <w:ind w:right="399"/>
              <w:spacing w:after="0"/>
              <w:rPr>
                <w:sz w:val="20"/>
                <w:szCs w:val="20"/>
                <w:color w:val="auto"/>
              </w:rPr>
            </w:pPr>
            <w:r>
              <w:rPr>
                <w:rFonts w:ascii="Arial" w:cs="Arial" w:eastAsia="Arial" w:hAnsi="Arial"/>
                <w:sz w:val="16"/>
                <w:szCs w:val="16"/>
                <w:color w:val="auto"/>
              </w:rPr>
              <w:t>$</w:t>
            </w:r>
          </w:p>
        </w:tc>
        <w:tc>
          <w:tcPr>
            <w:tcW w:w="9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356</w:t>
            </w:r>
          </w:p>
        </w:tc>
        <w:tc>
          <w:tcPr>
            <w:tcW w:w="120" w:type="dxa"/>
            <w:vAlign w:val="bottom"/>
            <w:shd w:val="clear" w:color="auto" w:fill="CCEEFF"/>
          </w:tcPr>
          <w:p>
            <w:pPr>
              <w:spacing w:after="0"/>
              <w:rPr>
                <w:sz w:val="21"/>
                <w:szCs w:val="21"/>
                <w:color w:val="auto"/>
              </w:rPr>
            </w:pPr>
          </w:p>
        </w:tc>
        <w:tc>
          <w:tcPr>
            <w:tcW w:w="44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w:t>
            </w:r>
          </w:p>
        </w:tc>
        <w:tc>
          <w:tcPr>
            <w:tcW w:w="10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58</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3,520</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80" w:type="dxa"/>
            <w:vAlign w:val="bottom"/>
            <w:gridSpan w:val="2"/>
            <w:shd w:val="clear" w:color="auto" w:fill="CCEEFF"/>
          </w:tcPr>
          <w:p>
            <w:pPr>
              <w:ind w:left="100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3,934</w:t>
            </w:r>
          </w:p>
        </w:tc>
      </w:tr>
      <w:tr>
        <w:trPr>
          <w:trHeight w:val="20"/>
        </w:trPr>
        <w:tc>
          <w:tcPr>
            <w:tcW w:w="354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Molina Healthcare, Inc. 2017 Form 10-Q | 37</w:t>
      </w:r>
    </w:p>
    <w:p>
      <w:pPr>
        <w:sectPr>
          <w:pgSz w:w="11900" w:h="16838" w:orient="portrait"/>
          <w:cols w:equalWidth="0" w:num="1">
            <w:col w:w="11420"/>
          </w:cols>
          <w:pgMar w:left="240" w:top="115" w:right="239" w:bottom="1440" w:gutter="0" w:footer="0" w:header="0"/>
        </w:sectPr>
      </w:pPr>
    </w:p>
    <w:bookmarkStart w:id="37" w:name="page38"/>
    <w:bookmarkEnd w:id="3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STATEMENTS OF CASH FLOWS</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3540" w:type="dxa"/>
            <w:vAlign w:val="bottom"/>
          </w:tcPr>
          <w:p>
            <w:pPr>
              <w:spacing w:after="0"/>
              <w:rPr>
                <w:sz w:val="20"/>
                <w:szCs w:val="20"/>
                <w:color w:val="auto"/>
              </w:rPr>
            </w:pPr>
          </w:p>
        </w:tc>
        <w:tc>
          <w:tcPr>
            <w:tcW w:w="6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4320" w:type="dxa"/>
            <w:vAlign w:val="bottom"/>
            <w:tcBorders>
              <w:bottom w:val="single" w:sz="8" w:color="auto"/>
            </w:tcBorders>
            <w:gridSpan w:val="8"/>
          </w:tcPr>
          <w:p>
            <w:pPr>
              <w:jc w:val="center"/>
              <w:ind w:right="560"/>
              <w:spacing w:after="0"/>
              <w:rPr>
                <w:sz w:val="20"/>
                <w:szCs w:val="20"/>
                <w:color w:val="auto"/>
              </w:rPr>
            </w:pPr>
            <w:r>
              <w:rPr>
                <w:rFonts w:ascii="Arial" w:cs="Arial" w:eastAsia="Arial" w:hAnsi="Arial"/>
                <w:sz w:val="16"/>
                <w:szCs w:val="16"/>
                <w:b w:val="1"/>
                <w:bCs w:val="1"/>
                <w:color w:val="auto"/>
              </w:rPr>
              <w:t>Nine Months Ended September 30, 2016</w:t>
            </w:r>
          </w:p>
        </w:tc>
        <w:tc>
          <w:tcPr>
            <w:tcW w:w="18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64"/>
        </w:trPr>
        <w:tc>
          <w:tcPr>
            <w:tcW w:w="3540" w:type="dxa"/>
            <w:vAlign w:val="bottom"/>
          </w:tcPr>
          <w:p>
            <w:pPr>
              <w:spacing w:after="0"/>
              <w:rPr>
                <w:sz w:val="22"/>
                <w:szCs w:val="22"/>
                <w:color w:val="auto"/>
              </w:rPr>
            </w:pPr>
          </w:p>
        </w:tc>
        <w:tc>
          <w:tcPr>
            <w:tcW w:w="1640" w:type="dxa"/>
            <w:vAlign w:val="bottom"/>
            <w:tcBorders>
              <w:bottom w:val="single" w:sz="8" w:color="auto"/>
            </w:tcBorders>
            <w:gridSpan w:val="3"/>
          </w:tcPr>
          <w:p>
            <w:pPr>
              <w:ind w:left="100"/>
              <w:spacing w:after="0"/>
              <w:rPr>
                <w:sz w:val="20"/>
                <w:szCs w:val="20"/>
                <w:color w:val="auto"/>
              </w:rPr>
            </w:pPr>
            <w:r>
              <w:rPr>
                <w:rFonts w:ascii="Arial" w:cs="Arial" w:eastAsia="Arial" w:hAnsi="Arial"/>
                <w:sz w:val="16"/>
                <w:szCs w:val="16"/>
                <w:b w:val="1"/>
                <w:bCs w:val="1"/>
                <w:color w:val="auto"/>
              </w:rPr>
              <w:t>Parent Guarantor</w:t>
            </w:r>
          </w:p>
        </w:tc>
        <w:tc>
          <w:tcPr>
            <w:tcW w:w="1600" w:type="dxa"/>
            <w:vAlign w:val="bottom"/>
            <w:tcBorders>
              <w:bottom w:val="single" w:sz="8" w:color="auto"/>
            </w:tcBorders>
            <w:gridSpan w:val="3"/>
          </w:tcPr>
          <w:p>
            <w:pPr>
              <w:ind w:left="80"/>
              <w:spacing w:after="0"/>
              <w:rPr>
                <w:sz w:val="20"/>
                <w:szCs w:val="20"/>
                <w:color w:val="auto"/>
              </w:rPr>
            </w:pPr>
            <w:r>
              <w:rPr>
                <w:rFonts w:ascii="Arial" w:cs="Arial" w:eastAsia="Arial" w:hAnsi="Arial"/>
                <w:sz w:val="16"/>
                <w:szCs w:val="16"/>
                <w:b w:val="1"/>
                <w:bCs w:val="1"/>
                <w:color w:val="auto"/>
              </w:rPr>
              <w:t>Other Guarantors</w:t>
            </w:r>
          </w:p>
        </w:tc>
        <w:tc>
          <w:tcPr>
            <w:tcW w:w="1580" w:type="dxa"/>
            <w:vAlign w:val="bottom"/>
            <w:tcBorders>
              <w:bottom w:val="single" w:sz="8" w:color="auto"/>
            </w:tcBorders>
            <w:gridSpan w:val="3"/>
          </w:tcPr>
          <w:p>
            <w:pPr>
              <w:ind w:left="120"/>
              <w:spacing w:after="0"/>
              <w:rPr>
                <w:sz w:val="20"/>
                <w:szCs w:val="20"/>
                <w:color w:val="auto"/>
              </w:rPr>
            </w:pPr>
            <w:r>
              <w:rPr>
                <w:rFonts w:ascii="Arial" w:cs="Arial" w:eastAsia="Arial" w:hAnsi="Arial"/>
                <w:sz w:val="16"/>
                <w:szCs w:val="16"/>
                <w:b w:val="1"/>
                <w:bCs w:val="1"/>
                <w:color w:val="auto"/>
              </w:rPr>
              <w:t>Non-Guarantors</w:t>
            </w:r>
          </w:p>
        </w:tc>
        <w:tc>
          <w:tcPr>
            <w:tcW w:w="20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gridSpan w:val="2"/>
          </w:tcPr>
          <w:p>
            <w:pPr>
              <w:ind w:left="60"/>
              <w:spacing w:after="0"/>
              <w:rPr>
                <w:sz w:val="20"/>
                <w:szCs w:val="20"/>
                <w:color w:val="auto"/>
              </w:rPr>
            </w:pPr>
            <w:r>
              <w:rPr>
                <w:rFonts w:ascii="Arial" w:cs="Arial" w:eastAsia="Arial" w:hAnsi="Arial"/>
                <w:sz w:val="16"/>
                <w:szCs w:val="16"/>
                <w:b w:val="1"/>
                <w:bCs w:val="1"/>
                <w:color w:val="auto"/>
              </w:rPr>
              <w:t>Eliminations</w:t>
            </w:r>
          </w:p>
        </w:tc>
        <w:tc>
          <w:tcPr>
            <w:tcW w:w="18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b w:val="1"/>
                <w:bCs w:val="1"/>
                <w:color w:val="auto"/>
              </w:rPr>
              <w:t>Consolidated</w:t>
            </w:r>
          </w:p>
        </w:tc>
        <w:tc>
          <w:tcPr>
            <w:tcW w:w="0" w:type="dxa"/>
            <w:vAlign w:val="bottom"/>
          </w:tcPr>
          <w:p>
            <w:pPr>
              <w:spacing w:after="0"/>
              <w:rPr>
                <w:sz w:val="1"/>
                <w:szCs w:val="1"/>
                <w:color w:val="auto"/>
              </w:rPr>
            </w:pPr>
          </w:p>
        </w:tc>
      </w:tr>
      <w:tr>
        <w:trPr>
          <w:trHeight w:val="250"/>
        </w:trPr>
        <w:tc>
          <w:tcPr>
            <w:tcW w:w="35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8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rPr>
              <w:t>(In millions)</w:t>
            </w:r>
          </w:p>
        </w:tc>
        <w:tc>
          <w:tcPr>
            <w:tcW w:w="2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4"/>
        </w:trPr>
        <w:tc>
          <w:tcPr>
            <w:tcW w:w="3540" w:type="dxa"/>
            <w:vAlign w:val="bottom"/>
            <w:shd w:val="clear" w:color="auto" w:fill="CCEEFF"/>
          </w:tcPr>
          <w:p>
            <w:pPr>
              <w:ind w:left="40"/>
              <w:spacing w:after="0"/>
              <w:rPr>
                <w:sz w:val="20"/>
                <w:szCs w:val="20"/>
                <w:color w:val="auto"/>
              </w:rPr>
            </w:pPr>
            <w:r>
              <w:rPr>
                <w:rFonts w:ascii="Arial" w:cs="Arial" w:eastAsia="Arial" w:hAnsi="Arial"/>
                <w:sz w:val="16"/>
                <w:szCs w:val="16"/>
                <w:b w:val="1"/>
                <w:bCs w:val="1"/>
                <w:color w:val="auto"/>
              </w:rPr>
              <w:t>Operating activities:</w:t>
            </w:r>
          </w:p>
        </w:tc>
        <w:tc>
          <w:tcPr>
            <w:tcW w:w="600" w:type="dxa"/>
            <w:vAlign w:val="bottom"/>
            <w:shd w:val="clear" w:color="auto" w:fill="CCEEFF"/>
          </w:tcPr>
          <w:p>
            <w:pPr>
              <w:spacing w:after="0"/>
              <w:rPr>
                <w:sz w:val="23"/>
                <w:szCs w:val="23"/>
                <w:color w:val="auto"/>
              </w:rPr>
            </w:pPr>
          </w:p>
        </w:tc>
        <w:tc>
          <w:tcPr>
            <w:tcW w:w="9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44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2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2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30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4"/>
        </w:trPr>
        <w:tc>
          <w:tcPr>
            <w:tcW w:w="3540" w:type="dxa"/>
            <w:vAlign w:val="bottom"/>
          </w:tcPr>
          <w:p>
            <w:pPr>
              <w:ind w:left="40"/>
              <w:spacing w:after="0"/>
              <w:rPr>
                <w:sz w:val="20"/>
                <w:szCs w:val="20"/>
                <w:color w:val="auto"/>
              </w:rPr>
            </w:pPr>
            <w:r>
              <w:rPr>
                <w:rFonts w:ascii="Arial" w:cs="Arial" w:eastAsia="Arial" w:hAnsi="Arial"/>
                <w:sz w:val="16"/>
                <w:szCs w:val="16"/>
                <w:color w:val="auto"/>
              </w:rPr>
              <w:t>Net cash provided by operating activities</w:t>
            </w:r>
          </w:p>
        </w:tc>
        <w:tc>
          <w:tcPr>
            <w:tcW w:w="600" w:type="dxa"/>
            <w:vAlign w:val="bottom"/>
          </w:tcPr>
          <w:p>
            <w:pPr>
              <w:jc w:val="right"/>
              <w:ind w:right="399"/>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39"/>
              <w:spacing w:after="0"/>
              <w:rPr>
                <w:sz w:val="20"/>
                <w:szCs w:val="20"/>
                <w:color w:val="auto"/>
              </w:rPr>
            </w:pPr>
            <w:r>
              <w:rPr>
                <w:rFonts w:ascii="Arial" w:cs="Arial" w:eastAsia="Arial" w:hAnsi="Arial"/>
                <w:sz w:val="16"/>
                <w:szCs w:val="16"/>
                <w:color w:val="auto"/>
              </w:rPr>
              <w:t>43</w:t>
            </w:r>
          </w:p>
        </w:tc>
        <w:tc>
          <w:tcPr>
            <w:tcW w:w="120" w:type="dxa"/>
            <w:vAlign w:val="bottom"/>
          </w:tcPr>
          <w:p>
            <w:pPr>
              <w:spacing w:after="0"/>
              <w:rPr>
                <w:sz w:val="22"/>
                <w:szCs w:val="22"/>
                <w:color w:val="auto"/>
              </w:rPr>
            </w:pPr>
          </w:p>
        </w:tc>
        <w:tc>
          <w:tcPr>
            <w:tcW w:w="440" w:type="dxa"/>
            <w:vAlign w:val="bottom"/>
          </w:tcPr>
          <w:p>
            <w:pPr>
              <w:jc w:val="right"/>
              <w:ind w:right="239"/>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34</w:t>
            </w:r>
          </w:p>
        </w:tc>
        <w:tc>
          <w:tcPr>
            <w:tcW w:w="100" w:type="dxa"/>
            <w:vAlign w:val="bottom"/>
          </w:tcPr>
          <w:p>
            <w:pPr>
              <w:spacing w:after="0"/>
              <w:rPr>
                <w:sz w:val="22"/>
                <w:szCs w:val="22"/>
                <w:color w:val="auto"/>
              </w:rPr>
            </w:pP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280" w:type="dxa"/>
            <w:vAlign w:val="bottom"/>
          </w:tcPr>
          <w:p>
            <w:pPr>
              <w:jc w:val="right"/>
              <w:ind w:right="19"/>
              <w:spacing w:after="0"/>
              <w:rPr>
                <w:sz w:val="20"/>
                <w:szCs w:val="20"/>
                <w:color w:val="auto"/>
              </w:rPr>
            </w:pPr>
            <w:r>
              <w:rPr>
                <w:rFonts w:ascii="Arial" w:cs="Arial" w:eastAsia="Arial" w:hAnsi="Arial"/>
                <w:sz w:val="16"/>
                <w:szCs w:val="16"/>
                <w:color w:val="auto"/>
              </w:rPr>
              <w:t>556</w:t>
            </w:r>
          </w:p>
        </w:tc>
        <w:tc>
          <w:tcPr>
            <w:tcW w:w="100" w:type="dxa"/>
            <w:vAlign w:val="bottom"/>
          </w:tcPr>
          <w:p>
            <w:pPr>
              <w:spacing w:after="0"/>
              <w:rPr>
                <w:sz w:val="22"/>
                <w:szCs w:val="22"/>
                <w:color w:val="auto"/>
              </w:rPr>
            </w:pP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380" w:type="dxa"/>
            <w:vAlign w:val="bottom"/>
            <w:gridSpan w:val="2"/>
          </w:tcPr>
          <w:p>
            <w:pPr>
              <w:ind w:left="1000"/>
              <w:spacing w:after="0"/>
              <w:rPr>
                <w:sz w:val="20"/>
                <w:szCs w:val="20"/>
                <w:color w:val="auto"/>
              </w:rPr>
            </w:pPr>
            <w:r>
              <w:rPr>
                <w:rFonts w:ascii="Arial" w:cs="Arial" w:eastAsia="Arial" w:hAnsi="Arial"/>
                <w:sz w:val="16"/>
                <w:szCs w:val="16"/>
                <w:color w:val="auto"/>
              </w:rPr>
              <w:t>—</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633</w:t>
            </w:r>
          </w:p>
        </w:tc>
        <w:tc>
          <w:tcPr>
            <w:tcW w:w="0" w:type="dxa"/>
            <w:vAlign w:val="bottom"/>
          </w:tcPr>
          <w:p>
            <w:pPr>
              <w:spacing w:after="0"/>
              <w:rPr>
                <w:sz w:val="1"/>
                <w:szCs w:val="1"/>
                <w:color w:val="auto"/>
              </w:rPr>
            </w:pPr>
          </w:p>
        </w:tc>
      </w:tr>
      <w:tr>
        <w:trPr>
          <w:trHeight w:val="270"/>
        </w:trPr>
        <w:tc>
          <w:tcPr>
            <w:tcW w:w="354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Investing activities:</w:t>
            </w:r>
          </w:p>
        </w:tc>
        <w:tc>
          <w:tcPr>
            <w:tcW w:w="600" w:type="dxa"/>
            <w:vAlign w:val="bottom"/>
            <w:tcBorders>
              <w:top w:val="single" w:sz="8" w:color="auto"/>
            </w:tcBorders>
            <w:shd w:val="clear" w:color="auto" w:fill="CCEEFF"/>
          </w:tcPr>
          <w:p>
            <w:pPr>
              <w:spacing w:after="0"/>
              <w:rPr>
                <w:sz w:val="23"/>
                <w:szCs w:val="23"/>
                <w:color w:val="auto"/>
              </w:rPr>
            </w:pPr>
          </w:p>
        </w:tc>
        <w:tc>
          <w:tcPr>
            <w:tcW w:w="92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440" w:type="dxa"/>
            <w:vAlign w:val="bottom"/>
            <w:tcBorders>
              <w:top w:val="single" w:sz="8" w:color="auto"/>
            </w:tcBorders>
            <w:shd w:val="clear" w:color="auto" w:fill="CCEEFF"/>
          </w:tcPr>
          <w:p>
            <w:pPr>
              <w:spacing w:after="0"/>
              <w:rPr>
                <w:sz w:val="23"/>
                <w:szCs w:val="23"/>
                <w:color w:val="auto"/>
              </w:rPr>
            </w:pPr>
          </w:p>
        </w:tc>
        <w:tc>
          <w:tcPr>
            <w:tcW w:w="106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200" w:type="dxa"/>
            <w:vAlign w:val="bottom"/>
            <w:tcBorders>
              <w:top w:val="single" w:sz="8" w:color="auto"/>
            </w:tcBorders>
            <w:shd w:val="clear" w:color="auto" w:fill="CCEEFF"/>
          </w:tcPr>
          <w:p>
            <w:pPr>
              <w:spacing w:after="0"/>
              <w:rPr>
                <w:sz w:val="23"/>
                <w:szCs w:val="23"/>
                <w:color w:val="auto"/>
              </w:rPr>
            </w:pPr>
          </w:p>
        </w:tc>
        <w:tc>
          <w:tcPr>
            <w:tcW w:w="128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200" w:type="dxa"/>
            <w:vAlign w:val="bottom"/>
            <w:tcBorders>
              <w:top w:val="single" w:sz="8" w:color="auto"/>
            </w:tcBorders>
            <w:shd w:val="clear" w:color="auto" w:fill="CCEEFF"/>
          </w:tcPr>
          <w:p>
            <w:pPr>
              <w:spacing w:after="0"/>
              <w:rPr>
                <w:sz w:val="23"/>
                <w:szCs w:val="23"/>
                <w:color w:val="auto"/>
              </w:rPr>
            </w:pPr>
          </w:p>
        </w:tc>
        <w:tc>
          <w:tcPr>
            <w:tcW w:w="128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180" w:type="dxa"/>
            <w:vAlign w:val="bottom"/>
            <w:tcBorders>
              <w:top w:val="single" w:sz="8" w:color="auto"/>
            </w:tcBorders>
            <w:shd w:val="clear" w:color="auto" w:fill="CCEEFF"/>
          </w:tcPr>
          <w:p>
            <w:pPr>
              <w:spacing w:after="0"/>
              <w:rPr>
                <w:sz w:val="23"/>
                <w:szCs w:val="23"/>
                <w:color w:val="auto"/>
              </w:rPr>
            </w:pPr>
          </w:p>
        </w:tc>
        <w:tc>
          <w:tcPr>
            <w:tcW w:w="1300" w:type="dxa"/>
            <w:vAlign w:val="bottom"/>
            <w:tcBorders>
              <w:top w:val="single" w:sz="8" w:color="auto"/>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2"/>
        </w:trPr>
        <w:tc>
          <w:tcPr>
            <w:tcW w:w="3540" w:type="dxa"/>
            <w:vAlign w:val="bottom"/>
          </w:tcPr>
          <w:p>
            <w:pPr>
              <w:ind w:left="40"/>
              <w:spacing w:after="0"/>
              <w:rPr>
                <w:sz w:val="20"/>
                <w:szCs w:val="20"/>
                <w:color w:val="auto"/>
              </w:rPr>
            </w:pPr>
            <w:r>
              <w:rPr>
                <w:rFonts w:ascii="Arial" w:cs="Arial" w:eastAsia="Arial" w:hAnsi="Arial"/>
                <w:sz w:val="16"/>
                <w:szCs w:val="16"/>
                <w:color w:val="auto"/>
              </w:rPr>
              <w:t>Purchases of investments</w:t>
            </w:r>
          </w:p>
        </w:tc>
        <w:tc>
          <w:tcPr>
            <w:tcW w:w="60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(114)</w:t>
            </w:r>
          </w:p>
        </w:tc>
        <w:tc>
          <w:tcPr>
            <w:tcW w:w="1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2"/>
                <w:szCs w:val="22"/>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(1,330)</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380" w:type="dxa"/>
            <w:vAlign w:val="bottom"/>
            <w:gridSpan w:val="2"/>
          </w:tcPr>
          <w:p>
            <w:pPr>
              <w:ind w:left="10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2"/>
                <w:szCs w:val="22"/>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(1,444)</w:t>
            </w:r>
          </w:p>
        </w:tc>
        <w:tc>
          <w:tcPr>
            <w:tcW w:w="0" w:type="dxa"/>
            <w:vAlign w:val="bottom"/>
          </w:tcPr>
          <w:p>
            <w:pPr>
              <w:spacing w:after="0"/>
              <w:rPr>
                <w:sz w:val="1"/>
                <w:szCs w:val="1"/>
                <w:color w:val="auto"/>
              </w:rPr>
            </w:pPr>
          </w:p>
        </w:tc>
      </w:tr>
      <w:tr>
        <w:trPr>
          <w:trHeight w:val="206"/>
        </w:trPr>
        <w:tc>
          <w:tcPr>
            <w:tcW w:w="3540" w:type="dxa"/>
            <w:vAlign w:val="bottom"/>
            <w:shd w:val="clear" w:color="auto" w:fill="CCEEFF"/>
          </w:tcPr>
          <w:p>
            <w:pPr>
              <w:ind w:left="40"/>
              <w:spacing w:after="0"/>
              <w:rPr>
                <w:sz w:val="20"/>
                <w:szCs w:val="20"/>
                <w:color w:val="auto"/>
              </w:rPr>
            </w:pPr>
            <w:r>
              <w:rPr>
                <w:rFonts w:ascii="Arial" w:cs="Arial" w:eastAsia="Arial" w:hAnsi="Arial"/>
                <w:sz w:val="16"/>
                <w:szCs w:val="16"/>
                <w:color w:val="auto"/>
              </w:rPr>
              <w:t>Proceeds from sales and maturities of</w:t>
            </w:r>
          </w:p>
        </w:tc>
        <w:tc>
          <w:tcPr>
            <w:tcW w:w="6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540" w:type="dxa"/>
            <w:vAlign w:val="bottom"/>
            <w:shd w:val="clear" w:color="auto" w:fill="CCEEFF"/>
          </w:tcPr>
          <w:p>
            <w:pPr>
              <w:ind w:left="200"/>
              <w:spacing w:after="0"/>
              <w:rPr>
                <w:sz w:val="20"/>
                <w:szCs w:val="20"/>
                <w:color w:val="auto"/>
              </w:rPr>
            </w:pPr>
            <w:r>
              <w:rPr>
                <w:rFonts w:ascii="Arial" w:cs="Arial" w:eastAsia="Arial" w:hAnsi="Arial"/>
                <w:sz w:val="16"/>
                <w:szCs w:val="16"/>
                <w:color w:val="auto"/>
              </w:rPr>
              <w:t>investments</w:t>
            </w:r>
          </w:p>
        </w:tc>
        <w:tc>
          <w:tcPr>
            <w:tcW w:w="600" w:type="dxa"/>
            <w:vAlign w:val="bottom"/>
            <w:shd w:val="clear" w:color="auto" w:fill="CCEEFF"/>
          </w:tcPr>
          <w:p>
            <w:pPr>
              <w:spacing w:after="0"/>
              <w:rPr>
                <w:sz w:val="20"/>
                <w:szCs w:val="20"/>
                <w:color w:val="auto"/>
              </w:rPr>
            </w:pPr>
          </w:p>
        </w:tc>
        <w:tc>
          <w:tcPr>
            <w:tcW w:w="9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103</w:t>
            </w:r>
          </w:p>
        </w:tc>
        <w:tc>
          <w:tcPr>
            <w:tcW w:w="12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20"/>
                <w:szCs w:val="20"/>
                <w:color w:val="auto"/>
              </w:rPr>
            </w:pPr>
          </w:p>
        </w:tc>
        <w:tc>
          <w:tcPr>
            <w:tcW w:w="12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1,409</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380" w:type="dxa"/>
            <w:vAlign w:val="bottom"/>
            <w:gridSpan w:val="2"/>
            <w:shd w:val="clear" w:color="auto" w:fill="CCEEFF"/>
          </w:tcPr>
          <w:p>
            <w:pPr>
              <w:ind w:left="100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20"/>
                <w:szCs w:val="20"/>
                <w:color w:val="auto"/>
              </w:rPr>
            </w:pPr>
          </w:p>
        </w:tc>
        <w:tc>
          <w:tcPr>
            <w:tcW w:w="13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1,512</w:t>
            </w:r>
          </w:p>
        </w:tc>
        <w:tc>
          <w:tcPr>
            <w:tcW w:w="0" w:type="dxa"/>
            <w:vAlign w:val="bottom"/>
          </w:tcPr>
          <w:p>
            <w:pPr>
              <w:spacing w:after="0"/>
              <w:rPr>
                <w:sz w:val="1"/>
                <w:szCs w:val="1"/>
                <w:color w:val="auto"/>
              </w:rPr>
            </w:pPr>
          </w:p>
        </w:tc>
      </w:tr>
      <w:tr>
        <w:trPr>
          <w:trHeight w:val="198"/>
        </w:trPr>
        <w:tc>
          <w:tcPr>
            <w:tcW w:w="3540" w:type="dxa"/>
            <w:vAlign w:val="bottom"/>
          </w:tcPr>
          <w:p>
            <w:pPr>
              <w:ind w:left="40"/>
              <w:spacing w:after="0"/>
              <w:rPr>
                <w:sz w:val="20"/>
                <w:szCs w:val="20"/>
                <w:color w:val="auto"/>
              </w:rPr>
            </w:pPr>
            <w:r>
              <w:rPr>
                <w:rFonts w:ascii="Arial" w:cs="Arial" w:eastAsia="Arial" w:hAnsi="Arial"/>
                <w:sz w:val="16"/>
                <w:szCs w:val="16"/>
                <w:color w:val="auto"/>
              </w:rPr>
              <w:t>Purchases of property, equipment and</w:t>
            </w:r>
          </w:p>
        </w:tc>
        <w:tc>
          <w:tcPr>
            <w:tcW w:w="6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6"/>
        </w:trPr>
        <w:tc>
          <w:tcPr>
            <w:tcW w:w="3540" w:type="dxa"/>
            <w:vAlign w:val="bottom"/>
          </w:tcPr>
          <w:p>
            <w:pPr>
              <w:ind w:left="200"/>
              <w:spacing w:after="0"/>
              <w:rPr>
                <w:sz w:val="20"/>
                <w:szCs w:val="20"/>
                <w:color w:val="auto"/>
              </w:rPr>
            </w:pPr>
            <w:r>
              <w:rPr>
                <w:rFonts w:ascii="Arial" w:cs="Arial" w:eastAsia="Arial" w:hAnsi="Arial"/>
                <w:sz w:val="16"/>
                <w:szCs w:val="16"/>
                <w:color w:val="auto"/>
              </w:rPr>
              <w:t>capitalized software</w:t>
            </w:r>
          </w:p>
        </w:tc>
        <w:tc>
          <w:tcPr>
            <w:tcW w:w="6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(102)</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(23)</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(18)</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80" w:type="dxa"/>
            <w:vAlign w:val="bottom"/>
            <w:gridSpan w:val="2"/>
          </w:tcPr>
          <w:p>
            <w:pPr>
              <w:ind w:left="10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(143)</w:t>
            </w:r>
          </w:p>
        </w:tc>
        <w:tc>
          <w:tcPr>
            <w:tcW w:w="0" w:type="dxa"/>
            <w:vAlign w:val="bottom"/>
          </w:tcPr>
          <w:p>
            <w:pPr>
              <w:spacing w:after="0"/>
              <w:rPr>
                <w:sz w:val="1"/>
                <w:szCs w:val="1"/>
                <w:color w:val="auto"/>
              </w:rPr>
            </w:pPr>
          </w:p>
        </w:tc>
      </w:tr>
      <w:tr>
        <w:trPr>
          <w:trHeight w:val="206"/>
        </w:trPr>
        <w:tc>
          <w:tcPr>
            <w:tcW w:w="3540" w:type="dxa"/>
            <w:vAlign w:val="bottom"/>
            <w:shd w:val="clear" w:color="auto" w:fill="CCEEFF"/>
          </w:tcPr>
          <w:p>
            <w:pPr>
              <w:ind w:left="40"/>
              <w:spacing w:after="0"/>
              <w:rPr>
                <w:sz w:val="20"/>
                <w:szCs w:val="20"/>
                <w:color w:val="auto"/>
              </w:rPr>
            </w:pPr>
            <w:r>
              <w:rPr>
                <w:rFonts w:ascii="Arial" w:cs="Arial" w:eastAsia="Arial" w:hAnsi="Arial"/>
                <w:sz w:val="16"/>
                <w:szCs w:val="16"/>
                <w:color w:val="auto"/>
              </w:rPr>
              <w:t>Decrease in restricted investments held-to-</w:t>
            </w:r>
          </w:p>
        </w:tc>
        <w:tc>
          <w:tcPr>
            <w:tcW w:w="6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540" w:type="dxa"/>
            <w:vAlign w:val="bottom"/>
            <w:shd w:val="clear" w:color="auto" w:fill="CCEEFF"/>
          </w:tcPr>
          <w:p>
            <w:pPr>
              <w:ind w:left="200"/>
              <w:spacing w:after="0"/>
              <w:rPr>
                <w:sz w:val="20"/>
                <w:szCs w:val="20"/>
                <w:color w:val="auto"/>
              </w:rPr>
            </w:pPr>
            <w:r>
              <w:rPr>
                <w:rFonts w:ascii="Arial" w:cs="Arial" w:eastAsia="Arial" w:hAnsi="Arial"/>
                <w:sz w:val="16"/>
                <w:szCs w:val="16"/>
                <w:color w:val="auto"/>
              </w:rPr>
              <w:t>maturity</w:t>
            </w:r>
          </w:p>
        </w:tc>
        <w:tc>
          <w:tcPr>
            <w:tcW w:w="60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44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20"/>
                <w:szCs w:val="20"/>
                <w:color w:val="auto"/>
              </w:rPr>
            </w:pPr>
          </w:p>
        </w:tc>
        <w:tc>
          <w:tcPr>
            <w:tcW w:w="12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4</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380" w:type="dxa"/>
            <w:vAlign w:val="bottom"/>
            <w:gridSpan w:val="2"/>
            <w:shd w:val="clear" w:color="auto" w:fill="CCEEFF"/>
          </w:tcPr>
          <w:p>
            <w:pPr>
              <w:ind w:left="100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20"/>
                <w:szCs w:val="20"/>
                <w:color w:val="auto"/>
              </w:rPr>
            </w:pPr>
          </w:p>
        </w:tc>
        <w:tc>
          <w:tcPr>
            <w:tcW w:w="13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4</w:t>
            </w:r>
          </w:p>
        </w:tc>
        <w:tc>
          <w:tcPr>
            <w:tcW w:w="0" w:type="dxa"/>
            <w:vAlign w:val="bottom"/>
          </w:tcPr>
          <w:p>
            <w:pPr>
              <w:spacing w:after="0"/>
              <w:rPr>
                <w:sz w:val="1"/>
                <w:szCs w:val="1"/>
                <w:color w:val="auto"/>
              </w:rPr>
            </w:pPr>
          </w:p>
        </w:tc>
      </w:tr>
      <w:tr>
        <w:trPr>
          <w:trHeight w:val="262"/>
        </w:trPr>
        <w:tc>
          <w:tcPr>
            <w:tcW w:w="3540" w:type="dxa"/>
            <w:vAlign w:val="bottom"/>
          </w:tcPr>
          <w:p>
            <w:pPr>
              <w:ind w:left="40"/>
              <w:spacing w:after="0"/>
              <w:rPr>
                <w:sz w:val="20"/>
                <w:szCs w:val="20"/>
                <w:color w:val="auto"/>
              </w:rPr>
            </w:pPr>
            <w:r>
              <w:rPr>
                <w:rFonts w:ascii="Arial" w:cs="Arial" w:eastAsia="Arial" w:hAnsi="Arial"/>
                <w:sz w:val="16"/>
                <w:szCs w:val="16"/>
                <w:color w:val="auto"/>
              </w:rPr>
              <w:t>Net cash paid in business combinations</w:t>
            </w:r>
          </w:p>
        </w:tc>
        <w:tc>
          <w:tcPr>
            <w:tcW w:w="600" w:type="dxa"/>
            <w:vAlign w:val="bottom"/>
          </w:tcPr>
          <w:p>
            <w:pPr>
              <w:spacing w:after="0"/>
              <w:rPr>
                <w:sz w:val="22"/>
                <w:szCs w:val="22"/>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44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(5)</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(43)</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380" w:type="dxa"/>
            <w:vAlign w:val="bottom"/>
            <w:gridSpan w:val="2"/>
          </w:tcPr>
          <w:p>
            <w:pPr>
              <w:ind w:left="10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2"/>
                <w:szCs w:val="22"/>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(48)</w:t>
            </w:r>
          </w:p>
        </w:tc>
        <w:tc>
          <w:tcPr>
            <w:tcW w:w="0" w:type="dxa"/>
            <w:vAlign w:val="bottom"/>
          </w:tcPr>
          <w:p>
            <w:pPr>
              <w:spacing w:after="0"/>
              <w:rPr>
                <w:sz w:val="1"/>
                <w:szCs w:val="1"/>
                <w:color w:val="auto"/>
              </w:rPr>
            </w:pPr>
          </w:p>
        </w:tc>
      </w:tr>
      <w:tr>
        <w:trPr>
          <w:trHeight w:val="278"/>
        </w:trPr>
        <w:tc>
          <w:tcPr>
            <w:tcW w:w="3540" w:type="dxa"/>
            <w:vAlign w:val="bottom"/>
            <w:shd w:val="clear" w:color="auto" w:fill="CCEEFF"/>
          </w:tcPr>
          <w:p>
            <w:pPr>
              <w:ind w:left="40"/>
              <w:spacing w:after="0"/>
              <w:rPr>
                <w:sz w:val="20"/>
                <w:szCs w:val="20"/>
                <w:color w:val="auto"/>
              </w:rPr>
            </w:pPr>
            <w:r>
              <w:rPr>
                <w:rFonts w:ascii="Arial" w:cs="Arial" w:eastAsia="Arial" w:hAnsi="Arial"/>
                <w:sz w:val="16"/>
                <w:szCs w:val="16"/>
                <w:color w:val="auto"/>
              </w:rPr>
              <w:t>Capital contributions to/from subsidiaries</w:t>
            </w:r>
          </w:p>
        </w:tc>
        <w:tc>
          <w:tcPr>
            <w:tcW w:w="600" w:type="dxa"/>
            <w:vAlign w:val="bottom"/>
            <w:shd w:val="clear" w:color="auto" w:fill="CCEEFF"/>
          </w:tcPr>
          <w:p>
            <w:pPr>
              <w:spacing w:after="0"/>
              <w:rPr>
                <w:sz w:val="24"/>
                <w:szCs w:val="24"/>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(221)</w:t>
            </w:r>
          </w:p>
        </w:tc>
        <w:tc>
          <w:tcPr>
            <w:tcW w:w="12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7</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2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214</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380" w:type="dxa"/>
            <w:vAlign w:val="bottom"/>
            <w:gridSpan w:val="2"/>
            <w:shd w:val="clear" w:color="auto" w:fill="CCEEFF"/>
          </w:tcPr>
          <w:p>
            <w:pPr>
              <w:ind w:left="100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24"/>
                <w:szCs w:val="24"/>
                <w:color w:val="auto"/>
              </w:rPr>
            </w:pPr>
          </w:p>
        </w:tc>
        <w:tc>
          <w:tcPr>
            <w:tcW w:w="13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62"/>
        </w:trPr>
        <w:tc>
          <w:tcPr>
            <w:tcW w:w="3540" w:type="dxa"/>
            <w:vAlign w:val="bottom"/>
          </w:tcPr>
          <w:p>
            <w:pPr>
              <w:ind w:left="40"/>
              <w:spacing w:after="0"/>
              <w:rPr>
                <w:sz w:val="20"/>
                <w:szCs w:val="20"/>
                <w:color w:val="auto"/>
              </w:rPr>
            </w:pPr>
            <w:r>
              <w:rPr>
                <w:rFonts w:ascii="Arial" w:cs="Arial" w:eastAsia="Arial" w:hAnsi="Arial"/>
                <w:sz w:val="16"/>
                <w:szCs w:val="16"/>
                <w:color w:val="auto"/>
              </w:rPr>
              <w:t>Dividends to/from subsidiaries</w:t>
            </w:r>
          </w:p>
        </w:tc>
        <w:tc>
          <w:tcPr>
            <w:tcW w:w="600" w:type="dxa"/>
            <w:vAlign w:val="bottom"/>
          </w:tcPr>
          <w:p>
            <w:pPr>
              <w:spacing w:after="0"/>
              <w:rPr>
                <w:sz w:val="22"/>
                <w:szCs w:val="22"/>
                <w:color w:val="auto"/>
              </w:rPr>
            </w:pPr>
          </w:p>
        </w:tc>
        <w:tc>
          <w:tcPr>
            <w:tcW w:w="920" w:type="dxa"/>
            <w:vAlign w:val="bottom"/>
          </w:tcPr>
          <w:p>
            <w:pPr>
              <w:jc w:val="right"/>
              <w:ind w:right="39"/>
              <w:spacing w:after="0"/>
              <w:rPr>
                <w:sz w:val="20"/>
                <w:szCs w:val="20"/>
                <w:color w:val="auto"/>
              </w:rPr>
            </w:pPr>
            <w:r>
              <w:rPr>
                <w:rFonts w:ascii="Arial" w:cs="Arial" w:eastAsia="Arial" w:hAnsi="Arial"/>
                <w:sz w:val="16"/>
                <w:szCs w:val="16"/>
                <w:color w:val="auto"/>
              </w:rPr>
              <w:t>50</w:t>
            </w:r>
          </w:p>
        </w:tc>
        <w:tc>
          <w:tcPr>
            <w:tcW w:w="1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2"/>
                <w:szCs w:val="22"/>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(50)</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380" w:type="dxa"/>
            <w:vAlign w:val="bottom"/>
            <w:gridSpan w:val="2"/>
          </w:tcPr>
          <w:p>
            <w:pPr>
              <w:ind w:left="10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2"/>
                <w:szCs w:val="22"/>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78"/>
        </w:trPr>
        <w:tc>
          <w:tcPr>
            <w:tcW w:w="3540" w:type="dxa"/>
            <w:vAlign w:val="bottom"/>
            <w:shd w:val="clear" w:color="auto" w:fill="CCEEFF"/>
          </w:tcPr>
          <w:p>
            <w:pPr>
              <w:ind w:left="40"/>
              <w:spacing w:after="0"/>
              <w:rPr>
                <w:sz w:val="20"/>
                <w:szCs w:val="20"/>
                <w:color w:val="auto"/>
              </w:rPr>
            </w:pPr>
            <w:r>
              <w:rPr>
                <w:rFonts w:ascii="Arial" w:cs="Arial" w:eastAsia="Arial" w:hAnsi="Arial"/>
                <w:sz w:val="16"/>
                <w:szCs w:val="16"/>
                <w:color w:val="auto"/>
              </w:rPr>
              <w:t>Change in amounts due to/from affiliates</w:t>
            </w:r>
          </w:p>
        </w:tc>
        <w:tc>
          <w:tcPr>
            <w:tcW w:w="600" w:type="dxa"/>
            <w:vAlign w:val="bottom"/>
            <w:shd w:val="clear" w:color="auto" w:fill="CCEEFF"/>
          </w:tcPr>
          <w:p>
            <w:pPr>
              <w:spacing w:after="0"/>
              <w:rPr>
                <w:sz w:val="24"/>
                <w:szCs w:val="24"/>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w:t>
            </w:r>
          </w:p>
        </w:tc>
        <w:tc>
          <w:tcPr>
            <w:tcW w:w="12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4</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2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8</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380" w:type="dxa"/>
            <w:vAlign w:val="bottom"/>
            <w:gridSpan w:val="2"/>
            <w:shd w:val="clear" w:color="auto" w:fill="CCEEFF"/>
          </w:tcPr>
          <w:p>
            <w:pPr>
              <w:ind w:left="100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24"/>
                <w:szCs w:val="24"/>
                <w:color w:val="auto"/>
              </w:rPr>
            </w:pPr>
          </w:p>
        </w:tc>
        <w:tc>
          <w:tcPr>
            <w:tcW w:w="13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64"/>
        </w:trPr>
        <w:tc>
          <w:tcPr>
            <w:tcW w:w="3540" w:type="dxa"/>
            <w:vAlign w:val="bottom"/>
          </w:tcPr>
          <w:p>
            <w:pPr>
              <w:ind w:left="40"/>
              <w:spacing w:after="0"/>
              <w:rPr>
                <w:sz w:val="20"/>
                <w:szCs w:val="20"/>
                <w:color w:val="auto"/>
              </w:rPr>
            </w:pPr>
            <w:r>
              <w:rPr>
                <w:rFonts w:ascii="Arial" w:cs="Arial" w:eastAsia="Arial" w:hAnsi="Arial"/>
                <w:sz w:val="16"/>
                <w:szCs w:val="16"/>
                <w:color w:val="auto"/>
              </w:rPr>
              <w:t>Other, net</w:t>
            </w:r>
          </w:p>
        </w:tc>
        <w:tc>
          <w:tcPr>
            <w:tcW w:w="600" w:type="dxa"/>
            <w:vAlign w:val="bottom"/>
          </w:tcPr>
          <w:p>
            <w:pPr>
              <w:spacing w:after="0"/>
              <w:rPr>
                <w:sz w:val="22"/>
                <w:szCs w:val="22"/>
                <w:color w:val="auto"/>
              </w:rPr>
            </w:pPr>
          </w:p>
        </w:tc>
        <w:tc>
          <w:tcPr>
            <w:tcW w:w="920" w:type="dxa"/>
            <w:vAlign w:val="bottom"/>
          </w:tcPr>
          <w:p>
            <w:pPr>
              <w:jc w:val="right"/>
              <w:ind w:right="39"/>
              <w:spacing w:after="0"/>
              <w:rPr>
                <w:sz w:val="20"/>
                <w:szCs w:val="20"/>
                <w:color w:val="auto"/>
              </w:rPr>
            </w:pPr>
            <w:r>
              <w:rPr>
                <w:rFonts w:ascii="Arial" w:cs="Arial" w:eastAsia="Arial" w:hAnsi="Arial"/>
                <w:sz w:val="16"/>
                <w:szCs w:val="16"/>
                <w:color w:val="auto"/>
              </w:rPr>
              <w:t>6</w:t>
            </w:r>
          </w:p>
        </w:tc>
        <w:tc>
          <w:tcPr>
            <w:tcW w:w="1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(19)</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80" w:type="dxa"/>
            <w:vAlign w:val="bottom"/>
          </w:tcPr>
          <w:p>
            <w:pPr>
              <w:jc w:val="right"/>
              <w:ind w:right="19"/>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380" w:type="dxa"/>
            <w:vAlign w:val="bottom"/>
            <w:gridSpan w:val="2"/>
          </w:tcPr>
          <w:p>
            <w:pPr>
              <w:ind w:left="10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2"/>
                <w:szCs w:val="22"/>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(12)</w:t>
            </w:r>
          </w:p>
        </w:tc>
        <w:tc>
          <w:tcPr>
            <w:tcW w:w="0" w:type="dxa"/>
            <w:vAlign w:val="bottom"/>
          </w:tcPr>
          <w:p>
            <w:pPr>
              <w:spacing w:after="0"/>
              <w:rPr>
                <w:sz w:val="1"/>
                <w:szCs w:val="1"/>
                <w:color w:val="auto"/>
              </w:rPr>
            </w:pPr>
          </w:p>
        </w:tc>
      </w:tr>
      <w:tr>
        <w:trPr>
          <w:trHeight w:val="184"/>
        </w:trPr>
        <w:tc>
          <w:tcPr>
            <w:tcW w:w="354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cash (used in) provided by investing</w:t>
            </w:r>
          </w:p>
        </w:tc>
        <w:tc>
          <w:tcPr>
            <w:tcW w:w="600" w:type="dxa"/>
            <w:vAlign w:val="bottom"/>
            <w:tcBorders>
              <w:top w:val="single" w:sz="8" w:color="auto"/>
            </w:tcBorders>
            <w:shd w:val="clear" w:color="auto" w:fill="CCEEFF"/>
          </w:tcPr>
          <w:p>
            <w:pPr>
              <w:spacing w:after="0"/>
              <w:rPr>
                <w:sz w:val="16"/>
                <w:szCs w:val="16"/>
                <w:color w:val="auto"/>
              </w:rPr>
            </w:pPr>
          </w:p>
        </w:tc>
        <w:tc>
          <w:tcPr>
            <w:tcW w:w="92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440" w:type="dxa"/>
            <w:vAlign w:val="bottom"/>
            <w:tcBorders>
              <w:top w:val="single" w:sz="8" w:color="auto"/>
            </w:tcBorders>
            <w:shd w:val="clear" w:color="auto" w:fill="CCEEFF"/>
          </w:tcPr>
          <w:p>
            <w:pPr>
              <w:spacing w:after="0"/>
              <w:rPr>
                <w:sz w:val="16"/>
                <w:szCs w:val="16"/>
                <w:color w:val="auto"/>
              </w:rPr>
            </w:pPr>
          </w:p>
        </w:tc>
        <w:tc>
          <w:tcPr>
            <w:tcW w:w="106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128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128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1300" w:type="dxa"/>
            <w:vAlign w:val="bottom"/>
            <w:tcBorders>
              <w:top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3540" w:type="dxa"/>
            <w:vAlign w:val="bottom"/>
            <w:shd w:val="clear" w:color="auto" w:fill="CCEEFF"/>
          </w:tcPr>
          <w:p>
            <w:pPr>
              <w:ind w:left="200"/>
              <w:spacing w:after="0"/>
              <w:rPr>
                <w:sz w:val="20"/>
                <w:szCs w:val="20"/>
                <w:color w:val="auto"/>
              </w:rPr>
            </w:pPr>
            <w:r>
              <w:rPr>
                <w:rFonts w:ascii="Arial" w:cs="Arial" w:eastAsia="Arial" w:hAnsi="Arial"/>
                <w:sz w:val="16"/>
                <w:szCs w:val="16"/>
                <w:color w:val="auto"/>
              </w:rPr>
              <w:t>activities</w:t>
            </w:r>
          </w:p>
        </w:tc>
        <w:tc>
          <w:tcPr>
            <w:tcW w:w="60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(290)</w:t>
            </w:r>
          </w:p>
        </w:tc>
        <w:tc>
          <w:tcPr>
            <w:tcW w:w="12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2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195</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380" w:type="dxa"/>
            <w:vAlign w:val="bottom"/>
            <w:gridSpan w:val="2"/>
            <w:shd w:val="clear" w:color="auto" w:fill="CCEEFF"/>
          </w:tcPr>
          <w:p>
            <w:pPr>
              <w:ind w:left="100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20"/>
                <w:szCs w:val="20"/>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(131)</w:t>
            </w:r>
          </w:p>
        </w:tc>
        <w:tc>
          <w:tcPr>
            <w:tcW w:w="0" w:type="dxa"/>
            <w:vAlign w:val="bottom"/>
          </w:tcPr>
          <w:p>
            <w:pPr>
              <w:spacing w:after="0"/>
              <w:rPr>
                <w:sz w:val="1"/>
                <w:szCs w:val="1"/>
                <w:color w:val="auto"/>
              </w:rPr>
            </w:pPr>
          </w:p>
        </w:tc>
      </w:tr>
      <w:tr>
        <w:trPr>
          <w:trHeight w:val="260"/>
        </w:trPr>
        <w:tc>
          <w:tcPr>
            <w:tcW w:w="3540" w:type="dxa"/>
            <w:vAlign w:val="bottom"/>
          </w:tcPr>
          <w:p>
            <w:pPr>
              <w:ind w:left="40"/>
              <w:spacing w:after="0"/>
              <w:rPr>
                <w:sz w:val="20"/>
                <w:szCs w:val="20"/>
                <w:color w:val="auto"/>
              </w:rPr>
            </w:pPr>
            <w:r>
              <w:rPr>
                <w:rFonts w:ascii="Arial" w:cs="Arial" w:eastAsia="Arial" w:hAnsi="Arial"/>
                <w:sz w:val="16"/>
                <w:szCs w:val="16"/>
                <w:b w:val="1"/>
                <w:bCs w:val="1"/>
                <w:color w:val="auto"/>
              </w:rPr>
              <w:t>Financing activities:</w:t>
            </w:r>
          </w:p>
        </w:tc>
        <w:tc>
          <w:tcPr>
            <w:tcW w:w="600" w:type="dxa"/>
            <w:vAlign w:val="bottom"/>
            <w:tcBorders>
              <w:top w:val="single" w:sz="8" w:color="auto"/>
            </w:tcBorders>
          </w:tcPr>
          <w:p>
            <w:pPr>
              <w:spacing w:after="0"/>
              <w:rPr>
                <w:sz w:val="22"/>
                <w:szCs w:val="22"/>
                <w:color w:val="auto"/>
              </w:rPr>
            </w:pPr>
          </w:p>
        </w:tc>
        <w:tc>
          <w:tcPr>
            <w:tcW w:w="92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440" w:type="dxa"/>
            <w:vAlign w:val="bottom"/>
            <w:tcBorders>
              <w:top w:val="single" w:sz="8" w:color="auto"/>
            </w:tcBorders>
          </w:tcPr>
          <w:p>
            <w:pPr>
              <w:spacing w:after="0"/>
              <w:rPr>
                <w:sz w:val="22"/>
                <w:szCs w:val="22"/>
                <w:color w:val="auto"/>
              </w:rPr>
            </w:pPr>
          </w:p>
        </w:tc>
        <w:tc>
          <w:tcPr>
            <w:tcW w:w="106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Borders>
              <w:top w:val="single" w:sz="8" w:color="auto"/>
            </w:tcBorders>
          </w:tcPr>
          <w:p>
            <w:pPr>
              <w:spacing w:after="0"/>
              <w:rPr>
                <w:sz w:val="22"/>
                <w:szCs w:val="22"/>
                <w:color w:val="auto"/>
              </w:rPr>
            </w:pPr>
          </w:p>
        </w:tc>
        <w:tc>
          <w:tcPr>
            <w:tcW w:w="128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Borders>
              <w:top w:val="single" w:sz="8" w:color="auto"/>
            </w:tcBorders>
          </w:tcPr>
          <w:p>
            <w:pPr>
              <w:spacing w:after="0"/>
              <w:rPr>
                <w:sz w:val="22"/>
                <w:szCs w:val="22"/>
                <w:color w:val="auto"/>
              </w:rPr>
            </w:pPr>
          </w:p>
        </w:tc>
        <w:tc>
          <w:tcPr>
            <w:tcW w:w="128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Borders>
              <w:top w:val="single" w:sz="8" w:color="auto"/>
            </w:tcBorders>
          </w:tcPr>
          <w:p>
            <w:pPr>
              <w:spacing w:after="0"/>
              <w:rPr>
                <w:sz w:val="22"/>
                <w:szCs w:val="22"/>
                <w:color w:val="auto"/>
              </w:rPr>
            </w:pPr>
          </w:p>
        </w:tc>
        <w:tc>
          <w:tcPr>
            <w:tcW w:w="1300" w:type="dxa"/>
            <w:vAlign w:val="bottom"/>
            <w:tcBorders>
              <w:top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31"/>
        </w:trPr>
        <w:tc>
          <w:tcPr>
            <w:tcW w:w="3540" w:type="dxa"/>
            <w:vAlign w:val="bottom"/>
            <w:shd w:val="clear" w:color="auto" w:fill="CCEEFF"/>
          </w:tcPr>
          <w:p>
            <w:pPr>
              <w:ind w:left="40"/>
              <w:spacing w:after="0"/>
              <w:rPr>
                <w:sz w:val="20"/>
                <w:szCs w:val="20"/>
                <w:color w:val="auto"/>
              </w:rPr>
            </w:pPr>
            <w:r>
              <w:rPr>
                <w:rFonts w:ascii="Arial" w:cs="Arial" w:eastAsia="Arial" w:hAnsi="Arial"/>
                <w:sz w:val="16"/>
                <w:szCs w:val="16"/>
                <w:color w:val="auto"/>
              </w:rPr>
              <w:t>Proceeds from employee stock plans</w:t>
            </w:r>
          </w:p>
        </w:tc>
        <w:tc>
          <w:tcPr>
            <w:tcW w:w="600" w:type="dxa"/>
            <w:vAlign w:val="bottom"/>
            <w:shd w:val="clear" w:color="auto" w:fill="CCEEFF"/>
          </w:tcPr>
          <w:p>
            <w:pPr>
              <w:spacing w:after="0"/>
              <w:rPr>
                <w:sz w:val="20"/>
                <w:szCs w:val="20"/>
                <w:color w:val="auto"/>
              </w:rPr>
            </w:pPr>
          </w:p>
        </w:tc>
        <w:tc>
          <w:tcPr>
            <w:tcW w:w="920" w:type="dxa"/>
            <w:vAlign w:val="bottom"/>
            <w:vMerge w:val="restart"/>
            <w:shd w:val="clear" w:color="auto" w:fill="CCEEFF"/>
          </w:tcPr>
          <w:p>
            <w:pPr>
              <w:jc w:val="right"/>
              <w:ind w:right="39"/>
              <w:spacing w:after="0"/>
              <w:rPr>
                <w:sz w:val="20"/>
                <w:szCs w:val="20"/>
                <w:color w:val="auto"/>
              </w:rPr>
            </w:pPr>
            <w:r>
              <w:rPr>
                <w:rFonts w:ascii="Arial" w:cs="Arial" w:eastAsia="Arial" w:hAnsi="Arial"/>
                <w:sz w:val="16"/>
                <w:szCs w:val="16"/>
                <w:color w:val="auto"/>
              </w:rPr>
              <w:t>10</w:t>
            </w:r>
          </w:p>
        </w:tc>
        <w:tc>
          <w:tcPr>
            <w:tcW w:w="12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116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20"/>
                <w:szCs w:val="20"/>
                <w:color w:val="auto"/>
              </w:rPr>
            </w:pPr>
          </w:p>
        </w:tc>
        <w:tc>
          <w:tcPr>
            <w:tcW w:w="138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20"/>
                <w:szCs w:val="20"/>
                <w:color w:val="auto"/>
              </w:rPr>
            </w:pPr>
          </w:p>
        </w:tc>
        <w:tc>
          <w:tcPr>
            <w:tcW w:w="1380" w:type="dxa"/>
            <w:vAlign w:val="bottom"/>
            <w:gridSpan w:val="2"/>
            <w:vMerge w:val="restart"/>
            <w:shd w:val="clear" w:color="auto" w:fill="CCEEFF"/>
          </w:tcPr>
          <w:p>
            <w:pPr>
              <w:ind w:left="100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20"/>
                <w:szCs w:val="20"/>
                <w:color w:val="auto"/>
              </w:rPr>
            </w:pPr>
          </w:p>
        </w:tc>
        <w:tc>
          <w:tcPr>
            <w:tcW w:w="1300" w:type="dxa"/>
            <w:vAlign w:val="bottom"/>
            <w:vMerge w:val="restart"/>
            <w:shd w:val="clear" w:color="auto" w:fill="CCEEFF"/>
          </w:tcPr>
          <w:p>
            <w:pPr>
              <w:jc w:val="right"/>
              <w:ind w:right="19"/>
              <w:spacing w:after="0"/>
              <w:rPr>
                <w:sz w:val="20"/>
                <w:szCs w:val="20"/>
                <w:color w:val="auto"/>
              </w:rPr>
            </w:pPr>
            <w:r>
              <w:rPr>
                <w:rFonts w:ascii="Arial" w:cs="Arial" w:eastAsia="Arial" w:hAnsi="Arial"/>
                <w:sz w:val="16"/>
                <w:szCs w:val="16"/>
                <w:color w:val="auto"/>
              </w:rPr>
              <w:t>10</w:t>
            </w:r>
          </w:p>
        </w:tc>
        <w:tc>
          <w:tcPr>
            <w:tcW w:w="0" w:type="dxa"/>
            <w:vAlign w:val="bottom"/>
          </w:tcPr>
          <w:p>
            <w:pPr>
              <w:spacing w:after="0"/>
              <w:rPr>
                <w:sz w:val="1"/>
                <w:szCs w:val="1"/>
                <w:color w:val="auto"/>
              </w:rPr>
            </w:pPr>
          </w:p>
        </w:tc>
      </w:tr>
      <w:tr>
        <w:trPr>
          <w:trHeight w:val="205"/>
        </w:trPr>
        <w:tc>
          <w:tcPr>
            <w:tcW w:w="35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92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160" w:type="dxa"/>
            <w:vAlign w:val="bottom"/>
            <w:gridSpan w:val="2"/>
            <w:vMerge w:val="continue"/>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380" w:type="dxa"/>
            <w:vAlign w:val="bottom"/>
            <w:gridSpan w:val="2"/>
            <w:vMerge w:val="continue"/>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380" w:type="dxa"/>
            <w:vAlign w:val="bottom"/>
            <w:gridSpan w:val="2"/>
            <w:vMerge w:val="continue"/>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30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64"/>
        </w:trPr>
        <w:tc>
          <w:tcPr>
            <w:tcW w:w="3540" w:type="dxa"/>
            <w:vAlign w:val="bottom"/>
          </w:tcPr>
          <w:p>
            <w:pPr>
              <w:ind w:left="40"/>
              <w:spacing w:after="0"/>
              <w:rPr>
                <w:sz w:val="20"/>
                <w:szCs w:val="20"/>
                <w:color w:val="auto"/>
              </w:rPr>
            </w:pPr>
            <w:r>
              <w:rPr>
                <w:rFonts w:ascii="Arial" w:cs="Arial" w:eastAsia="Arial" w:hAnsi="Arial"/>
                <w:sz w:val="16"/>
                <w:szCs w:val="16"/>
                <w:color w:val="auto"/>
              </w:rPr>
              <w:t>Other, net</w:t>
            </w:r>
          </w:p>
        </w:tc>
        <w:tc>
          <w:tcPr>
            <w:tcW w:w="600" w:type="dxa"/>
            <w:vAlign w:val="bottom"/>
          </w:tcPr>
          <w:p>
            <w:pPr>
              <w:spacing w:after="0"/>
              <w:rPr>
                <w:sz w:val="22"/>
                <w:szCs w:val="22"/>
                <w:color w:val="auto"/>
              </w:rPr>
            </w:pPr>
          </w:p>
        </w:tc>
        <w:tc>
          <w:tcPr>
            <w:tcW w:w="920" w:type="dxa"/>
            <w:vAlign w:val="bottom"/>
          </w:tcPr>
          <w:p>
            <w:pPr>
              <w:jc w:val="right"/>
              <w:ind w:right="39"/>
              <w:spacing w:after="0"/>
              <w:rPr>
                <w:sz w:val="20"/>
                <w:szCs w:val="20"/>
                <w:color w:val="auto"/>
              </w:rPr>
            </w:pPr>
            <w:r>
              <w:rPr>
                <w:rFonts w:ascii="Arial" w:cs="Arial" w:eastAsia="Arial" w:hAnsi="Arial"/>
                <w:sz w:val="16"/>
                <w:szCs w:val="16"/>
                <w:color w:val="auto"/>
              </w:rPr>
              <w:t>2</w:t>
            </w:r>
          </w:p>
        </w:tc>
        <w:tc>
          <w:tcPr>
            <w:tcW w:w="1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2"/>
                <w:szCs w:val="22"/>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380" w:type="dxa"/>
            <w:vAlign w:val="bottom"/>
            <w:gridSpan w:val="2"/>
          </w:tcPr>
          <w:p>
            <w:pPr>
              <w:ind w:left="10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2"/>
                <w:szCs w:val="22"/>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184"/>
        </w:trPr>
        <w:tc>
          <w:tcPr>
            <w:tcW w:w="354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cash provided by (used in) financing</w:t>
            </w:r>
          </w:p>
        </w:tc>
        <w:tc>
          <w:tcPr>
            <w:tcW w:w="600" w:type="dxa"/>
            <w:vAlign w:val="bottom"/>
            <w:tcBorders>
              <w:top w:val="single" w:sz="8" w:color="auto"/>
            </w:tcBorders>
            <w:shd w:val="clear" w:color="auto" w:fill="CCEEFF"/>
          </w:tcPr>
          <w:p>
            <w:pPr>
              <w:spacing w:after="0"/>
              <w:rPr>
                <w:sz w:val="16"/>
                <w:szCs w:val="16"/>
                <w:color w:val="auto"/>
              </w:rPr>
            </w:pPr>
          </w:p>
        </w:tc>
        <w:tc>
          <w:tcPr>
            <w:tcW w:w="92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440" w:type="dxa"/>
            <w:vAlign w:val="bottom"/>
            <w:tcBorders>
              <w:top w:val="single" w:sz="8" w:color="auto"/>
            </w:tcBorders>
            <w:shd w:val="clear" w:color="auto" w:fill="CCEEFF"/>
          </w:tcPr>
          <w:p>
            <w:pPr>
              <w:spacing w:after="0"/>
              <w:rPr>
                <w:sz w:val="16"/>
                <w:szCs w:val="16"/>
                <w:color w:val="auto"/>
              </w:rPr>
            </w:pPr>
          </w:p>
        </w:tc>
        <w:tc>
          <w:tcPr>
            <w:tcW w:w="106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128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128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1300" w:type="dxa"/>
            <w:vAlign w:val="bottom"/>
            <w:tcBorders>
              <w:top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3540" w:type="dxa"/>
            <w:vAlign w:val="bottom"/>
            <w:shd w:val="clear" w:color="auto" w:fill="CCEEFF"/>
          </w:tcPr>
          <w:p>
            <w:pPr>
              <w:ind w:left="200"/>
              <w:spacing w:after="0"/>
              <w:rPr>
                <w:sz w:val="20"/>
                <w:szCs w:val="20"/>
                <w:color w:val="auto"/>
              </w:rPr>
            </w:pPr>
            <w:r>
              <w:rPr>
                <w:rFonts w:ascii="Arial" w:cs="Arial" w:eastAsia="Arial" w:hAnsi="Arial"/>
                <w:sz w:val="16"/>
                <w:szCs w:val="16"/>
                <w:color w:val="auto"/>
              </w:rPr>
              <w:t>activities</w:t>
            </w:r>
          </w:p>
        </w:tc>
        <w:tc>
          <w:tcPr>
            <w:tcW w:w="600" w:type="dxa"/>
            <w:vAlign w:val="bottom"/>
            <w:shd w:val="clear" w:color="auto" w:fill="CCEEFF"/>
          </w:tcPr>
          <w:p>
            <w:pPr>
              <w:spacing w:after="0"/>
              <w:rPr>
                <w:sz w:val="20"/>
                <w:szCs w:val="20"/>
                <w:color w:val="auto"/>
              </w:rPr>
            </w:pPr>
          </w:p>
        </w:tc>
        <w:tc>
          <w:tcPr>
            <w:tcW w:w="9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12</w:t>
            </w:r>
          </w:p>
        </w:tc>
        <w:tc>
          <w:tcPr>
            <w:tcW w:w="12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20"/>
                <w:szCs w:val="20"/>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380" w:type="dxa"/>
            <w:vAlign w:val="bottom"/>
            <w:gridSpan w:val="2"/>
            <w:shd w:val="clear" w:color="auto" w:fill="CCEEFF"/>
          </w:tcPr>
          <w:p>
            <w:pPr>
              <w:ind w:left="100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20"/>
                <w:szCs w:val="20"/>
                <w:color w:val="auto"/>
              </w:rPr>
            </w:pPr>
          </w:p>
        </w:tc>
        <w:tc>
          <w:tcPr>
            <w:tcW w:w="13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11</w:t>
            </w:r>
          </w:p>
        </w:tc>
        <w:tc>
          <w:tcPr>
            <w:tcW w:w="0" w:type="dxa"/>
            <w:vAlign w:val="bottom"/>
          </w:tcPr>
          <w:p>
            <w:pPr>
              <w:spacing w:after="0"/>
              <w:rPr>
                <w:sz w:val="1"/>
                <w:szCs w:val="1"/>
                <w:color w:val="auto"/>
              </w:rPr>
            </w:pPr>
          </w:p>
        </w:tc>
      </w:tr>
      <w:tr>
        <w:trPr>
          <w:trHeight w:val="178"/>
        </w:trPr>
        <w:tc>
          <w:tcPr>
            <w:tcW w:w="3540" w:type="dxa"/>
            <w:vAlign w:val="bottom"/>
          </w:tcPr>
          <w:p>
            <w:pPr>
              <w:ind w:left="40"/>
              <w:spacing w:after="0" w:line="178" w:lineRule="exact"/>
              <w:rPr>
                <w:sz w:val="20"/>
                <w:szCs w:val="20"/>
                <w:color w:val="auto"/>
              </w:rPr>
            </w:pPr>
            <w:r>
              <w:rPr>
                <w:rFonts w:ascii="Arial" w:cs="Arial" w:eastAsia="Arial" w:hAnsi="Arial"/>
                <w:sz w:val="16"/>
                <w:szCs w:val="16"/>
                <w:color w:val="auto"/>
              </w:rPr>
              <w:t>Net (decrease) increase in cash and cash</w:t>
            </w:r>
          </w:p>
        </w:tc>
        <w:tc>
          <w:tcPr>
            <w:tcW w:w="600" w:type="dxa"/>
            <w:vAlign w:val="bottom"/>
            <w:tcBorders>
              <w:top w:val="single" w:sz="8" w:color="auto"/>
            </w:tcBorders>
          </w:tcPr>
          <w:p>
            <w:pPr>
              <w:spacing w:after="0"/>
              <w:rPr>
                <w:sz w:val="15"/>
                <w:szCs w:val="15"/>
                <w:color w:val="auto"/>
              </w:rPr>
            </w:pPr>
          </w:p>
        </w:tc>
        <w:tc>
          <w:tcPr>
            <w:tcW w:w="92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440" w:type="dxa"/>
            <w:vAlign w:val="bottom"/>
            <w:tcBorders>
              <w:top w:val="single" w:sz="8" w:color="auto"/>
            </w:tcBorders>
          </w:tcPr>
          <w:p>
            <w:pPr>
              <w:spacing w:after="0"/>
              <w:rPr>
                <w:sz w:val="15"/>
                <w:szCs w:val="15"/>
                <w:color w:val="auto"/>
              </w:rPr>
            </w:pPr>
          </w:p>
        </w:tc>
        <w:tc>
          <w:tcPr>
            <w:tcW w:w="106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128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128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130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26"/>
        </w:trPr>
        <w:tc>
          <w:tcPr>
            <w:tcW w:w="3540" w:type="dxa"/>
            <w:vAlign w:val="bottom"/>
          </w:tcPr>
          <w:p>
            <w:pPr>
              <w:ind w:left="200"/>
              <w:spacing w:after="0"/>
              <w:rPr>
                <w:sz w:val="20"/>
                <w:szCs w:val="20"/>
                <w:color w:val="auto"/>
              </w:rPr>
            </w:pPr>
            <w:r>
              <w:rPr>
                <w:rFonts w:ascii="Arial" w:cs="Arial" w:eastAsia="Arial" w:hAnsi="Arial"/>
                <w:sz w:val="16"/>
                <w:szCs w:val="16"/>
                <w:color w:val="auto"/>
              </w:rPr>
              <w:t>equivalents</w:t>
            </w:r>
          </w:p>
        </w:tc>
        <w:tc>
          <w:tcPr>
            <w:tcW w:w="6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(235)</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(2)</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jc w:val="right"/>
              <w:ind w:right="19"/>
              <w:spacing w:after="0"/>
              <w:rPr>
                <w:sz w:val="20"/>
                <w:szCs w:val="20"/>
                <w:color w:val="auto"/>
              </w:rPr>
            </w:pPr>
            <w:r>
              <w:rPr>
                <w:rFonts w:ascii="Arial" w:cs="Arial" w:eastAsia="Arial" w:hAnsi="Arial"/>
                <w:sz w:val="16"/>
                <w:szCs w:val="16"/>
                <w:color w:val="auto"/>
              </w:rPr>
              <w:t>750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80" w:type="dxa"/>
            <w:vAlign w:val="bottom"/>
            <w:gridSpan w:val="2"/>
          </w:tcPr>
          <w:p>
            <w:pPr>
              <w:ind w:left="10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9"/>
                <w:szCs w:val="19"/>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513</w:t>
            </w:r>
          </w:p>
        </w:tc>
        <w:tc>
          <w:tcPr>
            <w:tcW w:w="0" w:type="dxa"/>
            <w:vAlign w:val="bottom"/>
          </w:tcPr>
          <w:p>
            <w:pPr>
              <w:spacing w:after="0"/>
              <w:rPr>
                <w:sz w:val="1"/>
                <w:szCs w:val="1"/>
                <w:color w:val="auto"/>
              </w:rPr>
            </w:pPr>
          </w:p>
        </w:tc>
      </w:tr>
      <w:tr>
        <w:trPr>
          <w:trHeight w:val="206"/>
        </w:trPr>
        <w:tc>
          <w:tcPr>
            <w:tcW w:w="3540" w:type="dxa"/>
            <w:vAlign w:val="bottom"/>
            <w:shd w:val="clear" w:color="auto" w:fill="CCEEFF"/>
          </w:tcPr>
          <w:p>
            <w:pPr>
              <w:ind w:left="40"/>
              <w:spacing w:after="0"/>
              <w:rPr>
                <w:sz w:val="20"/>
                <w:szCs w:val="20"/>
                <w:color w:val="auto"/>
              </w:rPr>
            </w:pPr>
            <w:r>
              <w:rPr>
                <w:rFonts w:ascii="Arial" w:cs="Arial" w:eastAsia="Arial" w:hAnsi="Arial"/>
                <w:sz w:val="16"/>
                <w:szCs w:val="16"/>
                <w:color w:val="auto"/>
              </w:rPr>
              <w:t>Cash and cash equivalents at beginning of</w:t>
            </w:r>
          </w:p>
        </w:tc>
        <w:tc>
          <w:tcPr>
            <w:tcW w:w="6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3540" w:type="dxa"/>
            <w:vAlign w:val="bottom"/>
            <w:shd w:val="clear" w:color="auto" w:fill="CCEEFF"/>
          </w:tcPr>
          <w:p>
            <w:pPr>
              <w:ind w:left="200"/>
              <w:spacing w:after="0"/>
              <w:rPr>
                <w:sz w:val="20"/>
                <w:szCs w:val="20"/>
                <w:color w:val="auto"/>
              </w:rPr>
            </w:pPr>
            <w:r>
              <w:rPr>
                <w:rFonts w:ascii="Arial" w:cs="Arial" w:eastAsia="Arial" w:hAnsi="Arial"/>
                <w:sz w:val="16"/>
                <w:szCs w:val="16"/>
                <w:color w:val="auto"/>
              </w:rPr>
              <w:t>period</w:t>
            </w:r>
          </w:p>
        </w:tc>
        <w:tc>
          <w:tcPr>
            <w:tcW w:w="6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360</w:t>
            </w:r>
          </w:p>
        </w:tc>
        <w:tc>
          <w:tcPr>
            <w:tcW w:w="12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13</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1,956</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ind w:left="100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2,329</w:t>
            </w:r>
          </w:p>
        </w:tc>
        <w:tc>
          <w:tcPr>
            <w:tcW w:w="0" w:type="dxa"/>
            <w:vAlign w:val="bottom"/>
          </w:tcPr>
          <w:p>
            <w:pPr>
              <w:spacing w:after="0"/>
              <w:rPr>
                <w:sz w:val="1"/>
                <w:szCs w:val="1"/>
                <w:color w:val="auto"/>
              </w:rPr>
            </w:pPr>
          </w:p>
        </w:tc>
      </w:tr>
      <w:tr>
        <w:trPr>
          <w:trHeight w:val="242"/>
        </w:trPr>
        <w:tc>
          <w:tcPr>
            <w:tcW w:w="3540" w:type="dxa"/>
            <w:vAlign w:val="bottom"/>
          </w:tcPr>
          <w:p>
            <w:pPr>
              <w:ind w:left="40"/>
              <w:spacing w:after="0"/>
              <w:rPr>
                <w:sz w:val="20"/>
                <w:szCs w:val="20"/>
                <w:color w:val="auto"/>
              </w:rPr>
            </w:pPr>
            <w:r>
              <w:rPr>
                <w:rFonts w:ascii="Arial" w:cs="Arial" w:eastAsia="Arial" w:hAnsi="Arial"/>
                <w:sz w:val="16"/>
                <w:szCs w:val="16"/>
                <w:color w:val="auto"/>
              </w:rPr>
              <w:t>Cash and cash equivalents at end of period</w:t>
            </w:r>
          </w:p>
        </w:tc>
        <w:tc>
          <w:tcPr>
            <w:tcW w:w="600" w:type="dxa"/>
            <w:vAlign w:val="bottom"/>
          </w:tcPr>
          <w:p>
            <w:pPr>
              <w:jc w:val="right"/>
              <w:ind w:right="399"/>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39"/>
              <w:spacing w:after="0"/>
              <w:rPr>
                <w:sz w:val="20"/>
                <w:szCs w:val="20"/>
                <w:color w:val="auto"/>
              </w:rPr>
            </w:pPr>
            <w:r>
              <w:rPr>
                <w:rFonts w:ascii="Arial" w:cs="Arial" w:eastAsia="Arial" w:hAnsi="Arial"/>
                <w:sz w:val="16"/>
                <w:szCs w:val="16"/>
                <w:color w:val="auto"/>
              </w:rPr>
              <w:t>125</w:t>
            </w:r>
          </w:p>
        </w:tc>
        <w:tc>
          <w:tcPr>
            <w:tcW w:w="120" w:type="dxa"/>
            <w:vAlign w:val="bottom"/>
          </w:tcPr>
          <w:p>
            <w:pPr>
              <w:spacing w:after="0"/>
              <w:rPr>
                <w:sz w:val="21"/>
                <w:szCs w:val="21"/>
                <w:color w:val="auto"/>
              </w:rPr>
            </w:pPr>
          </w:p>
        </w:tc>
        <w:tc>
          <w:tcPr>
            <w:tcW w:w="440" w:type="dxa"/>
            <w:vAlign w:val="bottom"/>
          </w:tcPr>
          <w:p>
            <w:pPr>
              <w:jc w:val="right"/>
              <w:ind w:right="239"/>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11</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280" w:type="dxa"/>
            <w:vAlign w:val="bottom"/>
          </w:tcPr>
          <w:p>
            <w:pPr>
              <w:jc w:val="right"/>
              <w:ind w:right="19"/>
              <w:spacing w:after="0"/>
              <w:rPr>
                <w:sz w:val="20"/>
                <w:szCs w:val="20"/>
                <w:color w:val="auto"/>
              </w:rPr>
            </w:pPr>
            <w:r>
              <w:rPr>
                <w:rFonts w:ascii="Arial" w:cs="Arial" w:eastAsia="Arial" w:hAnsi="Arial"/>
                <w:sz w:val="16"/>
                <w:szCs w:val="16"/>
                <w:color w:val="auto"/>
              </w:rPr>
              <w:t>2,706</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380" w:type="dxa"/>
            <w:vAlign w:val="bottom"/>
            <w:gridSpan w:val="2"/>
          </w:tcPr>
          <w:p>
            <w:pPr>
              <w:ind w:left="1000"/>
              <w:spacing w:after="0"/>
              <w:rPr>
                <w:sz w:val="20"/>
                <w:szCs w:val="20"/>
                <w:color w:val="auto"/>
              </w:rPr>
            </w:pPr>
            <w:r>
              <w:rPr>
                <w:rFonts w:ascii="Arial" w:cs="Arial" w:eastAsia="Arial" w:hAnsi="Arial"/>
                <w:sz w:val="16"/>
                <w:szCs w:val="16"/>
                <w:color w:val="auto"/>
              </w:rPr>
              <w:t>—</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2,842</w:t>
            </w:r>
          </w:p>
        </w:tc>
        <w:tc>
          <w:tcPr>
            <w:tcW w:w="0" w:type="dxa"/>
            <w:vAlign w:val="bottom"/>
          </w:tcPr>
          <w:p>
            <w:pPr>
              <w:spacing w:after="0"/>
              <w:rPr>
                <w:sz w:val="1"/>
                <w:szCs w:val="1"/>
                <w:color w:val="auto"/>
              </w:rPr>
            </w:pPr>
          </w:p>
        </w:tc>
      </w:tr>
      <w:tr>
        <w:trPr>
          <w:trHeight w:val="20"/>
        </w:trPr>
        <w:tc>
          <w:tcPr>
            <w:tcW w:w="354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Molina Healthcare, Inc. 2017 Form 10-Q | 38</w:t>
      </w:r>
    </w:p>
    <w:p>
      <w:pPr>
        <w:sectPr>
          <w:pgSz w:w="11900" w:h="16838" w:orient="portrait"/>
          <w:cols w:equalWidth="0" w:num="1">
            <w:col w:w="11420"/>
          </w:cols>
          <w:pgMar w:left="240" w:top="116" w:right="239" w:bottom="1440" w:gutter="0" w:footer="0" w:header="0"/>
        </w:sectPr>
      </w:pPr>
    </w:p>
    <w:bookmarkStart w:id="38" w:name="page39"/>
    <w:bookmarkEnd w:id="3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46" w:lineRule="exact"/>
        <w:rPr>
          <w:sz w:val="20"/>
          <w:szCs w:val="20"/>
          <w:color w:val="auto"/>
        </w:rPr>
      </w:pPr>
    </w:p>
    <w:p>
      <w:pPr>
        <w:ind w:right="700"/>
        <w:spacing w:after="0" w:line="320" w:lineRule="auto"/>
        <w:rPr>
          <w:sz w:val="20"/>
          <w:szCs w:val="20"/>
          <w:color w:val="auto"/>
        </w:rPr>
      </w:pPr>
      <w:r>
        <w:rPr>
          <w:rFonts w:ascii="Arial" w:cs="Arial" w:eastAsia="Arial" w:hAnsi="Arial"/>
          <w:sz w:val="35"/>
          <w:szCs w:val="35"/>
          <w:b w:val="1"/>
          <w:bCs w:val="1"/>
          <w:color w:val="0F7C7F"/>
        </w:rPr>
        <w:t>MANAGEMENT’S DISCUSSION AND ANALYSIS OF FINANCIAL CONDITION AND RESULTS OF OPERATIONS (MD&amp;A)</w:t>
      </w:r>
    </w:p>
    <w:p>
      <w:pPr>
        <w:spacing w:after="0" w:line="3" w:lineRule="exact"/>
        <w:rPr>
          <w:sz w:val="20"/>
          <w:szCs w:val="20"/>
          <w:color w:val="auto"/>
        </w:rPr>
      </w:pPr>
    </w:p>
    <w:p>
      <w:pPr>
        <w:spacing w:after="0"/>
        <w:rPr>
          <w:sz w:val="20"/>
          <w:szCs w:val="20"/>
          <w:color w:val="auto"/>
        </w:rPr>
      </w:pPr>
      <w:r>
        <w:rPr>
          <w:rFonts w:ascii="Arial" w:cs="Arial" w:eastAsia="Arial" w:hAnsi="Arial"/>
          <w:sz w:val="32"/>
          <w:szCs w:val="32"/>
          <w:b w:val="1"/>
          <w:bCs w:val="1"/>
          <w:color w:val="ACACAC"/>
        </w:rPr>
        <w:t>FORWARD-LOOKING STATEMENTS</w:t>
      </w:r>
    </w:p>
    <w:p>
      <w:pPr>
        <w:spacing w:after="0" w:line="300"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This quarterly report on Form 10-Q contains forward-looking statements regarding our business, financial condition, and results of operations within the meaning of Section 27A of the Securities Act of 1933, or Securities Act, and Section 21E of the Securities Exchange Act of 1934, or Securities Exchange Act. We intend such forward-looking statements to be covered by the safe harbor provisions for forward-looking statements contained in the Private Securities Litigation Reform Act of 1995, and we are including this statement for purposes of complying with these safe harbor provisions. All statements, other than statements of historical facts, included in this quarterly report may be deemed to be forward-looking statements for purposes of the Securities Act and the Securities Exchange Act. Without limiting the foregoing, we use the words “anticipate(s),” “believe(s),” “estimate(s),” “expect(s),” “intend(s),” “may,” “plan(s),” “project(s),” “will,” “would,” “could,” “should” and similar expressions to identify forward-looking statements, although not all forward-looking statements contain these identifying words. We cannot guarantee that we will actually achieve the plans, intentions, or expectations disclosed in our forward-looking statements and, accordingly, you should not place undue reliance on our forward-looking statements. We caution you that we do not undertake any obligation to update forward-looking statements made by us. Forward-looking statements involve known and unknown risks and uncertainties that may cause our actual results in future periods to differ materially from those projected, estimated, expected, or contemplated. Those known risks and uncertainties include, but are not limited to, the following:</w:t>
      </w:r>
    </w:p>
    <w:p>
      <w:pPr>
        <w:spacing w:after="0" w:line="71" w:lineRule="exact"/>
        <w:rPr>
          <w:sz w:val="20"/>
          <w:szCs w:val="20"/>
          <w:color w:val="auto"/>
        </w:rPr>
      </w:pPr>
    </w:p>
    <w:p>
      <w:pPr>
        <w:ind w:left="340" w:hanging="332"/>
        <w:spacing w:after="0"/>
        <w:tabs>
          <w:tab w:leader="none" w:pos="340" w:val="left"/>
        </w:tabs>
        <w:numPr>
          <w:ilvl w:val="0"/>
          <w:numId w:val="10"/>
        </w:numPr>
        <w:rPr>
          <w:rFonts w:ascii="Arial" w:cs="Arial" w:eastAsia="Arial" w:hAnsi="Arial"/>
          <w:sz w:val="18"/>
          <w:szCs w:val="18"/>
          <w:i w:val="1"/>
          <w:iCs w:val="1"/>
          <w:color w:val="auto"/>
        </w:rPr>
      </w:pPr>
      <w:r>
        <w:rPr>
          <w:rFonts w:ascii="Arial" w:cs="Arial" w:eastAsia="Arial" w:hAnsi="Arial"/>
          <w:sz w:val="18"/>
          <w:szCs w:val="18"/>
          <w:i w:val="1"/>
          <w:iCs w:val="1"/>
          <w:color w:val="auto"/>
        </w:rPr>
        <w:t>the success of our previously announced restructuring plan, including the timing and amounts of the benefits realized;</w:t>
      </w:r>
    </w:p>
    <w:p>
      <w:pPr>
        <w:spacing w:after="0" w:line="29" w:lineRule="exact"/>
        <w:rPr>
          <w:rFonts w:ascii="Arial" w:cs="Arial" w:eastAsia="Arial" w:hAnsi="Arial"/>
          <w:sz w:val="18"/>
          <w:szCs w:val="18"/>
          <w:i w:val="1"/>
          <w:iCs w:val="1"/>
          <w:color w:val="auto"/>
        </w:rPr>
      </w:pPr>
    </w:p>
    <w:p>
      <w:pPr>
        <w:ind w:left="340" w:right="140" w:hanging="332"/>
        <w:spacing w:after="0" w:line="250" w:lineRule="auto"/>
        <w:tabs>
          <w:tab w:leader="none" w:pos="340" w:val="left"/>
        </w:tabs>
        <w:numPr>
          <w:ilvl w:val="0"/>
          <w:numId w:val="10"/>
        </w:numPr>
        <w:rPr>
          <w:rFonts w:ascii="Arial" w:cs="Arial" w:eastAsia="Arial" w:hAnsi="Arial"/>
          <w:sz w:val="16"/>
          <w:szCs w:val="16"/>
          <w:i w:val="1"/>
          <w:iCs w:val="1"/>
          <w:color w:val="auto"/>
        </w:rPr>
      </w:pPr>
      <w:r>
        <w:rPr>
          <w:rFonts w:ascii="Arial" w:cs="Arial" w:eastAsia="Arial" w:hAnsi="Arial"/>
          <w:sz w:val="18"/>
          <w:szCs w:val="18"/>
          <w:i w:val="1"/>
          <w:iCs w:val="1"/>
          <w:color w:val="auto"/>
        </w:rPr>
        <w:t>the numerous political and market-based uncertainties associated with the Affordable Care Act (the “ACA”) or “Obamacare,” including any potential repeal and replacement of the law, amendment of the law, or move to state block grants for Medicaid;</w:t>
      </w:r>
    </w:p>
    <w:p>
      <w:pPr>
        <w:ind w:left="340" w:right="620" w:hanging="332"/>
        <w:spacing w:after="0" w:line="250" w:lineRule="auto"/>
        <w:tabs>
          <w:tab w:leader="none" w:pos="340" w:val="left"/>
        </w:tabs>
        <w:numPr>
          <w:ilvl w:val="0"/>
          <w:numId w:val="10"/>
        </w:numPr>
        <w:rPr>
          <w:rFonts w:ascii="Arial" w:cs="Arial" w:eastAsia="Arial" w:hAnsi="Arial"/>
          <w:sz w:val="18"/>
          <w:szCs w:val="18"/>
          <w:i w:val="1"/>
          <w:iCs w:val="1"/>
          <w:color w:val="auto"/>
        </w:rPr>
      </w:pPr>
      <w:r>
        <w:rPr>
          <w:rFonts w:ascii="Arial" w:cs="Arial" w:eastAsia="Arial" w:hAnsi="Arial"/>
          <w:sz w:val="18"/>
          <w:szCs w:val="18"/>
          <w:i w:val="1"/>
          <w:iCs w:val="1"/>
          <w:color w:val="auto"/>
        </w:rPr>
        <w:t>the market dynamics surrounding the ACA Marketplaces, including but not limited to uncertainties associated with risk transfer requirements, the potential for disproportionate enrollment of higher acuity members, the discontinuation of premium tax credits, the adequacy of agreed rates, and potential disruption associated with market withdrawal from Utah, Wisconsin, or other states;</w:t>
      </w:r>
    </w:p>
    <w:p>
      <w:pPr>
        <w:spacing w:after="0" w:line="1" w:lineRule="exact"/>
        <w:rPr>
          <w:rFonts w:ascii="Arial" w:cs="Arial" w:eastAsia="Arial" w:hAnsi="Arial"/>
          <w:sz w:val="18"/>
          <w:szCs w:val="18"/>
          <w:i w:val="1"/>
          <w:iCs w:val="1"/>
          <w:color w:val="auto"/>
        </w:rPr>
      </w:pPr>
    </w:p>
    <w:p>
      <w:pPr>
        <w:ind w:left="340" w:right="360" w:hanging="332"/>
        <w:spacing w:after="0" w:line="250" w:lineRule="auto"/>
        <w:tabs>
          <w:tab w:leader="none" w:pos="340" w:val="left"/>
        </w:tabs>
        <w:numPr>
          <w:ilvl w:val="0"/>
          <w:numId w:val="10"/>
        </w:numPr>
        <w:rPr>
          <w:rFonts w:ascii="Arial" w:cs="Arial" w:eastAsia="Arial" w:hAnsi="Arial"/>
          <w:sz w:val="18"/>
          <w:szCs w:val="18"/>
          <w:i w:val="1"/>
          <w:iCs w:val="1"/>
          <w:color w:val="auto"/>
        </w:rPr>
      </w:pPr>
      <w:r>
        <w:rPr>
          <w:rFonts w:ascii="Arial" w:cs="Arial" w:eastAsia="Arial" w:hAnsi="Arial"/>
          <w:sz w:val="18"/>
          <w:szCs w:val="18"/>
          <w:i w:val="1"/>
          <w:iCs w:val="1"/>
          <w:color w:val="auto"/>
        </w:rPr>
        <w:t>subsequent adjustments to reported premium revenue based upon subsequent developments or new information, including changes to estimated amounts payable or receivable related to Marketplace risk adjustment/risk transfer, risk corridors, and reinsurance;</w:t>
      </w:r>
    </w:p>
    <w:p>
      <w:pPr>
        <w:ind w:left="340" w:hanging="332"/>
        <w:spacing w:after="0"/>
        <w:tabs>
          <w:tab w:leader="none" w:pos="340" w:val="left"/>
        </w:tabs>
        <w:numPr>
          <w:ilvl w:val="0"/>
          <w:numId w:val="10"/>
        </w:numPr>
        <w:rPr>
          <w:rFonts w:ascii="Arial" w:cs="Arial" w:eastAsia="Arial" w:hAnsi="Arial"/>
          <w:sz w:val="18"/>
          <w:szCs w:val="18"/>
          <w:i w:val="1"/>
          <w:iCs w:val="1"/>
          <w:color w:val="auto"/>
        </w:rPr>
      </w:pPr>
      <w:r>
        <w:rPr>
          <w:rFonts w:ascii="Arial" w:cs="Arial" w:eastAsia="Arial" w:hAnsi="Arial"/>
          <w:sz w:val="18"/>
          <w:szCs w:val="18"/>
          <w:i w:val="1"/>
          <w:iCs w:val="1"/>
          <w:color w:val="auto"/>
        </w:rPr>
        <w:t>effective management of our medical costs;</w:t>
      </w:r>
    </w:p>
    <w:p>
      <w:pPr>
        <w:spacing w:after="0" w:line="9" w:lineRule="exact"/>
        <w:rPr>
          <w:rFonts w:ascii="Arial" w:cs="Arial" w:eastAsia="Arial" w:hAnsi="Arial"/>
          <w:sz w:val="18"/>
          <w:szCs w:val="18"/>
          <w:i w:val="1"/>
          <w:iCs w:val="1"/>
          <w:color w:val="auto"/>
        </w:rPr>
      </w:pPr>
    </w:p>
    <w:p>
      <w:pPr>
        <w:ind w:left="340" w:right="180" w:hanging="332"/>
        <w:spacing w:after="0" w:line="250" w:lineRule="auto"/>
        <w:tabs>
          <w:tab w:leader="none" w:pos="340" w:val="left"/>
        </w:tabs>
        <w:numPr>
          <w:ilvl w:val="0"/>
          <w:numId w:val="10"/>
        </w:numPr>
        <w:rPr>
          <w:rFonts w:ascii="Arial" w:cs="Arial" w:eastAsia="Arial" w:hAnsi="Arial"/>
          <w:sz w:val="18"/>
          <w:szCs w:val="18"/>
          <w:i w:val="1"/>
          <w:iCs w:val="1"/>
          <w:color w:val="auto"/>
        </w:rPr>
      </w:pPr>
      <w:r>
        <w:rPr>
          <w:rFonts w:ascii="Arial" w:cs="Arial" w:eastAsia="Arial" w:hAnsi="Arial"/>
          <w:sz w:val="18"/>
          <w:szCs w:val="18"/>
          <w:i w:val="1"/>
          <w:iCs w:val="1"/>
          <w:color w:val="auto"/>
        </w:rPr>
        <w:t>our ability to predict with a reasonable degree of accuracy utilization rates, including utilization rates associated with seasonal flu patterns or other newly emergent diseases;</w:t>
      </w:r>
    </w:p>
    <w:p>
      <w:pPr>
        <w:ind w:left="340" w:right="20" w:hanging="332"/>
        <w:spacing w:after="0" w:line="250" w:lineRule="auto"/>
        <w:tabs>
          <w:tab w:leader="none" w:pos="340" w:val="left"/>
        </w:tabs>
        <w:numPr>
          <w:ilvl w:val="0"/>
          <w:numId w:val="10"/>
        </w:numPr>
        <w:rPr>
          <w:rFonts w:ascii="Arial" w:cs="Arial" w:eastAsia="Arial" w:hAnsi="Arial"/>
          <w:sz w:val="18"/>
          <w:szCs w:val="18"/>
          <w:i w:val="1"/>
          <w:iCs w:val="1"/>
          <w:color w:val="auto"/>
        </w:rPr>
      </w:pPr>
      <w:r>
        <w:rPr>
          <w:rFonts w:ascii="Arial" w:cs="Arial" w:eastAsia="Arial" w:hAnsi="Arial"/>
          <w:sz w:val="18"/>
          <w:szCs w:val="18"/>
          <w:i w:val="1"/>
          <w:iCs w:val="1"/>
          <w:color w:val="auto"/>
        </w:rPr>
        <w:t>significant budget pressures on state governments and their potential inability to maintain current rates, to implement expected rate increases, or to maintain existing benefit packages or membership eligibility thresholds or criteria, including the payment of all amounts due to our Illinois health plan following the resolution of the Illinois budget impasse;</w:t>
      </w:r>
    </w:p>
    <w:p>
      <w:pPr>
        <w:spacing w:after="0" w:line="1" w:lineRule="exact"/>
        <w:rPr>
          <w:rFonts w:ascii="Arial" w:cs="Arial" w:eastAsia="Arial" w:hAnsi="Arial"/>
          <w:sz w:val="18"/>
          <w:szCs w:val="18"/>
          <w:i w:val="1"/>
          <w:iCs w:val="1"/>
          <w:color w:val="auto"/>
        </w:rPr>
      </w:pPr>
    </w:p>
    <w:p>
      <w:pPr>
        <w:ind w:left="340" w:right="200" w:hanging="332"/>
        <w:spacing w:after="0" w:line="250" w:lineRule="auto"/>
        <w:tabs>
          <w:tab w:leader="none" w:pos="340" w:val="left"/>
        </w:tabs>
        <w:numPr>
          <w:ilvl w:val="0"/>
          <w:numId w:val="10"/>
        </w:numPr>
        <w:rPr>
          <w:rFonts w:ascii="Arial" w:cs="Arial" w:eastAsia="Arial" w:hAnsi="Arial"/>
          <w:sz w:val="18"/>
          <w:szCs w:val="18"/>
          <w:i w:val="1"/>
          <w:iCs w:val="1"/>
          <w:color w:val="auto"/>
        </w:rPr>
      </w:pPr>
      <w:r>
        <w:rPr>
          <w:rFonts w:ascii="Arial" w:cs="Arial" w:eastAsia="Arial" w:hAnsi="Arial"/>
          <w:sz w:val="18"/>
          <w:szCs w:val="18"/>
          <w:i w:val="1"/>
          <w:iCs w:val="1"/>
          <w:color w:val="auto"/>
        </w:rPr>
        <w:t>the success of our efforts to retain existing managed care contracts, including those in Florida, New Mexico, Puerto Rico, and Texas, and to obtain new government contracts in connection with state requests for proposals (RFPs) in both existing and new states;</w:t>
      </w:r>
    </w:p>
    <w:p>
      <w:pPr>
        <w:ind w:left="340" w:hanging="332"/>
        <w:spacing w:after="0"/>
        <w:tabs>
          <w:tab w:leader="none" w:pos="340" w:val="left"/>
        </w:tabs>
        <w:numPr>
          <w:ilvl w:val="0"/>
          <w:numId w:val="10"/>
        </w:numPr>
        <w:rPr>
          <w:rFonts w:ascii="Arial" w:cs="Arial" w:eastAsia="Arial" w:hAnsi="Arial"/>
          <w:sz w:val="18"/>
          <w:szCs w:val="18"/>
          <w:i w:val="1"/>
          <w:iCs w:val="1"/>
          <w:color w:val="auto"/>
        </w:rPr>
      </w:pPr>
      <w:r>
        <w:rPr>
          <w:rFonts w:ascii="Arial" w:cs="Arial" w:eastAsia="Arial" w:hAnsi="Arial"/>
          <w:sz w:val="18"/>
          <w:szCs w:val="18"/>
          <w:i w:val="1"/>
          <w:iCs w:val="1"/>
          <w:color w:val="auto"/>
        </w:rPr>
        <w:t>any adverse impact resulting from the significant changes to our executive leadership team and the rightsizing of our workforce;</w:t>
      </w:r>
    </w:p>
    <w:p>
      <w:pPr>
        <w:spacing w:after="0" w:line="9" w:lineRule="exact"/>
        <w:rPr>
          <w:rFonts w:ascii="Arial" w:cs="Arial" w:eastAsia="Arial" w:hAnsi="Arial"/>
          <w:sz w:val="18"/>
          <w:szCs w:val="18"/>
          <w:i w:val="1"/>
          <w:iCs w:val="1"/>
          <w:color w:val="auto"/>
        </w:rPr>
      </w:pPr>
    </w:p>
    <w:p>
      <w:pPr>
        <w:ind w:left="340" w:hanging="332"/>
        <w:spacing w:after="0"/>
        <w:tabs>
          <w:tab w:leader="none" w:pos="340" w:val="left"/>
        </w:tabs>
        <w:numPr>
          <w:ilvl w:val="0"/>
          <w:numId w:val="10"/>
        </w:numPr>
        <w:rPr>
          <w:rFonts w:ascii="Arial" w:cs="Arial" w:eastAsia="Arial" w:hAnsi="Arial"/>
          <w:sz w:val="18"/>
          <w:szCs w:val="18"/>
          <w:i w:val="1"/>
          <w:iCs w:val="1"/>
          <w:color w:val="auto"/>
        </w:rPr>
      </w:pPr>
      <w:r>
        <w:rPr>
          <w:rFonts w:ascii="Arial" w:cs="Arial" w:eastAsia="Arial" w:hAnsi="Arial"/>
          <w:sz w:val="18"/>
          <w:szCs w:val="18"/>
          <w:i w:val="1"/>
          <w:iCs w:val="1"/>
          <w:color w:val="auto"/>
        </w:rPr>
        <w:t>the impact of our decision to exit the Utah and Wisconsin ACA Marketplace markets effective December 31, 2017;</w:t>
      </w:r>
    </w:p>
    <w:p>
      <w:pPr>
        <w:spacing w:after="0" w:line="9" w:lineRule="exact"/>
        <w:rPr>
          <w:rFonts w:ascii="Arial" w:cs="Arial" w:eastAsia="Arial" w:hAnsi="Arial"/>
          <w:sz w:val="18"/>
          <w:szCs w:val="18"/>
          <w:i w:val="1"/>
          <w:iCs w:val="1"/>
          <w:color w:val="auto"/>
        </w:rPr>
      </w:pPr>
    </w:p>
    <w:p>
      <w:pPr>
        <w:ind w:left="340" w:right="160" w:hanging="332"/>
        <w:spacing w:after="0" w:line="250" w:lineRule="auto"/>
        <w:tabs>
          <w:tab w:leader="none" w:pos="340" w:val="left"/>
        </w:tabs>
        <w:numPr>
          <w:ilvl w:val="0"/>
          <w:numId w:val="10"/>
        </w:numPr>
        <w:rPr>
          <w:rFonts w:ascii="Arial" w:cs="Arial" w:eastAsia="Arial" w:hAnsi="Arial"/>
          <w:sz w:val="18"/>
          <w:szCs w:val="18"/>
          <w:i w:val="1"/>
          <w:iCs w:val="1"/>
          <w:color w:val="auto"/>
        </w:rPr>
      </w:pPr>
      <w:r>
        <w:rPr>
          <w:rFonts w:ascii="Arial" w:cs="Arial" w:eastAsia="Arial" w:hAnsi="Arial"/>
          <w:sz w:val="18"/>
          <w:szCs w:val="18"/>
          <w:i w:val="1"/>
          <w:iCs w:val="1"/>
          <w:color w:val="auto"/>
        </w:rPr>
        <w:t>our ability to manage our operations, including maintaining and creating adequate internal systems and controls relating to authorizations, approvals, provider payments, and the overall success of our care management initiatives;</w:t>
      </w:r>
    </w:p>
    <w:p>
      <w:pPr>
        <w:ind w:left="340" w:hanging="332"/>
        <w:spacing w:after="0"/>
        <w:tabs>
          <w:tab w:leader="none" w:pos="340" w:val="left"/>
        </w:tabs>
        <w:numPr>
          <w:ilvl w:val="0"/>
          <w:numId w:val="10"/>
        </w:numPr>
        <w:rPr>
          <w:rFonts w:ascii="Arial" w:cs="Arial" w:eastAsia="Arial" w:hAnsi="Arial"/>
          <w:sz w:val="18"/>
          <w:szCs w:val="18"/>
          <w:i w:val="1"/>
          <w:iCs w:val="1"/>
          <w:color w:val="auto"/>
        </w:rPr>
      </w:pPr>
      <w:r>
        <w:rPr>
          <w:rFonts w:ascii="Arial" w:cs="Arial" w:eastAsia="Arial" w:hAnsi="Arial"/>
          <w:sz w:val="18"/>
          <w:szCs w:val="18"/>
          <w:i w:val="1"/>
          <w:iCs w:val="1"/>
          <w:color w:val="auto"/>
        </w:rPr>
        <w:t>our ability to consummate and realize benefits from acquisitions or divestitures;</w:t>
      </w:r>
    </w:p>
    <w:p>
      <w:pPr>
        <w:spacing w:after="0" w:line="9" w:lineRule="exact"/>
        <w:rPr>
          <w:rFonts w:ascii="Arial" w:cs="Arial" w:eastAsia="Arial" w:hAnsi="Arial"/>
          <w:sz w:val="18"/>
          <w:szCs w:val="18"/>
          <w:i w:val="1"/>
          <w:iCs w:val="1"/>
          <w:color w:val="auto"/>
        </w:rPr>
      </w:pPr>
    </w:p>
    <w:p>
      <w:pPr>
        <w:ind w:left="340" w:right="380" w:hanging="332"/>
        <w:spacing w:after="0" w:line="266" w:lineRule="auto"/>
        <w:tabs>
          <w:tab w:leader="none" w:pos="340" w:val="left"/>
        </w:tabs>
        <w:numPr>
          <w:ilvl w:val="0"/>
          <w:numId w:val="10"/>
        </w:numPr>
        <w:rPr>
          <w:rFonts w:ascii="Arial" w:cs="Arial" w:eastAsia="Arial" w:hAnsi="Arial"/>
          <w:sz w:val="18"/>
          <w:szCs w:val="18"/>
          <w:i w:val="1"/>
          <w:iCs w:val="1"/>
          <w:color w:val="auto"/>
        </w:rPr>
      </w:pPr>
      <w:r>
        <w:rPr>
          <w:rFonts w:ascii="Arial" w:cs="Arial" w:eastAsia="Arial" w:hAnsi="Arial"/>
          <w:sz w:val="18"/>
          <w:szCs w:val="18"/>
          <w:i w:val="1"/>
          <w:iCs w:val="1"/>
          <w:color w:val="auto"/>
        </w:rPr>
        <w:t>our receipt of adequate premium rates to support increasing pharmacy costs, including costs associated with specialty drugs and costs resulting from formulary changes that allow the option of higher-priced non-generic drugs;</w:t>
      </w:r>
    </w:p>
    <w:p>
      <w:pPr>
        <w:spacing w:after="0" w:line="19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Molina Healthcare, Inc. 2017 Form 10-Q | 39</w:t>
      </w:r>
    </w:p>
    <w:p>
      <w:pPr>
        <w:sectPr>
          <w:pgSz w:w="11900" w:h="16838" w:orient="portrait"/>
          <w:cols w:equalWidth="0" w:num="1">
            <w:col w:w="11420"/>
          </w:cols>
          <w:pgMar w:left="240" w:top="116" w:right="239" w:bottom="1440" w:gutter="0" w:footer="0" w:header="0"/>
        </w:sectPr>
      </w:pPr>
    </w:p>
    <w:bookmarkStart w:id="39" w:name="page40"/>
    <w:bookmarkEnd w:id="3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5" w:lineRule="exact"/>
        <w:rPr>
          <w:sz w:val="20"/>
          <w:szCs w:val="20"/>
          <w:color w:val="auto"/>
        </w:rPr>
      </w:pPr>
    </w:p>
    <w:p>
      <w:pPr>
        <w:ind w:left="340" w:right="320" w:hanging="332"/>
        <w:spacing w:after="0" w:line="262" w:lineRule="auto"/>
        <w:tabs>
          <w:tab w:leader="none" w:pos="340" w:val="left"/>
        </w:tabs>
        <w:numPr>
          <w:ilvl w:val="0"/>
          <w:numId w:val="11"/>
        </w:numPr>
        <w:rPr>
          <w:rFonts w:ascii="Arial" w:cs="Arial" w:eastAsia="Arial" w:hAnsi="Arial"/>
          <w:sz w:val="18"/>
          <w:szCs w:val="18"/>
          <w:i w:val="1"/>
          <w:iCs w:val="1"/>
          <w:color w:val="auto"/>
        </w:rPr>
      </w:pPr>
      <w:r>
        <w:rPr>
          <w:rFonts w:ascii="Arial" w:cs="Arial" w:eastAsia="Arial" w:hAnsi="Arial"/>
          <w:sz w:val="18"/>
          <w:szCs w:val="18"/>
          <w:i w:val="1"/>
          <w:iCs w:val="1"/>
          <w:color w:val="auto"/>
        </w:rPr>
        <w:t>our ability to operate profitably in an environment where the trend in premium rate increases lags behind the trend in increasing medical costs;</w:t>
      </w:r>
    </w:p>
    <w:p>
      <w:pPr>
        <w:ind w:left="340" w:right="300" w:hanging="332"/>
        <w:spacing w:after="0" w:line="250" w:lineRule="auto"/>
        <w:tabs>
          <w:tab w:leader="none" w:pos="340" w:val="left"/>
        </w:tabs>
        <w:numPr>
          <w:ilvl w:val="0"/>
          <w:numId w:val="11"/>
        </w:numPr>
        <w:rPr>
          <w:rFonts w:ascii="Arial" w:cs="Arial" w:eastAsia="Arial" w:hAnsi="Arial"/>
          <w:sz w:val="16"/>
          <w:szCs w:val="16"/>
          <w:i w:val="1"/>
          <w:iCs w:val="1"/>
          <w:color w:val="auto"/>
        </w:rPr>
      </w:pPr>
      <w:r>
        <w:rPr>
          <w:rFonts w:ascii="Arial" w:cs="Arial" w:eastAsia="Arial" w:hAnsi="Arial"/>
          <w:sz w:val="18"/>
          <w:szCs w:val="18"/>
          <w:i w:val="1"/>
          <w:iCs w:val="1"/>
          <w:color w:val="auto"/>
        </w:rPr>
        <w:t>the interpretation and implementation of federal or state medical cost expenditure floors, administrative cost and profit ceilings, premium stabilization programs, profit sharing arrangements, and risk adjustment provisions;</w:t>
      </w:r>
    </w:p>
    <w:p>
      <w:pPr>
        <w:ind w:left="340" w:right="340" w:hanging="332"/>
        <w:spacing w:after="0" w:line="250" w:lineRule="auto"/>
        <w:tabs>
          <w:tab w:leader="none" w:pos="340" w:val="left"/>
        </w:tabs>
        <w:numPr>
          <w:ilvl w:val="0"/>
          <w:numId w:val="11"/>
        </w:numPr>
        <w:rPr>
          <w:rFonts w:ascii="Arial" w:cs="Arial" w:eastAsia="Arial" w:hAnsi="Arial"/>
          <w:sz w:val="18"/>
          <w:szCs w:val="18"/>
          <w:i w:val="1"/>
          <w:iCs w:val="1"/>
          <w:color w:val="auto"/>
        </w:rPr>
      </w:pPr>
      <w:r>
        <w:rPr>
          <w:rFonts w:ascii="Arial" w:cs="Arial" w:eastAsia="Arial" w:hAnsi="Arial"/>
          <w:sz w:val="18"/>
          <w:szCs w:val="18"/>
          <w:i w:val="1"/>
          <w:iCs w:val="1"/>
          <w:color w:val="auto"/>
        </w:rPr>
        <w:t>our estimates of amounts owed for such cost expenditure floors, administrative cost and profit ceilings, premium stabilization programs, profit-sharing arrangements, and risk adjustment provisions;</w:t>
      </w:r>
    </w:p>
    <w:p>
      <w:pPr>
        <w:ind w:left="340" w:right="120" w:hanging="332"/>
        <w:spacing w:after="0" w:line="250" w:lineRule="auto"/>
        <w:tabs>
          <w:tab w:leader="none" w:pos="340" w:val="left"/>
        </w:tabs>
        <w:numPr>
          <w:ilvl w:val="0"/>
          <w:numId w:val="11"/>
        </w:numPr>
        <w:rPr>
          <w:rFonts w:ascii="Arial" w:cs="Arial" w:eastAsia="Arial" w:hAnsi="Arial"/>
          <w:sz w:val="18"/>
          <w:szCs w:val="18"/>
          <w:i w:val="1"/>
          <w:iCs w:val="1"/>
          <w:color w:val="auto"/>
        </w:rPr>
      </w:pPr>
      <w:r>
        <w:rPr>
          <w:rFonts w:ascii="Arial" w:cs="Arial" w:eastAsia="Arial" w:hAnsi="Arial"/>
          <w:sz w:val="18"/>
          <w:szCs w:val="18"/>
          <w:i w:val="1"/>
          <w:iCs w:val="1"/>
          <w:color w:val="auto"/>
        </w:rPr>
        <w:t>the Medicaid expansion cost corridors in California, New Mexico, and Washington, and any other retroactive adjustment to revenue where methodologies and procedures are subject to interpretation or dependent upon information about the health status of participants other than Molina members;</w:t>
      </w:r>
    </w:p>
    <w:p>
      <w:pPr>
        <w:spacing w:after="0" w:line="1" w:lineRule="exact"/>
        <w:rPr>
          <w:rFonts w:ascii="Arial" w:cs="Arial" w:eastAsia="Arial" w:hAnsi="Arial"/>
          <w:sz w:val="18"/>
          <w:szCs w:val="18"/>
          <w:i w:val="1"/>
          <w:iCs w:val="1"/>
          <w:color w:val="auto"/>
        </w:rPr>
      </w:pPr>
    </w:p>
    <w:p>
      <w:pPr>
        <w:ind w:left="340" w:right="160" w:hanging="332"/>
        <w:spacing w:after="0" w:line="250" w:lineRule="auto"/>
        <w:tabs>
          <w:tab w:leader="none" w:pos="340" w:val="left"/>
        </w:tabs>
        <w:numPr>
          <w:ilvl w:val="0"/>
          <w:numId w:val="11"/>
        </w:numPr>
        <w:rPr>
          <w:rFonts w:ascii="Arial" w:cs="Arial" w:eastAsia="Arial" w:hAnsi="Arial"/>
          <w:sz w:val="16"/>
          <w:szCs w:val="16"/>
          <w:i w:val="1"/>
          <w:iCs w:val="1"/>
          <w:color w:val="auto"/>
        </w:rPr>
      </w:pPr>
      <w:r>
        <w:rPr>
          <w:rFonts w:ascii="Arial" w:cs="Arial" w:eastAsia="Arial" w:hAnsi="Arial"/>
          <w:sz w:val="18"/>
          <w:szCs w:val="18"/>
          <w:i w:val="1"/>
          <w:iCs w:val="1"/>
          <w:color w:val="auto"/>
        </w:rPr>
        <w:t>the interpretation and implementation of at-risk premium rules and state contract performance requirements regarding the achievement of certain quality measures, and our ability to recognize revenue amounts associated therewith;</w:t>
      </w:r>
    </w:p>
    <w:p>
      <w:pPr>
        <w:ind w:left="340" w:hanging="332"/>
        <w:spacing w:after="0"/>
        <w:tabs>
          <w:tab w:leader="none" w:pos="340" w:val="left"/>
        </w:tabs>
        <w:numPr>
          <w:ilvl w:val="0"/>
          <w:numId w:val="11"/>
        </w:numPr>
        <w:rPr>
          <w:rFonts w:ascii="Arial" w:cs="Arial" w:eastAsia="Arial" w:hAnsi="Arial"/>
          <w:sz w:val="16"/>
          <w:szCs w:val="16"/>
          <w:i w:val="1"/>
          <w:iCs w:val="1"/>
          <w:color w:val="auto"/>
        </w:rPr>
      </w:pPr>
      <w:r>
        <w:rPr>
          <w:rFonts w:ascii="Arial" w:cs="Arial" w:eastAsia="Arial" w:hAnsi="Arial"/>
          <w:sz w:val="18"/>
          <w:szCs w:val="18"/>
          <w:i w:val="1"/>
          <w:iCs w:val="1"/>
          <w:color w:val="auto"/>
        </w:rPr>
        <w:t>cyber-attacks or other privacy or data security incidents resulting in an inadvertent unauthorized disclosure of protected health information;</w:t>
      </w:r>
    </w:p>
    <w:p>
      <w:pPr>
        <w:spacing w:after="0" w:line="9" w:lineRule="exact"/>
        <w:rPr>
          <w:rFonts w:ascii="Arial" w:cs="Arial" w:eastAsia="Arial" w:hAnsi="Arial"/>
          <w:sz w:val="16"/>
          <w:szCs w:val="16"/>
          <w:i w:val="1"/>
          <w:iCs w:val="1"/>
          <w:color w:val="auto"/>
        </w:rPr>
      </w:pPr>
    </w:p>
    <w:p>
      <w:pPr>
        <w:jc w:val="both"/>
        <w:ind w:left="340" w:right="80" w:hanging="332"/>
        <w:spacing w:after="0" w:line="250" w:lineRule="auto"/>
        <w:tabs>
          <w:tab w:leader="none" w:pos="340" w:val="left"/>
        </w:tabs>
        <w:numPr>
          <w:ilvl w:val="0"/>
          <w:numId w:val="11"/>
        </w:numPr>
        <w:rPr>
          <w:rFonts w:ascii="Arial" w:cs="Arial" w:eastAsia="Arial" w:hAnsi="Arial"/>
          <w:sz w:val="16"/>
          <w:szCs w:val="16"/>
          <w:i w:val="1"/>
          <w:iCs w:val="1"/>
          <w:color w:val="auto"/>
        </w:rPr>
      </w:pPr>
      <w:r>
        <w:rPr>
          <w:rFonts w:ascii="Arial" w:cs="Arial" w:eastAsia="Arial" w:hAnsi="Arial"/>
          <w:sz w:val="18"/>
          <w:szCs w:val="18"/>
          <w:i w:val="1"/>
          <w:iCs w:val="1"/>
          <w:color w:val="auto"/>
        </w:rPr>
        <w:t>the success of our health plan in Puerto Rico, including the resolution of the Puerto Rico debt crisis, payment of all amounts due under our Medicaid contract, the effect of the PROMESA law, the impact of Hurricane Maria and our efforts to better manage the health care costs of our Puerto Rico health plan;</w:t>
      </w:r>
    </w:p>
    <w:p>
      <w:pPr>
        <w:spacing w:after="0" w:line="1" w:lineRule="exact"/>
        <w:rPr>
          <w:rFonts w:ascii="Arial" w:cs="Arial" w:eastAsia="Arial" w:hAnsi="Arial"/>
          <w:sz w:val="16"/>
          <w:szCs w:val="16"/>
          <w:i w:val="1"/>
          <w:iCs w:val="1"/>
          <w:color w:val="auto"/>
        </w:rPr>
      </w:pPr>
    </w:p>
    <w:p>
      <w:pPr>
        <w:ind w:left="340" w:hanging="332"/>
        <w:spacing w:after="0"/>
        <w:tabs>
          <w:tab w:leader="none" w:pos="340" w:val="left"/>
        </w:tabs>
        <w:numPr>
          <w:ilvl w:val="0"/>
          <w:numId w:val="11"/>
        </w:numPr>
        <w:rPr>
          <w:rFonts w:ascii="Arial" w:cs="Arial" w:eastAsia="Arial" w:hAnsi="Arial"/>
          <w:sz w:val="18"/>
          <w:szCs w:val="18"/>
          <w:i w:val="1"/>
          <w:iCs w:val="1"/>
          <w:color w:val="auto"/>
        </w:rPr>
      </w:pPr>
      <w:r>
        <w:rPr>
          <w:rFonts w:ascii="Arial" w:cs="Arial" w:eastAsia="Arial" w:hAnsi="Arial"/>
          <w:sz w:val="18"/>
          <w:szCs w:val="18"/>
          <w:i w:val="1"/>
          <w:iCs w:val="1"/>
          <w:color w:val="auto"/>
        </w:rPr>
        <w:t>the success and renewal of our duals demonstration programs in California, Illinois, Michigan, Ohio, South Carolina, and Texas;</w:t>
      </w:r>
    </w:p>
    <w:p>
      <w:pPr>
        <w:spacing w:after="0" w:line="9" w:lineRule="exact"/>
        <w:rPr>
          <w:rFonts w:ascii="Arial" w:cs="Arial" w:eastAsia="Arial" w:hAnsi="Arial"/>
          <w:sz w:val="18"/>
          <w:szCs w:val="18"/>
          <w:i w:val="1"/>
          <w:iCs w:val="1"/>
          <w:color w:val="auto"/>
        </w:rPr>
      </w:pPr>
    </w:p>
    <w:p>
      <w:pPr>
        <w:ind w:left="340" w:hanging="332"/>
        <w:spacing w:after="0"/>
        <w:tabs>
          <w:tab w:leader="none" w:pos="340" w:val="left"/>
        </w:tabs>
        <w:numPr>
          <w:ilvl w:val="0"/>
          <w:numId w:val="11"/>
        </w:numPr>
        <w:rPr>
          <w:rFonts w:ascii="Arial" w:cs="Arial" w:eastAsia="Arial" w:hAnsi="Arial"/>
          <w:sz w:val="16"/>
          <w:szCs w:val="16"/>
          <w:i w:val="1"/>
          <w:iCs w:val="1"/>
          <w:color w:val="auto"/>
        </w:rPr>
      </w:pPr>
      <w:r>
        <w:rPr>
          <w:rFonts w:ascii="Arial" w:cs="Arial" w:eastAsia="Arial" w:hAnsi="Arial"/>
          <w:sz w:val="18"/>
          <w:szCs w:val="18"/>
          <w:i w:val="1"/>
          <w:iCs w:val="1"/>
          <w:color w:val="auto"/>
        </w:rPr>
        <w:t>the accurate estimation of incurred but not reported or paid medical costs across our health plans;</w:t>
      </w:r>
    </w:p>
    <w:p>
      <w:pPr>
        <w:spacing w:after="0" w:line="9" w:lineRule="exact"/>
        <w:rPr>
          <w:rFonts w:ascii="Arial" w:cs="Arial" w:eastAsia="Arial" w:hAnsi="Arial"/>
          <w:sz w:val="16"/>
          <w:szCs w:val="16"/>
          <w:i w:val="1"/>
          <w:iCs w:val="1"/>
          <w:color w:val="auto"/>
        </w:rPr>
      </w:pPr>
    </w:p>
    <w:p>
      <w:pPr>
        <w:ind w:left="340" w:hanging="332"/>
        <w:spacing w:after="0"/>
        <w:tabs>
          <w:tab w:leader="none" w:pos="340" w:val="left"/>
        </w:tabs>
        <w:numPr>
          <w:ilvl w:val="0"/>
          <w:numId w:val="11"/>
        </w:numPr>
        <w:rPr>
          <w:rFonts w:ascii="Arial" w:cs="Arial" w:eastAsia="Arial" w:hAnsi="Arial"/>
          <w:sz w:val="16"/>
          <w:szCs w:val="16"/>
          <w:i w:val="1"/>
          <w:iCs w:val="1"/>
          <w:color w:val="auto"/>
        </w:rPr>
      </w:pPr>
      <w:r>
        <w:rPr>
          <w:rFonts w:ascii="Arial" w:cs="Arial" w:eastAsia="Arial" w:hAnsi="Arial"/>
          <w:sz w:val="18"/>
          <w:szCs w:val="18"/>
          <w:i w:val="1"/>
          <w:iCs w:val="1"/>
          <w:color w:val="auto"/>
        </w:rPr>
        <w:t>efforts by states to recoup previously paid and recognized premium amounts;</w:t>
      </w:r>
    </w:p>
    <w:p>
      <w:pPr>
        <w:spacing w:after="0" w:line="9" w:lineRule="exact"/>
        <w:rPr>
          <w:rFonts w:ascii="Arial" w:cs="Arial" w:eastAsia="Arial" w:hAnsi="Arial"/>
          <w:sz w:val="16"/>
          <w:szCs w:val="16"/>
          <w:i w:val="1"/>
          <w:iCs w:val="1"/>
          <w:color w:val="auto"/>
        </w:rPr>
      </w:pPr>
    </w:p>
    <w:p>
      <w:pPr>
        <w:ind w:left="340" w:hanging="332"/>
        <w:spacing w:after="0"/>
        <w:tabs>
          <w:tab w:leader="none" w:pos="340" w:val="left"/>
        </w:tabs>
        <w:numPr>
          <w:ilvl w:val="0"/>
          <w:numId w:val="11"/>
        </w:numPr>
        <w:rPr>
          <w:rFonts w:ascii="Arial" w:cs="Arial" w:eastAsia="Arial" w:hAnsi="Arial"/>
          <w:sz w:val="16"/>
          <w:szCs w:val="16"/>
          <w:i w:val="1"/>
          <w:iCs w:val="1"/>
          <w:color w:val="auto"/>
        </w:rPr>
      </w:pPr>
      <w:r>
        <w:rPr>
          <w:rFonts w:ascii="Arial" w:cs="Arial" w:eastAsia="Arial" w:hAnsi="Arial"/>
          <w:sz w:val="18"/>
          <w:szCs w:val="18"/>
          <w:i w:val="1"/>
          <w:iCs w:val="1"/>
          <w:color w:val="auto"/>
        </w:rPr>
        <w:t>complications, member confusion, or enrollment backlogs related to the annual renewal of Medicaid coverage;</w:t>
      </w:r>
    </w:p>
    <w:p>
      <w:pPr>
        <w:spacing w:after="0" w:line="9" w:lineRule="exact"/>
        <w:rPr>
          <w:rFonts w:ascii="Arial" w:cs="Arial" w:eastAsia="Arial" w:hAnsi="Arial"/>
          <w:sz w:val="16"/>
          <w:szCs w:val="16"/>
          <w:i w:val="1"/>
          <w:iCs w:val="1"/>
          <w:color w:val="auto"/>
        </w:rPr>
      </w:pPr>
    </w:p>
    <w:p>
      <w:pPr>
        <w:ind w:left="340" w:right="160" w:hanging="332"/>
        <w:spacing w:after="0" w:line="250" w:lineRule="auto"/>
        <w:tabs>
          <w:tab w:leader="none" w:pos="340" w:val="left"/>
        </w:tabs>
        <w:numPr>
          <w:ilvl w:val="0"/>
          <w:numId w:val="11"/>
        </w:numPr>
        <w:rPr>
          <w:rFonts w:ascii="Arial" w:cs="Arial" w:eastAsia="Arial" w:hAnsi="Arial"/>
          <w:sz w:val="16"/>
          <w:szCs w:val="16"/>
          <w:i w:val="1"/>
          <w:iCs w:val="1"/>
          <w:color w:val="auto"/>
        </w:rPr>
      </w:pPr>
      <w:r>
        <w:rPr>
          <w:rFonts w:ascii="Arial" w:cs="Arial" w:eastAsia="Arial" w:hAnsi="Arial"/>
          <w:sz w:val="18"/>
          <w:szCs w:val="18"/>
          <w:i w:val="1"/>
          <w:iCs w:val="1"/>
          <w:color w:val="auto"/>
        </w:rPr>
        <w:t>government audits and reviews, or potential investigations, and any fine, sanction, enrollment freeze, monitoring program, or premium recovery that may result therefrom, including any potential demand by the state of New Mexico to recover purportedly underpaid premium taxes;</w:t>
      </w:r>
    </w:p>
    <w:p>
      <w:pPr>
        <w:spacing w:after="0" w:line="1" w:lineRule="exact"/>
        <w:rPr>
          <w:rFonts w:ascii="Arial" w:cs="Arial" w:eastAsia="Arial" w:hAnsi="Arial"/>
          <w:sz w:val="16"/>
          <w:szCs w:val="16"/>
          <w:i w:val="1"/>
          <w:iCs w:val="1"/>
          <w:color w:val="auto"/>
        </w:rPr>
      </w:pPr>
    </w:p>
    <w:p>
      <w:pPr>
        <w:ind w:left="340" w:hanging="332"/>
        <w:spacing w:after="0"/>
        <w:tabs>
          <w:tab w:leader="none" w:pos="340" w:val="left"/>
        </w:tabs>
        <w:numPr>
          <w:ilvl w:val="0"/>
          <w:numId w:val="11"/>
        </w:numPr>
        <w:rPr>
          <w:rFonts w:ascii="Arial" w:cs="Arial" w:eastAsia="Arial" w:hAnsi="Arial"/>
          <w:sz w:val="16"/>
          <w:szCs w:val="16"/>
          <w:i w:val="1"/>
          <w:iCs w:val="1"/>
          <w:color w:val="auto"/>
        </w:rPr>
      </w:pPr>
      <w:r>
        <w:rPr>
          <w:rFonts w:ascii="Arial" w:cs="Arial" w:eastAsia="Arial" w:hAnsi="Arial"/>
          <w:sz w:val="18"/>
          <w:szCs w:val="18"/>
          <w:i w:val="1"/>
          <w:iCs w:val="1"/>
          <w:color w:val="auto"/>
        </w:rPr>
        <w:t>changes with respect to our provider contracts and the loss of providers;</w:t>
      </w:r>
    </w:p>
    <w:p>
      <w:pPr>
        <w:spacing w:after="0" w:line="9" w:lineRule="exact"/>
        <w:rPr>
          <w:rFonts w:ascii="Arial" w:cs="Arial" w:eastAsia="Arial" w:hAnsi="Arial"/>
          <w:sz w:val="16"/>
          <w:szCs w:val="16"/>
          <w:i w:val="1"/>
          <w:iCs w:val="1"/>
          <w:color w:val="auto"/>
        </w:rPr>
      </w:pPr>
    </w:p>
    <w:p>
      <w:pPr>
        <w:ind w:left="340" w:hanging="332"/>
        <w:spacing w:after="0"/>
        <w:tabs>
          <w:tab w:leader="none" w:pos="340" w:val="left"/>
        </w:tabs>
        <w:numPr>
          <w:ilvl w:val="0"/>
          <w:numId w:val="11"/>
        </w:numPr>
        <w:rPr>
          <w:rFonts w:ascii="Arial" w:cs="Arial" w:eastAsia="Arial" w:hAnsi="Arial"/>
          <w:sz w:val="16"/>
          <w:szCs w:val="16"/>
          <w:i w:val="1"/>
          <w:iCs w:val="1"/>
          <w:color w:val="auto"/>
        </w:rPr>
      </w:pPr>
      <w:r>
        <w:rPr>
          <w:rFonts w:ascii="Arial" w:cs="Arial" w:eastAsia="Arial" w:hAnsi="Arial"/>
          <w:sz w:val="18"/>
          <w:szCs w:val="18"/>
          <w:i w:val="1"/>
          <w:iCs w:val="1"/>
          <w:color w:val="auto"/>
        </w:rPr>
        <w:t>approval by state regulators of dividends and distributions by our health plan subsidiaries;</w:t>
      </w:r>
    </w:p>
    <w:p>
      <w:pPr>
        <w:spacing w:after="0" w:line="9" w:lineRule="exact"/>
        <w:rPr>
          <w:rFonts w:ascii="Arial" w:cs="Arial" w:eastAsia="Arial" w:hAnsi="Arial"/>
          <w:sz w:val="16"/>
          <w:szCs w:val="16"/>
          <w:i w:val="1"/>
          <w:iCs w:val="1"/>
          <w:color w:val="auto"/>
        </w:rPr>
      </w:pPr>
    </w:p>
    <w:p>
      <w:pPr>
        <w:ind w:left="340" w:hanging="332"/>
        <w:spacing w:after="0"/>
        <w:tabs>
          <w:tab w:leader="none" w:pos="340" w:val="left"/>
        </w:tabs>
        <w:numPr>
          <w:ilvl w:val="0"/>
          <w:numId w:val="11"/>
        </w:numPr>
        <w:rPr>
          <w:rFonts w:ascii="Arial" w:cs="Arial" w:eastAsia="Arial" w:hAnsi="Arial"/>
          <w:sz w:val="16"/>
          <w:szCs w:val="16"/>
          <w:i w:val="1"/>
          <w:iCs w:val="1"/>
          <w:color w:val="auto"/>
        </w:rPr>
      </w:pPr>
      <w:r>
        <w:rPr>
          <w:rFonts w:ascii="Arial" w:cs="Arial" w:eastAsia="Arial" w:hAnsi="Arial"/>
          <w:sz w:val="18"/>
          <w:szCs w:val="18"/>
          <w:i w:val="1"/>
          <w:iCs w:val="1"/>
          <w:color w:val="auto"/>
        </w:rPr>
        <w:t>changes in funding under our contracts as a result of regulatory changes, programmatic adjustments, or other reforms;</w:t>
      </w:r>
    </w:p>
    <w:p>
      <w:pPr>
        <w:spacing w:after="0" w:line="9" w:lineRule="exact"/>
        <w:rPr>
          <w:rFonts w:ascii="Arial" w:cs="Arial" w:eastAsia="Arial" w:hAnsi="Arial"/>
          <w:sz w:val="16"/>
          <w:szCs w:val="16"/>
          <w:i w:val="1"/>
          <w:iCs w:val="1"/>
          <w:color w:val="auto"/>
        </w:rPr>
      </w:pPr>
    </w:p>
    <w:p>
      <w:pPr>
        <w:ind w:left="340" w:hanging="332"/>
        <w:spacing w:after="0"/>
        <w:tabs>
          <w:tab w:leader="none" w:pos="340" w:val="left"/>
        </w:tabs>
        <w:numPr>
          <w:ilvl w:val="0"/>
          <w:numId w:val="11"/>
        </w:numPr>
        <w:rPr>
          <w:rFonts w:ascii="Arial" w:cs="Arial" w:eastAsia="Arial" w:hAnsi="Arial"/>
          <w:sz w:val="16"/>
          <w:szCs w:val="16"/>
          <w:i w:val="1"/>
          <w:iCs w:val="1"/>
          <w:color w:val="auto"/>
        </w:rPr>
      </w:pPr>
      <w:r>
        <w:rPr>
          <w:rFonts w:ascii="Arial" w:cs="Arial" w:eastAsia="Arial" w:hAnsi="Arial"/>
          <w:sz w:val="18"/>
          <w:szCs w:val="18"/>
          <w:i w:val="1"/>
          <w:iCs w:val="1"/>
          <w:color w:val="auto"/>
        </w:rPr>
        <w:t>high dollar claims related to catastrophic illness;</w:t>
      </w:r>
    </w:p>
    <w:p>
      <w:pPr>
        <w:spacing w:after="0" w:line="9" w:lineRule="exact"/>
        <w:rPr>
          <w:rFonts w:ascii="Arial" w:cs="Arial" w:eastAsia="Arial" w:hAnsi="Arial"/>
          <w:sz w:val="16"/>
          <w:szCs w:val="16"/>
          <w:i w:val="1"/>
          <w:iCs w:val="1"/>
          <w:color w:val="auto"/>
        </w:rPr>
      </w:pPr>
    </w:p>
    <w:p>
      <w:pPr>
        <w:ind w:left="340" w:hanging="332"/>
        <w:spacing w:after="0"/>
        <w:tabs>
          <w:tab w:leader="none" w:pos="340" w:val="left"/>
        </w:tabs>
        <w:numPr>
          <w:ilvl w:val="0"/>
          <w:numId w:val="11"/>
        </w:numPr>
        <w:rPr>
          <w:rFonts w:ascii="Arial" w:cs="Arial" w:eastAsia="Arial" w:hAnsi="Arial"/>
          <w:sz w:val="16"/>
          <w:szCs w:val="16"/>
          <w:i w:val="1"/>
          <w:iCs w:val="1"/>
          <w:color w:val="auto"/>
        </w:rPr>
      </w:pPr>
      <w:r>
        <w:rPr>
          <w:rFonts w:ascii="Arial" w:cs="Arial" w:eastAsia="Arial" w:hAnsi="Arial"/>
          <w:sz w:val="18"/>
          <w:szCs w:val="18"/>
          <w:i w:val="1"/>
          <w:iCs w:val="1"/>
          <w:color w:val="auto"/>
        </w:rPr>
        <w:t>the favorable resolution of litigation, arbitration, or administrative proceedings;</w:t>
      </w:r>
    </w:p>
    <w:p>
      <w:pPr>
        <w:spacing w:after="0" w:line="9" w:lineRule="exact"/>
        <w:rPr>
          <w:rFonts w:ascii="Arial" w:cs="Arial" w:eastAsia="Arial" w:hAnsi="Arial"/>
          <w:sz w:val="16"/>
          <w:szCs w:val="16"/>
          <w:i w:val="1"/>
          <w:iCs w:val="1"/>
          <w:color w:val="auto"/>
        </w:rPr>
      </w:pPr>
    </w:p>
    <w:p>
      <w:pPr>
        <w:ind w:left="340" w:hanging="332"/>
        <w:spacing w:after="0"/>
        <w:tabs>
          <w:tab w:leader="none" w:pos="340" w:val="left"/>
        </w:tabs>
        <w:numPr>
          <w:ilvl w:val="0"/>
          <w:numId w:val="11"/>
        </w:numPr>
        <w:rPr>
          <w:rFonts w:ascii="Arial" w:cs="Arial" w:eastAsia="Arial" w:hAnsi="Arial"/>
          <w:sz w:val="16"/>
          <w:szCs w:val="16"/>
          <w:i w:val="1"/>
          <w:iCs w:val="1"/>
          <w:color w:val="auto"/>
        </w:rPr>
      </w:pPr>
      <w:r>
        <w:rPr>
          <w:rFonts w:ascii="Arial" w:cs="Arial" w:eastAsia="Arial" w:hAnsi="Arial"/>
          <w:sz w:val="18"/>
          <w:szCs w:val="18"/>
          <w:i w:val="1"/>
          <w:iCs w:val="1"/>
          <w:color w:val="auto"/>
        </w:rPr>
        <w:t>the relatively small number of states in which we operate health plans;</w:t>
      </w:r>
    </w:p>
    <w:p>
      <w:pPr>
        <w:spacing w:after="0" w:line="9" w:lineRule="exact"/>
        <w:rPr>
          <w:rFonts w:ascii="Arial" w:cs="Arial" w:eastAsia="Arial" w:hAnsi="Arial"/>
          <w:sz w:val="16"/>
          <w:szCs w:val="16"/>
          <w:i w:val="1"/>
          <w:iCs w:val="1"/>
          <w:color w:val="auto"/>
        </w:rPr>
      </w:pPr>
    </w:p>
    <w:p>
      <w:pPr>
        <w:ind w:left="340" w:right="540" w:hanging="332"/>
        <w:spacing w:after="0" w:line="265" w:lineRule="auto"/>
        <w:tabs>
          <w:tab w:leader="none" w:pos="340" w:val="left"/>
        </w:tabs>
        <w:numPr>
          <w:ilvl w:val="0"/>
          <w:numId w:val="11"/>
        </w:numPr>
        <w:rPr>
          <w:rFonts w:ascii="Arial" w:cs="Arial" w:eastAsia="Arial" w:hAnsi="Arial"/>
          <w:sz w:val="15"/>
          <w:szCs w:val="15"/>
          <w:i w:val="1"/>
          <w:iCs w:val="1"/>
          <w:color w:val="auto"/>
        </w:rPr>
      </w:pPr>
      <w:r>
        <w:rPr>
          <w:rFonts w:ascii="Arial" w:cs="Arial" w:eastAsia="Arial" w:hAnsi="Arial"/>
          <w:sz w:val="17"/>
          <w:szCs w:val="17"/>
          <w:i w:val="1"/>
          <w:iCs w:val="1"/>
          <w:color w:val="auto"/>
        </w:rPr>
        <w:t>the availability of adequate financing on acceptable terms to fund and capitalize our expansion and growth, repay our outstanding indebtedness at maturity and meet our liquidity needs, including the interest expense and other costs associated with such financing;</w:t>
      </w:r>
    </w:p>
    <w:p>
      <w:pPr>
        <w:ind w:left="340" w:hanging="332"/>
        <w:spacing w:after="0"/>
        <w:tabs>
          <w:tab w:leader="none" w:pos="340" w:val="left"/>
        </w:tabs>
        <w:numPr>
          <w:ilvl w:val="0"/>
          <w:numId w:val="11"/>
        </w:numPr>
        <w:rPr>
          <w:rFonts w:ascii="Arial" w:cs="Arial" w:eastAsia="Arial" w:hAnsi="Arial"/>
          <w:sz w:val="16"/>
          <w:szCs w:val="16"/>
          <w:i w:val="1"/>
          <w:iCs w:val="1"/>
          <w:color w:val="auto"/>
        </w:rPr>
      </w:pPr>
      <w:r>
        <w:rPr>
          <w:rFonts w:ascii="Arial" w:cs="Arial" w:eastAsia="Arial" w:hAnsi="Arial"/>
          <w:sz w:val="18"/>
          <w:szCs w:val="18"/>
          <w:i w:val="1"/>
          <w:iCs w:val="1"/>
          <w:color w:val="auto"/>
        </w:rPr>
        <w:t>our failure to comply with the financial or other covenants in our credit agreement or the indentures governing our outstanding notes;</w:t>
      </w:r>
    </w:p>
    <w:p>
      <w:pPr>
        <w:spacing w:after="0" w:line="9" w:lineRule="exact"/>
        <w:rPr>
          <w:rFonts w:ascii="Arial" w:cs="Arial" w:eastAsia="Arial" w:hAnsi="Arial"/>
          <w:sz w:val="16"/>
          <w:szCs w:val="16"/>
          <w:i w:val="1"/>
          <w:iCs w:val="1"/>
          <w:color w:val="auto"/>
        </w:rPr>
      </w:pPr>
    </w:p>
    <w:p>
      <w:pPr>
        <w:ind w:left="340" w:hanging="332"/>
        <w:spacing w:after="0"/>
        <w:tabs>
          <w:tab w:leader="none" w:pos="340" w:val="left"/>
        </w:tabs>
        <w:numPr>
          <w:ilvl w:val="0"/>
          <w:numId w:val="11"/>
        </w:numPr>
        <w:rPr>
          <w:rFonts w:ascii="Arial" w:cs="Arial" w:eastAsia="Arial" w:hAnsi="Arial"/>
          <w:sz w:val="18"/>
          <w:szCs w:val="18"/>
          <w:i w:val="1"/>
          <w:iCs w:val="1"/>
          <w:color w:val="auto"/>
        </w:rPr>
      </w:pPr>
      <w:r>
        <w:rPr>
          <w:rFonts w:ascii="Arial" w:cs="Arial" w:eastAsia="Arial" w:hAnsi="Arial"/>
          <w:sz w:val="18"/>
          <w:szCs w:val="18"/>
          <w:i w:val="1"/>
          <w:iCs w:val="1"/>
          <w:color w:val="auto"/>
        </w:rPr>
        <w:t>the sufficiency of our funds on hand to pay the amounts due upon conversion or maturity of our outstanding notes;</w:t>
      </w:r>
    </w:p>
    <w:p>
      <w:pPr>
        <w:spacing w:after="0" w:line="9" w:lineRule="exact"/>
        <w:rPr>
          <w:rFonts w:ascii="Arial" w:cs="Arial" w:eastAsia="Arial" w:hAnsi="Arial"/>
          <w:sz w:val="18"/>
          <w:szCs w:val="18"/>
          <w:i w:val="1"/>
          <w:iCs w:val="1"/>
          <w:color w:val="auto"/>
        </w:rPr>
      </w:pPr>
    </w:p>
    <w:p>
      <w:pPr>
        <w:ind w:left="340" w:hanging="332"/>
        <w:spacing w:after="0"/>
        <w:tabs>
          <w:tab w:leader="none" w:pos="340" w:val="left"/>
        </w:tabs>
        <w:numPr>
          <w:ilvl w:val="0"/>
          <w:numId w:val="11"/>
        </w:numPr>
        <w:rPr>
          <w:rFonts w:ascii="Arial" w:cs="Arial" w:eastAsia="Arial" w:hAnsi="Arial"/>
          <w:sz w:val="18"/>
          <w:szCs w:val="18"/>
          <w:i w:val="1"/>
          <w:iCs w:val="1"/>
          <w:color w:val="auto"/>
        </w:rPr>
      </w:pPr>
      <w:r>
        <w:rPr>
          <w:rFonts w:ascii="Arial" w:cs="Arial" w:eastAsia="Arial" w:hAnsi="Arial"/>
          <w:sz w:val="18"/>
          <w:szCs w:val="18"/>
          <w:i w:val="1"/>
          <w:iCs w:val="1"/>
          <w:color w:val="auto"/>
        </w:rPr>
        <w:t>the failure of a state in which we operate to renew its federal Medicaid waiver;</w:t>
      </w:r>
    </w:p>
    <w:p>
      <w:pPr>
        <w:spacing w:after="0" w:line="9" w:lineRule="exact"/>
        <w:rPr>
          <w:rFonts w:ascii="Arial" w:cs="Arial" w:eastAsia="Arial" w:hAnsi="Arial"/>
          <w:sz w:val="18"/>
          <w:szCs w:val="18"/>
          <w:i w:val="1"/>
          <w:iCs w:val="1"/>
          <w:color w:val="auto"/>
        </w:rPr>
      </w:pPr>
    </w:p>
    <w:p>
      <w:pPr>
        <w:ind w:left="340" w:hanging="332"/>
        <w:spacing w:after="0"/>
        <w:tabs>
          <w:tab w:leader="none" w:pos="340" w:val="left"/>
        </w:tabs>
        <w:numPr>
          <w:ilvl w:val="0"/>
          <w:numId w:val="11"/>
        </w:numPr>
        <w:rPr>
          <w:rFonts w:ascii="Arial" w:cs="Arial" w:eastAsia="Arial" w:hAnsi="Arial"/>
          <w:sz w:val="16"/>
          <w:szCs w:val="16"/>
          <w:i w:val="1"/>
          <w:iCs w:val="1"/>
          <w:color w:val="auto"/>
        </w:rPr>
      </w:pPr>
      <w:r>
        <w:rPr>
          <w:rFonts w:ascii="Arial" w:cs="Arial" w:eastAsia="Arial" w:hAnsi="Arial"/>
          <w:sz w:val="18"/>
          <w:szCs w:val="18"/>
          <w:i w:val="1"/>
          <w:iCs w:val="1"/>
          <w:color w:val="auto"/>
        </w:rPr>
        <w:t>changes generally affecting the managed care or Medicaid management information systems industries;</w:t>
      </w:r>
    </w:p>
    <w:p>
      <w:pPr>
        <w:spacing w:after="0" w:line="9" w:lineRule="exact"/>
        <w:rPr>
          <w:rFonts w:ascii="Arial" w:cs="Arial" w:eastAsia="Arial" w:hAnsi="Arial"/>
          <w:sz w:val="16"/>
          <w:szCs w:val="16"/>
          <w:i w:val="1"/>
          <w:iCs w:val="1"/>
          <w:color w:val="auto"/>
        </w:rPr>
      </w:pPr>
    </w:p>
    <w:p>
      <w:pPr>
        <w:ind w:left="340" w:hanging="332"/>
        <w:spacing w:after="0"/>
        <w:tabs>
          <w:tab w:leader="none" w:pos="340" w:val="left"/>
        </w:tabs>
        <w:numPr>
          <w:ilvl w:val="0"/>
          <w:numId w:val="11"/>
        </w:numPr>
        <w:rPr>
          <w:rFonts w:ascii="Arial" w:cs="Arial" w:eastAsia="Arial" w:hAnsi="Arial"/>
          <w:sz w:val="16"/>
          <w:szCs w:val="16"/>
          <w:i w:val="1"/>
          <w:iCs w:val="1"/>
          <w:color w:val="auto"/>
        </w:rPr>
      </w:pPr>
      <w:r>
        <w:rPr>
          <w:rFonts w:ascii="Arial" w:cs="Arial" w:eastAsia="Arial" w:hAnsi="Arial"/>
          <w:sz w:val="18"/>
          <w:szCs w:val="18"/>
          <w:i w:val="1"/>
          <w:iCs w:val="1"/>
          <w:color w:val="auto"/>
        </w:rPr>
        <w:t>increases in government surcharges, taxes, and assessments, including but not limited to the deductibility of certain compensation costs;</w:t>
      </w:r>
    </w:p>
    <w:p>
      <w:pPr>
        <w:spacing w:after="0" w:line="9" w:lineRule="exact"/>
        <w:rPr>
          <w:rFonts w:ascii="Arial" w:cs="Arial" w:eastAsia="Arial" w:hAnsi="Arial"/>
          <w:sz w:val="16"/>
          <w:szCs w:val="16"/>
          <w:i w:val="1"/>
          <w:iCs w:val="1"/>
          <w:color w:val="auto"/>
        </w:rPr>
      </w:pPr>
    </w:p>
    <w:p>
      <w:pPr>
        <w:ind w:left="340" w:hanging="332"/>
        <w:spacing w:after="0"/>
        <w:tabs>
          <w:tab w:leader="none" w:pos="340" w:val="left"/>
        </w:tabs>
        <w:numPr>
          <w:ilvl w:val="0"/>
          <w:numId w:val="11"/>
        </w:numPr>
        <w:rPr>
          <w:rFonts w:ascii="Arial" w:cs="Arial" w:eastAsia="Arial" w:hAnsi="Arial"/>
          <w:sz w:val="16"/>
          <w:szCs w:val="16"/>
          <w:i w:val="1"/>
          <w:iCs w:val="1"/>
          <w:color w:val="auto"/>
        </w:rPr>
      </w:pPr>
      <w:r>
        <w:rPr>
          <w:rFonts w:ascii="Arial" w:cs="Arial" w:eastAsia="Arial" w:hAnsi="Arial"/>
          <w:sz w:val="18"/>
          <w:szCs w:val="18"/>
          <w:i w:val="1"/>
          <w:iCs w:val="1"/>
          <w:color w:val="auto"/>
        </w:rPr>
        <w:t>newly emergent viruses or widespread epidemics, public catastrophes or terrorist attacks, and associated public alarm; and</w:t>
      </w:r>
    </w:p>
    <w:p>
      <w:pPr>
        <w:spacing w:after="0" w:line="9" w:lineRule="exact"/>
        <w:rPr>
          <w:rFonts w:ascii="Arial" w:cs="Arial" w:eastAsia="Arial" w:hAnsi="Arial"/>
          <w:sz w:val="16"/>
          <w:szCs w:val="16"/>
          <w:i w:val="1"/>
          <w:iCs w:val="1"/>
          <w:color w:val="auto"/>
        </w:rPr>
      </w:pPr>
    </w:p>
    <w:p>
      <w:pPr>
        <w:ind w:left="340" w:hanging="332"/>
        <w:spacing w:after="0"/>
        <w:tabs>
          <w:tab w:leader="none" w:pos="340" w:val="left"/>
        </w:tabs>
        <w:numPr>
          <w:ilvl w:val="0"/>
          <w:numId w:val="11"/>
        </w:numPr>
        <w:rPr>
          <w:rFonts w:ascii="Arial" w:cs="Arial" w:eastAsia="Arial" w:hAnsi="Arial"/>
          <w:sz w:val="16"/>
          <w:szCs w:val="16"/>
          <w:i w:val="1"/>
          <w:iCs w:val="1"/>
          <w:color w:val="auto"/>
        </w:rPr>
      </w:pPr>
      <w:r>
        <w:rPr>
          <w:rFonts w:ascii="Arial" w:cs="Arial" w:eastAsia="Arial" w:hAnsi="Arial"/>
          <w:sz w:val="18"/>
          <w:szCs w:val="18"/>
          <w:i w:val="1"/>
          <w:iCs w:val="1"/>
          <w:color w:val="auto"/>
        </w:rPr>
        <w:t>increasing competition and consolidation in the Medicaid industry;</w:t>
      </w:r>
    </w:p>
    <w:p>
      <w:pPr>
        <w:spacing w:after="0" w:line="95" w:lineRule="exact"/>
        <w:rPr>
          <w:sz w:val="20"/>
          <w:szCs w:val="20"/>
          <w:color w:val="auto"/>
        </w:rPr>
      </w:pPr>
    </w:p>
    <w:p>
      <w:pPr>
        <w:jc w:val="both"/>
        <w:ind w:right="100"/>
        <w:spacing w:after="0" w:line="260" w:lineRule="auto"/>
        <w:rPr>
          <w:sz w:val="20"/>
          <w:szCs w:val="20"/>
          <w:color w:val="auto"/>
        </w:rPr>
      </w:pPr>
      <w:r>
        <w:rPr>
          <w:rFonts w:ascii="Arial" w:cs="Arial" w:eastAsia="Arial" w:hAnsi="Arial"/>
          <w:sz w:val="18"/>
          <w:szCs w:val="18"/>
          <w:color w:val="auto"/>
        </w:rPr>
        <w:t>Readers should refer to the section entitled “Risk Factors” in each of our Annual Report on Form 10-K for the year ended December 31, 2016, our Quarterly Reports on Form 10-Q for the quarters ended March 31, 2017 and June 30, 2017, and this Quarterly Report on Form 10-Q, for a discussion of certain risk factors that could materially affect our business, financial condition, cash flows, or results of operations. Given these risks and uncertainties, we can give no assurance that any results or events projected or contemplated by our forward-looking statements will in fact occur.</w:t>
      </w:r>
    </w:p>
    <w:p>
      <w:pPr>
        <w:spacing w:after="0" w:line="175"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This quarterly report and the following discussion of our financial condition and results of operations should be read in conjunction with the accompanying consolidated financial statements and the notes to those statements appearing elsewhere in this report, and the audited financial statements and Management’s Discussion and Analysis appearing in our Annual Report on Form 10-K for the year ended December 31, 2016.</w:t>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Molina Healthcare, Inc. 2017 Form 10-Q | 40</w:t>
      </w:r>
    </w:p>
    <w:p>
      <w:pPr>
        <w:sectPr>
          <w:pgSz w:w="11900" w:h="16838" w:orient="portrait"/>
          <w:cols w:equalWidth="0" w:num="1">
            <w:col w:w="11420"/>
          </w:cols>
          <w:pgMar w:left="240" w:top="116" w:right="239" w:bottom="1440" w:gutter="0" w:footer="0" w:header="0"/>
        </w:sectPr>
      </w:pPr>
    </w:p>
    <w:bookmarkStart w:id="40" w:name="page41"/>
    <w:bookmarkEnd w:id="4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46" w:lineRule="exact"/>
        <w:rPr>
          <w:sz w:val="20"/>
          <w:szCs w:val="20"/>
          <w:color w:val="auto"/>
        </w:rPr>
      </w:pPr>
    </w:p>
    <w:p>
      <w:pPr>
        <w:spacing w:after="0"/>
        <w:rPr>
          <w:sz w:val="20"/>
          <w:szCs w:val="20"/>
          <w:color w:val="auto"/>
        </w:rPr>
      </w:pPr>
      <w:r>
        <w:rPr>
          <w:rFonts w:ascii="Arial" w:cs="Arial" w:eastAsia="Arial" w:hAnsi="Arial"/>
          <w:sz w:val="36"/>
          <w:szCs w:val="36"/>
          <w:b w:val="1"/>
          <w:bCs w:val="1"/>
          <w:color w:val="0F7C7F"/>
        </w:rPr>
        <w:t>ABOUT MOLINA HEALTHCARE</w:t>
      </w:r>
    </w:p>
    <w:p>
      <w:pPr>
        <w:spacing w:after="0" w:line="230" w:lineRule="exact"/>
        <w:rPr>
          <w:sz w:val="20"/>
          <w:szCs w:val="20"/>
          <w:color w:val="auto"/>
        </w:rPr>
      </w:pPr>
    </w:p>
    <w:p>
      <w:pPr>
        <w:ind w:right="1000"/>
        <w:spacing w:after="0" w:line="306" w:lineRule="auto"/>
        <w:rPr>
          <w:sz w:val="20"/>
          <w:szCs w:val="20"/>
          <w:color w:val="auto"/>
        </w:rPr>
      </w:pPr>
      <w:r>
        <w:rPr>
          <w:rFonts w:ascii="Arial" w:cs="Arial" w:eastAsia="Arial" w:hAnsi="Arial"/>
          <w:sz w:val="32"/>
          <w:szCs w:val="32"/>
          <w:b w:val="1"/>
          <w:bCs w:val="1"/>
          <w:color w:val="ACACAC"/>
        </w:rPr>
        <w:t>OUR MISSION IS TO PROVIDE QUALITY HEALTHCARE TO PEOPLE RECEIVING GOVERNMENT ASSISTANCE.</w:t>
      </w:r>
    </w:p>
    <w:p>
      <w:pPr>
        <w:spacing w:after="0" w:line="53" w:lineRule="exact"/>
        <w:rPr>
          <w:sz w:val="20"/>
          <w:szCs w:val="20"/>
          <w:color w:val="auto"/>
        </w:rPr>
      </w:pPr>
    </w:p>
    <w:p>
      <w:pPr>
        <w:ind w:right="360"/>
        <w:spacing w:after="0" w:line="264" w:lineRule="auto"/>
        <w:rPr>
          <w:sz w:val="20"/>
          <w:szCs w:val="20"/>
          <w:color w:val="auto"/>
        </w:rPr>
      </w:pPr>
      <w:r>
        <w:rPr>
          <w:rFonts w:ascii="Arial" w:cs="Arial" w:eastAsia="Arial" w:hAnsi="Arial"/>
          <w:sz w:val="18"/>
          <w:szCs w:val="18"/>
          <w:color w:val="auto"/>
        </w:rPr>
        <w:t>Molina Healthcare, Inc. provides quality managed health care to people receiving government assistance. We offer cost-effective Medicaid-related solutions to meet the health care needs of low-income families and individuals, and to assist government agencies in their administration of the Medicaid program. We have three reportable segments. These segments consist of our Health Plans segment, which constitutes the vast majority of our operations; our Molina Medicaid Solutions segment; and our Other segment.</w:t>
      </w:r>
    </w:p>
    <w:p>
      <w:pPr>
        <w:spacing w:after="0" w:line="154" w:lineRule="exact"/>
        <w:rPr>
          <w:sz w:val="20"/>
          <w:szCs w:val="20"/>
          <w:color w:val="auto"/>
        </w:rPr>
      </w:pPr>
    </w:p>
    <w:p>
      <w:pPr>
        <w:spacing w:after="0"/>
        <w:rPr>
          <w:sz w:val="20"/>
          <w:szCs w:val="20"/>
          <w:color w:val="auto"/>
        </w:rPr>
      </w:pPr>
      <w:r>
        <w:rPr>
          <w:rFonts w:ascii="Arial" w:cs="Arial" w:eastAsia="Arial" w:hAnsi="Arial"/>
          <w:sz w:val="36"/>
          <w:szCs w:val="36"/>
          <w:b w:val="1"/>
          <w:bCs w:val="1"/>
          <w:color w:val="0F7C7F"/>
        </w:rPr>
        <w:t>KEY PERFORMANCE INDICATORS</w:t>
      </w: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Non-GAAP Financial Measures</w:t>
      </w:r>
    </w:p>
    <w:p>
      <w:pPr>
        <w:spacing w:after="0" w:line="117" w:lineRule="exact"/>
        <w:rPr>
          <w:sz w:val="20"/>
          <w:szCs w:val="20"/>
          <w:color w:val="auto"/>
        </w:rPr>
      </w:pPr>
    </w:p>
    <w:p>
      <w:pPr>
        <w:ind w:right="200"/>
        <w:spacing w:after="0" w:line="264" w:lineRule="auto"/>
        <w:rPr>
          <w:sz w:val="20"/>
          <w:szCs w:val="20"/>
          <w:color w:val="auto"/>
        </w:rPr>
      </w:pPr>
      <w:r>
        <w:rPr>
          <w:rFonts w:ascii="Arial" w:cs="Arial" w:eastAsia="Arial" w:hAnsi="Arial"/>
          <w:sz w:val="18"/>
          <w:szCs w:val="18"/>
          <w:color w:val="auto"/>
        </w:rPr>
        <w:t>We use non-GAAP financial measures as supplemental metrics in evaluating our financial performance, making financing and business decisions, and forecasting and planning for future periods. For these reasons, management believes such measures are useful supplemental measures to investors in comparing our performance to the performance of other public companies in the health care industry. These non-GAAP financial measures should be considered as supplements to, and not as substitutes for or superior to, GAAP measures.</w:t>
      </w:r>
    </w:p>
    <w:p>
      <w:pPr>
        <w:spacing w:after="0" w:line="62" w:lineRule="exact"/>
        <w:rPr>
          <w:sz w:val="20"/>
          <w:szCs w:val="20"/>
          <w:color w:val="auto"/>
        </w:rPr>
      </w:pPr>
    </w:p>
    <w:p>
      <w:pPr>
        <w:ind w:right="80"/>
        <w:spacing w:after="0" w:line="292" w:lineRule="auto"/>
        <w:rPr>
          <w:sz w:val="20"/>
          <w:szCs w:val="20"/>
          <w:color w:val="auto"/>
        </w:rPr>
      </w:pPr>
      <w:r>
        <w:rPr>
          <w:rFonts w:ascii="Arial" w:cs="Arial" w:eastAsia="Arial" w:hAnsi="Arial"/>
          <w:sz w:val="18"/>
          <w:szCs w:val="18"/>
          <w:color w:val="auto"/>
        </w:rPr>
        <w:t>See further information regarding non-GAAP measures in the “Supplemental Information” section of this MD&amp;A, including the reconciliations to U.S. GAAP. Non-GAAP financial measures referred to in this report are designated with an asterisk (*).</w:t>
      </w:r>
    </w:p>
    <w:p>
      <w:pPr>
        <w:spacing w:after="0" w:line="336"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4720" w:type="dxa"/>
            <w:vAlign w:val="bottom"/>
          </w:tcPr>
          <w:p>
            <w:pPr>
              <w:spacing w:after="0"/>
              <w:rPr>
                <w:sz w:val="20"/>
                <w:szCs w:val="20"/>
                <w:color w:val="auto"/>
              </w:rPr>
            </w:pPr>
          </w:p>
        </w:tc>
        <w:tc>
          <w:tcPr>
            <w:tcW w:w="3520" w:type="dxa"/>
            <w:vAlign w:val="bottom"/>
            <w:gridSpan w:val="5"/>
          </w:tcPr>
          <w:p>
            <w:pPr>
              <w:ind w:left="340"/>
              <w:spacing w:after="0"/>
              <w:rPr>
                <w:sz w:val="20"/>
                <w:szCs w:val="20"/>
                <w:color w:val="auto"/>
              </w:rPr>
            </w:pPr>
            <w:r>
              <w:rPr>
                <w:rFonts w:ascii="Arial" w:cs="Arial" w:eastAsia="Arial" w:hAnsi="Arial"/>
                <w:sz w:val="16"/>
                <w:szCs w:val="16"/>
                <w:b w:val="1"/>
                <w:bCs w:val="1"/>
                <w:color w:val="auto"/>
              </w:rPr>
              <w:t>Three Months Ended September 30,</w:t>
            </w:r>
          </w:p>
        </w:tc>
        <w:tc>
          <w:tcPr>
            <w:tcW w:w="180" w:type="dxa"/>
            <w:vAlign w:val="bottom"/>
          </w:tcPr>
          <w:p>
            <w:pPr>
              <w:spacing w:after="0"/>
              <w:rPr>
                <w:sz w:val="20"/>
                <w:szCs w:val="20"/>
                <w:color w:val="auto"/>
              </w:rPr>
            </w:pPr>
          </w:p>
        </w:tc>
        <w:tc>
          <w:tcPr>
            <w:tcW w:w="3000" w:type="dxa"/>
            <w:vAlign w:val="bottom"/>
            <w:gridSpan w:val="3"/>
          </w:tcPr>
          <w:p>
            <w:pPr>
              <w:jc w:val="right"/>
              <w:ind w:right="159"/>
              <w:spacing w:after="0"/>
              <w:rPr>
                <w:sz w:val="20"/>
                <w:szCs w:val="20"/>
                <w:color w:val="auto"/>
              </w:rPr>
            </w:pPr>
            <w:r>
              <w:rPr>
                <w:rFonts w:ascii="Arial" w:cs="Arial" w:eastAsia="Arial" w:hAnsi="Arial"/>
                <w:sz w:val="16"/>
                <w:szCs w:val="16"/>
                <w:b w:val="1"/>
                <w:bCs w:val="1"/>
                <w:color w:val="auto"/>
              </w:rPr>
              <w:t>Nine Months Ended September 30,</w:t>
            </w:r>
          </w:p>
        </w:tc>
      </w:tr>
      <w:tr>
        <w:trPr>
          <w:trHeight w:val="264"/>
        </w:trPr>
        <w:tc>
          <w:tcPr>
            <w:tcW w:w="4720" w:type="dxa"/>
            <w:vAlign w:val="bottom"/>
          </w:tcPr>
          <w:p>
            <w:pPr>
              <w:spacing w:after="0"/>
              <w:rPr>
                <w:sz w:val="22"/>
                <w:szCs w:val="22"/>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2017</w:t>
            </w:r>
          </w:p>
        </w:tc>
        <w:tc>
          <w:tcPr>
            <w:tcW w:w="680" w:type="dxa"/>
            <w:vAlign w:val="bottom"/>
            <w:tcBorders>
              <w:top w:val="single" w:sz="8" w:color="auto"/>
              <w:bottom w:val="single" w:sz="8" w:color="auto"/>
            </w:tcBorders>
          </w:tcPr>
          <w:p>
            <w:pPr>
              <w:spacing w:after="0"/>
              <w:rPr>
                <w:sz w:val="22"/>
                <w:szCs w:val="22"/>
                <w:color w:val="auto"/>
              </w:rPr>
            </w:pPr>
          </w:p>
        </w:tc>
        <w:tc>
          <w:tcPr>
            <w:tcW w:w="440" w:type="dxa"/>
            <w:vAlign w:val="bottom"/>
            <w:tcBorders>
              <w:top w:val="single" w:sz="8" w:color="auto"/>
              <w:bottom w:val="single" w:sz="8" w:color="auto"/>
            </w:tcBorders>
          </w:tcPr>
          <w:p>
            <w:pPr>
              <w:spacing w:after="0"/>
              <w:rPr>
                <w:sz w:val="22"/>
                <w:szCs w:val="22"/>
                <w:color w:val="auto"/>
              </w:rPr>
            </w:pPr>
          </w:p>
        </w:tc>
        <w:tc>
          <w:tcPr>
            <w:tcW w:w="1240" w:type="dxa"/>
            <w:vAlign w:val="bottom"/>
            <w:tcBorders>
              <w:top w:val="single" w:sz="8" w:color="auto"/>
              <w:bottom w:val="single" w:sz="8" w:color="auto"/>
            </w:tcBorders>
          </w:tcPr>
          <w:p>
            <w:pPr>
              <w:jc w:val="right"/>
              <w:ind w:right="539"/>
              <w:spacing w:after="0"/>
              <w:rPr>
                <w:sz w:val="20"/>
                <w:szCs w:val="20"/>
                <w:color w:val="auto"/>
              </w:rPr>
            </w:pPr>
            <w:r>
              <w:rPr>
                <w:rFonts w:ascii="Arial" w:cs="Arial" w:eastAsia="Arial" w:hAnsi="Arial"/>
                <w:sz w:val="16"/>
                <w:szCs w:val="16"/>
                <w:b w:val="1"/>
                <w:bCs w:val="1"/>
                <w:color w:val="auto"/>
              </w:rPr>
              <w:t>2016</w:t>
            </w:r>
          </w:p>
        </w:tc>
        <w:tc>
          <w:tcPr>
            <w:tcW w:w="120" w:type="dxa"/>
            <w:vAlign w:val="bottom"/>
            <w:tcBorders>
              <w:bottom w:val="single" w:sz="8" w:color="auto"/>
            </w:tcBorders>
          </w:tcPr>
          <w:p>
            <w:pPr>
              <w:spacing w:after="0"/>
              <w:rPr>
                <w:sz w:val="22"/>
                <w:szCs w:val="22"/>
                <w:color w:val="auto"/>
              </w:rPr>
            </w:pPr>
          </w:p>
        </w:tc>
        <w:tc>
          <w:tcPr>
            <w:tcW w:w="180" w:type="dxa"/>
            <w:vAlign w:val="bottom"/>
            <w:tcBorders>
              <w:top w:val="single" w:sz="8" w:color="auto"/>
              <w:bottom w:val="single" w:sz="8" w:color="auto"/>
            </w:tcBorders>
          </w:tcPr>
          <w:p>
            <w:pPr>
              <w:spacing w:after="0"/>
              <w:rPr>
                <w:sz w:val="22"/>
                <w:szCs w:val="22"/>
                <w:color w:val="auto"/>
              </w:rPr>
            </w:pPr>
          </w:p>
        </w:tc>
        <w:tc>
          <w:tcPr>
            <w:tcW w:w="1440" w:type="dxa"/>
            <w:vAlign w:val="bottom"/>
            <w:tcBorders>
              <w:top w:val="single" w:sz="8" w:color="auto"/>
              <w:bottom w:val="single" w:sz="8" w:color="auto"/>
            </w:tcBorders>
          </w:tcPr>
          <w:p>
            <w:pPr>
              <w:jc w:val="right"/>
              <w:ind w:right="579"/>
              <w:spacing w:after="0"/>
              <w:rPr>
                <w:sz w:val="20"/>
                <w:szCs w:val="20"/>
                <w:color w:val="auto"/>
              </w:rPr>
            </w:pPr>
            <w:r>
              <w:rPr>
                <w:rFonts w:ascii="Arial" w:cs="Arial" w:eastAsia="Arial" w:hAnsi="Arial"/>
                <w:sz w:val="16"/>
                <w:szCs w:val="16"/>
                <w:b w:val="1"/>
                <w:bCs w:val="1"/>
                <w:color w:val="auto"/>
              </w:rPr>
              <w:t>2017</w:t>
            </w:r>
          </w:p>
        </w:tc>
        <w:tc>
          <w:tcPr>
            <w:tcW w:w="480" w:type="dxa"/>
            <w:vAlign w:val="bottom"/>
            <w:tcBorders>
              <w:top w:val="single" w:sz="8" w:color="auto"/>
              <w:bottom w:val="single" w:sz="8" w:color="auto"/>
            </w:tcBorders>
          </w:tcPr>
          <w:p>
            <w:pPr>
              <w:spacing w:after="0"/>
              <w:rPr>
                <w:sz w:val="22"/>
                <w:szCs w:val="22"/>
                <w:color w:val="auto"/>
              </w:rPr>
            </w:pPr>
          </w:p>
        </w:tc>
        <w:tc>
          <w:tcPr>
            <w:tcW w:w="1080" w:type="dxa"/>
            <w:vAlign w:val="bottom"/>
            <w:tcBorders>
              <w:top w:val="single" w:sz="8" w:color="auto"/>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2016</w:t>
            </w:r>
          </w:p>
        </w:tc>
      </w:tr>
      <w:tr>
        <w:trPr>
          <w:trHeight w:val="237"/>
        </w:trPr>
        <w:tc>
          <w:tcPr>
            <w:tcW w:w="47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4580" w:type="dxa"/>
            <w:vAlign w:val="bottom"/>
            <w:gridSpan w:val="7"/>
          </w:tcPr>
          <w:p>
            <w:pPr>
              <w:jc w:val="right"/>
              <w:ind w:right="59"/>
              <w:spacing w:after="0"/>
              <w:rPr>
                <w:sz w:val="20"/>
                <w:szCs w:val="20"/>
                <w:color w:val="auto"/>
              </w:rPr>
            </w:pPr>
            <w:r>
              <w:rPr>
                <w:rFonts w:ascii="Arial" w:cs="Arial" w:eastAsia="Arial" w:hAnsi="Arial"/>
                <w:sz w:val="16"/>
                <w:szCs w:val="16"/>
                <w:b w:val="1"/>
                <w:bCs w:val="1"/>
                <w:i w:val="1"/>
                <w:iCs w:val="1"/>
                <w:color w:val="auto"/>
              </w:rPr>
              <w:t>(Dollar amounts in millions, except per-share amounts)</w:t>
            </w:r>
          </w:p>
        </w:tc>
        <w:tc>
          <w:tcPr>
            <w:tcW w:w="1080" w:type="dxa"/>
            <w:vAlign w:val="bottom"/>
          </w:tcPr>
          <w:p>
            <w:pPr>
              <w:spacing w:after="0"/>
              <w:rPr>
                <w:sz w:val="20"/>
                <w:szCs w:val="20"/>
                <w:color w:val="auto"/>
              </w:rPr>
            </w:pPr>
          </w:p>
        </w:tc>
      </w:tr>
      <w:tr>
        <w:trPr>
          <w:trHeight w:val="274"/>
        </w:trPr>
        <w:tc>
          <w:tcPr>
            <w:tcW w:w="4720" w:type="dxa"/>
            <w:vAlign w:val="bottom"/>
            <w:shd w:val="clear" w:color="auto" w:fill="CCEEFF"/>
          </w:tcPr>
          <w:p>
            <w:pPr>
              <w:ind w:left="40"/>
              <w:spacing w:after="0"/>
              <w:rPr>
                <w:sz w:val="20"/>
                <w:szCs w:val="20"/>
                <w:color w:val="auto"/>
              </w:rPr>
            </w:pPr>
            <w:r>
              <w:rPr>
                <w:rFonts w:ascii="Arial" w:cs="Arial" w:eastAsia="Arial" w:hAnsi="Arial"/>
                <w:sz w:val="16"/>
                <w:szCs w:val="16"/>
                <w:color w:val="auto"/>
              </w:rPr>
              <w:t>Net (loss) income</w:t>
            </w:r>
          </w:p>
        </w:tc>
        <w:tc>
          <w:tcPr>
            <w:tcW w:w="1040" w:type="dxa"/>
            <w:vAlign w:val="bottom"/>
            <w:shd w:val="clear" w:color="auto" w:fill="CCEEFF"/>
          </w:tcPr>
          <w:p>
            <w:pPr>
              <w:jc w:val="right"/>
              <w:ind w:right="839"/>
              <w:spacing w:after="0"/>
              <w:rPr>
                <w:sz w:val="20"/>
                <w:szCs w:val="20"/>
                <w:color w:val="auto"/>
              </w:rPr>
            </w:pPr>
            <w:r>
              <w:rPr>
                <w:rFonts w:ascii="Arial" w:cs="Arial" w:eastAsia="Arial" w:hAnsi="Arial"/>
                <w:sz w:val="16"/>
                <w:szCs w:val="16"/>
                <w:color w:val="auto"/>
              </w:rPr>
              <w:t>$</w:t>
            </w:r>
          </w:p>
        </w:tc>
        <w:tc>
          <w:tcPr>
            <w:tcW w:w="68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(97)</w:t>
            </w:r>
          </w:p>
        </w:tc>
        <w:tc>
          <w:tcPr>
            <w:tcW w:w="44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24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42</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(250)</w:t>
            </w:r>
          </w:p>
        </w:tc>
        <w:tc>
          <w:tcPr>
            <w:tcW w:w="48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w:t>
            </w:r>
          </w:p>
        </w:tc>
        <w:tc>
          <w:tcPr>
            <w:tcW w:w="10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99</w:t>
            </w:r>
          </w:p>
        </w:tc>
      </w:tr>
      <w:tr>
        <w:trPr>
          <w:trHeight w:val="262"/>
        </w:trPr>
        <w:tc>
          <w:tcPr>
            <w:tcW w:w="4720" w:type="dxa"/>
            <w:vAlign w:val="bottom"/>
          </w:tcPr>
          <w:p>
            <w:pPr>
              <w:ind w:left="40"/>
              <w:spacing w:after="0"/>
              <w:rPr>
                <w:sz w:val="20"/>
                <w:szCs w:val="20"/>
                <w:color w:val="auto"/>
              </w:rPr>
            </w:pPr>
            <w:r>
              <w:rPr>
                <w:rFonts w:ascii="Arial" w:cs="Arial" w:eastAsia="Arial" w:hAnsi="Arial"/>
                <w:sz w:val="16"/>
                <w:szCs w:val="16"/>
                <w:color w:val="auto"/>
              </w:rPr>
              <w:t>Net (loss) income per diluted share</w:t>
            </w:r>
          </w:p>
        </w:tc>
        <w:tc>
          <w:tcPr>
            <w:tcW w:w="1040" w:type="dxa"/>
            <w:vAlign w:val="bottom"/>
          </w:tcPr>
          <w:p>
            <w:pPr>
              <w:jc w:val="right"/>
              <w:ind w:right="839"/>
              <w:spacing w:after="0"/>
              <w:rPr>
                <w:sz w:val="20"/>
                <w:szCs w:val="20"/>
                <w:color w:val="auto"/>
              </w:rPr>
            </w:pPr>
            <w:r>
              <w:rPr>
                <w:rFonts w:ascii="Arial" w:cs="Arial" w:eastAsia="Arial" w:hAnsi="Arial"/>
                <w:sz w:val="16"/>
                <w:szCs w:val="16"/>
                <w:color w:val="auto"/>
              </w:rPr>
              <w:t>$</w:t>
            </w:r>
          </w:p>
        </w:tc>
        <w:tc>
          <w:tcPr>
            <w:tcW w:w="680" w:type="dxa"/>
            <w:vAlign w:val="bottom"/>
          </w:tcPr>
          <w:p>
            <w:pPr>
              <w:jc w:val="right"/>
              <w:ind w:right="139"/>
              <w:spacing w:after="0"/>
              <w:rPr>
                <w:sz w:val="20"/>
                <w:szCs w:val="20"/>
                <w:color w:val="auto"/>
              </w:rPr>
            </w:pPr>
            <w:r>
              <w:rPr>
                <w:rFonts w:ascii="Arial" w:cs="Arial" w:eastAsia="Arial" w:hAnsi="Arial"/>
                <w:sz w:val="16"/>
                <w:szCs w:val="16"/>
                <w:color w:val="auto"/>
              </w:rPr>
              <w:t>(1.70)</w:t>
            </w:r>
          </w:p>
        </w:tc>
        <w:tc>
          <w:tcPr>
            <w:tcW w:w="44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1240" w:type="dxa"/>
            <w:vAlign w:val="bottom"/>
          </w:tcPr>
          <w:p>
            <w:pPr>
              <w:jc w:val="right"/>
              <w:ind w:right="99"/>
              <w:spacing w:after="0"/>
              <w:rPr>
                <w:sz w:val="20"/>
                <w:szCs w:val="20"/>
                <w:color w:val="auto"/>
              </w:rPr>
            </w:pPr>
            <w:r>
              <w:rPr>
                <w:rFonts w:ascii="Arial" w:cs="Arial" w:eastAsia="Arial" w:hAnsi="Arial"/>
                <w:sz w:val="16"/>
                <w:szCs w:val="16"/>
                <w:color w:val="auto"/>
              </w:rPr>
              <w:t>0.76</w:t>
            </w:r>
          </w:p>
        </w:tc>
        <w:tc>
          <w:tcPr>
            <w:tcW w:w="120" w:type="dxa"/>
            <w:vAlign w:val="bottom"/>
          </w:tcPr>
          <w:p>
            <w:pPr>
              <w:spacing w:after="0"/>
              <w:rPr>
                <w:sz w:val="22"/>
                <w:szCs w:val="22"/>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440" w:type="dxa"/>
            <w:vAlign w:val="bottom"/>
          </w:tcPr>
          <w:p>
            <w:pPr>
              <w:jc w:val="right"/>
              <w:ind w:right="159"/>
              <w:spacing w:after="0"/>
              <w:rPr>
                <w:sz w:val="20"/>
                <w:szCs w:val="20"/>
                <w:color w:val="auto"/>
              </w:rPr>
            </w:pPr>
            <w:r>
              <w:rPr>
                <w:rFonts w:ascii="Arial" w:cs="Arial" w:eastAsia="Arial" w:hAnsi="Arial"/>
                <w:sz w:val="16"/>
                <w:szCs w:val="16"/>
                <w:color w:val="auto"/>
              </w:rPr>
              <w:t>(4.44)</w:t>
            </w:r>
          </w:p>
        </w:tc>
        <w:tc>
          <w:tcPr>
            <w:tcW w:w="480" w:type="dxa"/>
            <w:vAlign w:val="bottom"/>
          </w:tcPr>
          <w:p>
            <w:pPr>
              <w:jc w:val="right"/>
              <w:ind w:right="239"/>
              <w:spacing w:after="0"/>
              <w:rPr>
                <w:sz w:val="20"/>
                <w:szCs w:val="20"/>
                <w:color w:val="auto"/>
              </w:rPr>
            </w:pPr>
            <w:r>
              <w:rPr>
                <w:rFonts w:ascii="Arial" w:cs="Arial" w:eastAsia="Arial" w:hAnsi="Arial"/>
                <w:sz w:val="16"/>
                <w:szCs w:val="16"/>
                <w:color w:val="auto"/>
              </w:rPr>
              <w:t>$</w:t>
            </w:r>
          </w:p>
        </w:tc>
        <w:tc>
          <w:tcPr>
            <w:tcW w:w="1080" w:type="dxa"/>
            <w:vAlign w:val="bottom"/>
          </w:tcPr>
          <w:p>
            <w:pPr>
              <w:jc w:val="right"/>
              <w:ind w:right="99"/>
              <w:spacing w:after="0"/>
              <w:rPr>
                <w:sz w:val="20"/>
                <w:szCs w:val="20"/>
                <w:color w:val="auto"/>
              </w:rPr>
            </w:pPr>
            <w:r>
              <w:rPr>
                <w:rFonts w:ascii="Arial" w:cs="Arial" w:eastAsia="Arial" w:hAnsi="Arial"/>
                <w:sz w:val="16"/>
                <w:szCs w:val="16"/>
                <w:color w:val="auto"/>
              </w:rPr>
              <w:t>1.77</w:t>
            </w:r>
          </w:p>
        </w:tc>
      </w:tr>
      <w:tr>
        <w:trPr>
          <w:trHeight w:val="278"/>
        </w:trPr>
        <w:tc>
          <w:tcPr>
            <w:tcW w:w="4720" w:type="dxa"/>
            <w:vAlign w:val="bottom"/>
            <w:shd w:val="clear" w:color="auto" w:fill="CCEEFF"/>
          </w:tcPr>
          <w:p>
            <w:pPr>
              <w:ind w:left="40"/>
              <w:spacing w:after="0"/>
              <w:rPr>
                <w:sz w:val="20"/>
                <w:szCs w:val="20"/>
                <w:color w:val="auto"/>
              </w:rPr>
            </w:pPr>
            <w:r>
              <w:rPr>
                <w:rFonts w:ascii="Arial" w:cs="Arial" w:eastAsia="Arial" w:hAnsi="Arial"/>
                <w:sz w:val="16"/>
                <w:szCs w:val="16"/>
                <w:color w:val="auto"/>
              </w:rPr>
              <w:t xml:space="preserve">MCR </w:t>
            </w:r>
            <w:r>
              <w:rPr>
                <w:rFonts w:ascii="Arial" w:cs="Arial" w:eastAsia="Arial" w:hAnsi="Arial"/>
                <w:sz w:val="21"/>
                <w:szCs w:val="21"/>
                <w:color w:val="auto"/>
                <w:vertAlign w:val="superscript"/>
              </w:rPr>
              <w:t>(1)</w:t>
            </w:r>
          </w:p>
        </w:tc>
        <w:tc>
          <w:tcPr>
            <w:tcW w:w="1040" w:type="dxa"/>
            <w:vAlign w:val="bottom"/>
            <w:shd w:val="clear" w:color="auto" w:fill="CCEEFF"/>
          </w:tcPr>
          <w:p>
            <w:pPr>
              <w:spacing w:after="0"/>
              <w:rPr>
                <w:sz w:val="24"/>
                <w:szCs w:val="2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88.3 %</w:t>
            </w:r>
          </w:p>
        </w:tc>
        <w:tc>
          <w:tcPr>
            <w:tcW w:w="440" w:type="dxa"/>
            <w:vAlign w:val="bottom"/>
            <w:shd w:val="clear" w:color="auto" w:fill="CCEEFF"/>
          </w:tcPr>
          <w:p>
            <w:pPr>
              <w:spacing w:after="0"/>
              <w:rPr>
                <w:sz w:val="24"/>
                <w:szCs w:val="24"/>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89.4%</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4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90.5 %</w:t>
            </w:r>
          </w:p>
        </w:tc>
        <w:tc>
          <w:tcPr>
            <w:tcW w:w="480" w:type="dxa"/>
            <w:vAlign w:val="bottom"/>
            <w:shd w:val="clear" w:color="auto" w:fill="CCEEFF"/>
          </w:tcPr>
          <w:p>
            <w:pPr>
              <w:spacing w:after="0"/>
              <w:rPr>
                <w:sz w:val="24"/>
                <w:szCs w:val="2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89.5%</w:t>
            </w:r>
          </w:p>
        </w:tc>
      </w:tr>
      <w:tr>
        <w:trPr>
          <w:trHeight w:val="270"/>
        </w:trPr>
        <w:tc>
          <w:tcPr>
            <w:tcW w:w="4720" w:type="dxa"/>
            <w:vAlign w:val="bottom"/>
          </w:tcPr>
          <w:p>
            <w:pPr>
              <w:ind w:left="40"/>
              <w:spacing w:after="0"/>
              <w:rPr>
                <w:sz w:val="20"/>
                <w:szCs w:val="20"/>
                <w:color w:val="auto"/>
              </w:rPr>
            </w:pPr>
            <w:r>
              <w:rPr>
                <w:rFonts w:ascii="Arial" w:cs="Arial" w:eastAsia="Arial" w:hAnsi="Arial"/>
                <w:sz w:val="16"/>
                <w:szCs w:val="16"/>
                <w:color w:val="auto"/>
              </w:rPr>
              <w:t xml:space="preserve">G&amp;A ratio </w:t>
            </w:r>
            <w:r>
              <w:rPr>
                <w:rFonts w:ascii="Arial" w:cs="Arial" w:eastAsia="Arial" w:hAnsi="Arial"/>
                <w:sz w:val="21"/>
                <w:szCs w:val="21"/>
                <w:color w:val="auto"/>
                <w:vertAlign w:val="superscript"/>
              </w:rPr>
              <w:t>(2)</w:t>
            </w:r>
          </w:p>
        </w:tc>
        <w:tc>
          <w:tcPr>
            <w:tcW w:w="1040" w:type="dxa"/>
            <w:vAlign w:val="bottom"/>
          </w:tcPr>
          <w:p>
            <w:pPr>
              <w:spacing w:after="0"/>
              <w:rPr>
                <w:sz w:val="23"/>
                <w:szCs w:val="23"/>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7.6 %</w:t>
            </w:r>
          </w:p>
        </w:tc>
        <w:tc>
          <w:tcPr>
            <w:tcW w:w="440" w:type="dxa"/>
            <w:vAlign w:val="bottom"/>
          </w:tcPr>
          <w:p>
            <w:pPr>
              <w:spacing w:after="0"/>
              <w:rPr>
                <w:sz w:val="23"/>
                <w:szCs w:val="23"/>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7.6%</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440" w:type="dxa"/>
            <w:vAlign w:val="bottom"/>
          </w:tcPr>
          <w:p>
            <w:pPr>
              <w:jc w:val="right"/>
              <w:ind w:right="19"/>
              <w:spacing w:after="0"/>
              <w:rPr>
                <w:sz w:val="20"/>
                <w:szCs w:val="20"/>
                <w:color w:val="auto"/>
              </w:rPr>
            </w:pPr>
            <w:r>
              <w:rPr>
                <w:rFonts w:ascii="Arial" w:cs="Arial" w:eastAsia="Arial" w:hAnsi="Arial"/>
                <w:sz w:val="16"/>
                <w:szCs w:val="16"/>
                <w:color w:val="auto"/>
              </w:rPr>
              <w:t>8.2 %</w:t>
            </w:r>
          </w:p>
        </w:tc>
        <w:tc>
          <w:tcPr>
            <w:tcW w:w="48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7.8%</w:t>
            </w:r>
          </w:p>
        </w:tc>
      </w:tr>
      <w:tr>
        <w:trPr>
          <w:trHeight w:val="270"/>
        </w:trPr>
        <w:tc>
          <w:tcPr>
            <w:tcW w:w="4720" w:type="dxa"/>
            <w:vAlign w:val="bottom"/>
            <w:shd w:val="clear" w:color="auto" w:fill="CCEEFF"/>
          </w:tcPr>
          <w:p>
            <w:pPr>
              <w:ind w:left="40"/>
              <w:spacing w:after="0"/>
              <w:rPr>
                <w:sz w:val="20"/>
                <w:szCs w:val="20"/>
                <w:color w:val="auto"/>
              </w:rPr>
            </w:pPr>
            <w:r>
              <w:rPr>
                <w:rFonts w:ascii="Arial" w:cs="Arial" w:eastAsia="Arial" w:hAnsi="Arial"/>
                <w:sz w:val="16"/>
                <w:szCs w:val="16"/>
                <w:color w:val="auto"/>
              </w:rPr>
              <w:t xml:space="preserve">Premium tax ratio </w:t>
            </w:r>
            <w:r>
              <w:rPr>
                <w:rFonts w:ascii="Arial" w:cs="Arial" w:eastAsia="Arial" w:hAnsi="Arial"/>
                <w:sz w:val="21"/>
                <w:szCs w:val="21"/>
                <w:color w:val="auto"/>
                <w:vertAlign w:val="superscript"/>
              </w:rPr>
              <w:t>(1)</w:t>
            </w:r>
          </w:p>
        </w:tc>
        <w:tc>
          <w:tcPr>
            <w:tcW w:w="1040" w:type="dxa"/>
            <w:vAlign w:val="bottom"/>
            <w:shd w:val="clear" w:color="auto" w:fill="CCEEFF"/>
          </w:tcPr>
          <w:p>
            <w:pPr>
              <w:spacing w:after="0"/>
              <w:rPr>
                <w:sz w:val="23"/>
                <w:szCs w:val="23"/>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2.2 %</w:t>
            </w:r>
          </w:p>
        </w:tc>
        <w:tc>
          <w:tcPr>
            <w:tcW w:w="440" w:type="dxa"/>
            <w:vAlign w:val="bottom"/>
            <w:shd w:val="clear" w:color="auto" w:fill="CCEEFF"/>
          </w:tcPr>
          <w:p>
            <w:pPr>
              <w:spacing w:after="0"/>
              <w:rPr>
                <w:sz w:val="23"/>
                <w:szCs w:val="23"/>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4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2.3 %</w:t>
            </w:r>
          </w:p>
        </w:tc>
        <w:tc>
          <w:tcPr>
            <w:tcW w:w="480" w:type="dxa"/>
            <w:vAlign w:val="bottom"/>
            <w:shd w:val="clear" w:color="auto" w:fill="CCEEFF"/>
          </w:tcPr>
          <w:p>
            <w:pPr>
              <w:spacing w:after="0"/>
              <w:rPr>
                <w:sz w:val="23"/>
                <w:szCs w:val="23"/>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w:t>
            </w:r>
          </w:p>
        </w:tc>
      </w:tr>
      <w:tr>
        <w:trPr>
          <w:trHeight w:val="262"/>
        </w:trPr>
        <w:tc>
          <w:tcPr>
            <w:tcW w:w="4720" w:type="dxa"/>
            <w:vAlign w:val="bottom"/>
          </w:tcPr>
          <w:p>
            <w:pPr>
              <w:ind w:left="40"/>
              <w:spacing w:after="0"/>
              <w:rPr>
                <w:sz w:val="20"/>
                <w:szCs w:val="20"/>
                <w:color w:val="auto"/>
              </w:rPr>
            </w:pPr>
            <w:r>
              <w:rPr>
                <w:rFonts w:ascii="Arial" w:cs="Arial" w:eastAsia="Arial" w:hAnsi="Arial"/>
                <w:sz w:val="16"/>
                <w:szCs w:val="16"/>
                <w:color w:val="auto"/>
              </w:rPr>
              <w:t>Effective tax rate</w:t>
            </w:r>
          </w:p>
        </w:tc>
        <w:tc>
          <w:tcPr>
            <w:tcW w:w="1040" w:type="dxa"/>
            <w:vAlign w:val="bottom"/>
          </w:tcPr>
          <w:p>
            <w:pPr>
              <w:spacing w:after="0"/>
              <w:rPr>
                <w:sz w:val="22"/>
                <w:szCs w:val="22"/>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14.6 %</w:t>
            </w:r>
          </w:p>
        </w:tc>
        <w:tc>
          <w:tcPr>
            <w:tcW w:w="44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54.0%</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440" w:type="dxa"/>
            <w:vAlign w:val="bottom"/>
          </w:tcPr>
          <w:p>
            <w:pPr>
              <w:jc w:val="right"/>
              <w:ind w:right="19"/>
              <w:spacing w:after="0"/>
              <w:rPr>
                <w:sz w:val="20"/>
                <w:szCs w:val="20"/>
                <w:color w:val="auto"/>
              </w:rPr>
            </w:pPr>
            <w:r>
              <w:rPr>
                <w:rFonts w:ascii="Arial" w:cs="Arial" w:eastAsia="Arial" w:hAnsi="Arial"/>
                <w:sz w:val="16"/>
                <w:szCs w:val="16"/>
                <w:color w:val="auto"/>
              </w:rPr>
              <w:t>15.5 %</w:t>
            </w:r>
          </w:p>
        </w:tc>
        <w:tc>
          <w:tcPr>
            <w:tcW w:w="48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58.0%</w:t>
            </w:r>
          </w:p>
        </w:tc>
      </w:tr>
      <w:tr>
        <w:trPr>
          <w:trHeight w:val="278"/>
        </w:trPr>
        <w:tc>
          <w:tcPr>
            <w:tcW w:w="4720" w:type="dxa"/>
            <w:vAlign w:val="bottom"/>
            <w:shd w:val="clear" w:color="auto" w:fill="CCEEFF"/>
          </w:tcPr>
          <w:p>
            <w:pPr>
              <w:ind w:left="40"/>
              <w:spacing w:after="0"/>
              <w:rPr>
                <w:sz w:val="20"/>
                <w:szCs w:val="20"/>
                <w:color w:val="auto"/>
              </w:rPr>
            </w:pPr>
            <w:r>
              <w:rPr>
                <w:rFonts w:ascii="Arial" w:cs="Arial" w:eastAsia="Arial" w:hAnsi="Arial"/>
                <w:sz w:val="16"/>
                <w:szCs w:val="16"/>
                <w:color w:val="auto"/>
              </w:rPr>
              <w:t xml:space="preserve">Net profit margin </w:t>
            </w:r>
            <w:r>
              <w:rPr>
                <w:rFonts w:ascii="Arial" w:cs="Arial" w:eastAsia="Arial" w:hAnsi="Arial"/>
                <w:sz w:val="21"/>
                <w:szCs w:val="21"/>
                <w:color w:val="auto"/>
                <w:vertAlign w:val="superscript"/>
              </w:rPr>
              <w:t>(2)</w:t>
            </w:r>
          </w:p>
        </w:tc>
        <w:tc>
          <w:tcPr>
            <w:tcW w:w="1040" w:type="dxa"/>
            <w:vAlign w:val="bottom"/>
            <w:shd w:val="clear" w:color="auto" w:fill="CCEEFF"/>
          </w:tcPr>
          <w:p>
            <w:pPr>
              <w:spacing w:after="0"/>
              <w:rPr>
                <w:sz w:val="24"/>
                <w:szCs w:val="2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w:t>
            </w:r>
          </w:p>
        </w:tc>
        <w:tc>
          <w:tcPr>
            <w:tcW w:w="440" w:type="dxa"/>
            <w:vAlign w:val="bottom"/>
            <w:shd w:val="clear" w:color="auto" w:fill="CCEEFF"/>
          </w:tcPr>
          <w:p>
            <w:pPr>
              <w:spacing w:after="0"/>
              <w:rPr>
                <w:sz w:val="24"/>
                <w:szCs w:val="24"/>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0.9%</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4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(1.7)%</w:t>
            </w:r>
          </w:p>
        </w:tc>
        <w:tc>
          <w:tcPr>
            <w:tcW w:w="480" w:type="dxa"/>
            <w:vAlign w:val="bottom"/>
            <w:shd w:val="clear" w:color="auto" w:fill="CCEEFF"/>
          </w:tcPr>
          <w:p>
            <w:pPr>
              <w:spacing w:after="0"/>
              <w:rPr>
                <w:sz w:val="24"/>
                <w:szCs w:val="2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0.7%</w:t>
            </w:r>
          </w:p>
        </w:tc>
      </w:tr>
      <w:tr>
        <w:trPr>
          <w:trHeight w:val="262"/>
        </w:trPr>
        <w:tc>
          <w:tcPr>
            <w:tcW w:w="4720" w:type="dxa"/>
            <w:vAlign w:val="bottom"/>
          </w:tcPr>
          <w:p>
            <w:pPr>
              <w:ind w:left="40"/>
              <w:spacing w:after="0"/>
              <w:rPr>
                <w:sz w:val="20"/>
                <w:szCs w:val="20"/>
                <w:color w:val="auto"/>
              </w:rPr>
            </w:pPr>
            <w:r>
              <w:rPr>
                <w:rFonts w:ascii="Arial" w:cs="Arial" w:eastAsia="Arial" w:hAnsi="Arial"/>
                <w:sz w:val="16"/>
                <w:szCs w:val="16"/>
                <w:color w:val="auto"/>
              </w:rPr>
              <w:t>EBITDA*</w:t>
            </w:r>
          </w:p>
        </w:tc>
        <w:tc>
          <w:tcPr>
            <w:tcW w:w="1040" w:type="dxa"/>
            <w:vAlign w:val="bottom"/>
          </w:tcPr>
          <w:p>
            <w:pPr>
              <w:jc w:val="right"/>
              <w:ind w:right="839"/>
              <w:spacing w:after="0"/>
              <w:rPr>
                <w:sz w:val="20"/>
                <w:szCs w:val="20"/>
                <w:color w:val="auto"/>
              </w:rPr>
            </w:pPr>
            <w:r>
              <w:rPr>
                <w:rFonts w:ascii="Arial" w:cs="Arial" w:eastAsia="Arial" w:hAnsi="Arial"/>
                <w:sz w:val="16"/>
                <w:szCs w:val="16"/>
                <w:color w:val="auto"/>
              </w:rPr>
              <w:t>$</w:t>
            </w:r>
          </w:p>
        </w:tc>
        <w:tc>
          <w:tcPr>
            <w:tcW w:w="680" w:type="dxa"/>
            <w:vAlign w:val="bottom"/>
          </w:tcPr>
          <w:p>
            <w:pPr>
              <w:jc w:val="right"/>
              <w:ind w:right="139"/>
              <w:spacing w:after="0"/>
              <w:rPr>
                <w:sz w:val="20"/>
                <w:szCs w:val="20"/>
                <w:color w:val="auto"/>
              </w:rPr>
            </w:pPr>
            <w:r>
              <w:rPr>
                <w:rFonts w:ascii="Arial" w:cs="Arial" w:eastAsia="Arial" w:hAnsi="Arial"/>
                <w:sz w:val="16"/>
                <w:szCs w:val="16"/>
                <w:color w:val="auto"/>
              </w:rPr>
              <w:t>(42)</w:t>
            </w:r>
          </w:p>
        </w:tc>
        <w:tc>
          <w:tcPr>
            <w:tcW w:w="44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1240" w:type="dxa"/>
            <w:vAlign w:val="bottom"/>
          </w:tcPr>
          <w:p>
            <w:pPr>
              <w:jc w:val="right"/>
              <w:ind w:right="99"/>
              <w:spacing w:after="0"/>
              <w:rPr>
                <w:sz w:val="20"/>
                <w:szCs w:val="20"/>
                <w:color w:val="auto"/>
              </w:rPr>
            </w:pPr>
            <w:r>
              <w:rPr>
                <w:rFonts w:ascii="Arial" w:cs="Arial" w:eastAsia="Arial" w:hAnsi="Arial"/>
                <w:sz w:val="16"/>
                <w:szCs w:val="16"/>
                <w:color w:val="auto"/>
              </w:rPr>
              <w:t>160</w:t>
            </w:r>
          </w:p>
        </w:tc>
        <w:tc>
          <w:tcPr>
            <w:tcW w:w="120" w:type="dxa"/>
            <w:vAlign w:val="bottom"/>
          </w:tcPr>
          <w:p>
            <w:pPr>
              <w:spacing w:after="0"/>
              <w:rPr>
                <w:sz w:val="22"/>
                <w:szCs w:val="22"/>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440" w:type="dxa"/>
            <w:vAlign w:val="bottom"/>
          </w:tcPr>
          <w:p>
            <w:pPr>
              <w:jc w:val="right"/>
              <w:ind w:right="159"/>
              <w:spacing w:after="0"/>
              <w:rPr>
                <w:sz w:val="20"/>
                <w:szCs w:val="20"/>
                <w:color w:val="auto"/>
              </w:rPr>
            </w:pPr>
            <w:r>
              <w:rPr>
                <w:rFonts w:ascii="Arial" w:cs="Arial" w:eastAsia="Arial" w:hAnsi="Arial"/>
                <w:sz w:val="16"/>
                <w:szCs w:val="16"/>
                <w:color w:val="auto"/>
              </w:rPr>
              <w:t>(82)</w:t>
            </w:r>
          </w:p>
        </w:tc>
        <w:tc>
          <w:tcPr>
            <w:tcW w:w="480" w:type="dxa"/>
            <w:vAlign w:val="bottom"/>
          </w:tcPr>
          <w:p>
            <w:pPr>
              <w:jc w:val="right"/>
              <w:ind w:right="239"/>
              <w:spacing w:after="0"/>
              <w:rPr>
                <w:sz w:val="20"/>
                <w:szCs w:val="20"/>
                <w:color w:val="auto"/>
              </w:rPr>
            </w:pPr>
            <w:r>
              <w:rPr>
                <w:rFonts w:ascii="Arial" w:cs="Arial" w:eastAsia="Arial" w:hAnsi="Arial"/>
                <w:sz w:val="16"/>
                <w:szCs w:val="16"/>
                <w:color w:val="auto"/>
              </w:rPr>
              <w:t>$</w:t>
            </w:r>
          </w:p>
        </w:tc>
        <w:tc>
          <w:tcPr>
            <w:tcW w:w="1080" w:type="dxa"/>
            <w:vAlign w:val="bottom"/>
          </w:tcPr>
          <w:p>
            <w:pPr>
              <w:jc w:val="right"/>
              <w:ind w:right="99"/>
              <w:spacing w:after="0"/>
              <w:rPr>
                <w:sz w:val="20"/>
                <w:szCs w:val="20"/>
                <w:color w:val="auto"/>
              </w:rPr>
            </w:pPr>
            <w:r>
              <w:rPr>
                <w:rFonts w:ascii="Arial" w:cs="Arial" w:eastAsia="Arial" w:hAnsi="Arial"/>
                <w:sz w:val="16"/>
                <w:szCs w:val="16"/>
                <w:color w:val="auto"/>
              </w:rPr>
              <w:t>430</w:t>
            </w:r>
          </w:p>
        </w:tc>
      </w:tr>
      <w:tr>
        <w:trPr>
          <w:trHeight w:val="278"/>
        </w:trPr>
        <w:tc>
          <w:tcPr>
            <w:tcW w:w="4720" w:type="dxa"/>
            <w:vAlign w:val="bottom"/>
            <w:shd w:val="clear" w:color="auto" w:fill="CCEEFF"/>
          </w:tcPr>
          <w:p>
            <w:pPr>
              <w:ind w:left="40"/>
              <w:spacing w:after="0"/>
              <w:rPr>
                <w:sz w:val="20"/>
                <w:szCs w:val="20"/>
                <w:color w:val="auto"/>
              </w:rPr>
            </w:pPr>
            <w:r>
              <w:rPr>
                <w:rFonts w:ascii="Arial" w:cs="Arial" w:eastAsia="Arial" w:hAnsi="Arial"/>
                <w:sz w:val="16"/>
                <w:szCs w:val="16"/>
                <w:color w:val="auto"/>
              </w:rPr>
              <w:t>Adjusted net (loss) income*</w:t>
            </w:r>
          </w:p>
        </w:tc>
        <w:tc>
          <w:tcPr>
            <w:tcW w:w="1040" w:type="dxa"/>
            <w:vAlign w:val="bottom"/>
            <w:shd w:val="clear" w:color="auto" w:fill="CCEEFF"/>
          </w:tcPr>
          <w:p>
            <w:pPr>
              <w:jc w:val="right"/>
              <w:ind w:right="839"/>
              <w:spacing w:after="0"/>
              <w:rPr>
                <w:sz w:val="20"/>
                <w:szCs w:val="20"/>
                <w:color w:val="auto"/>
              </w:rPr>
            </w:pPr>
            <w:r>
              <w:rPr>
                <w:rFonts w:ascii="Arial" w:cs="Arial" w:eastAsia="Arial" w:hAnsi="Arial"/>
                <w:sz w:val="16"/>
                <w:szCs w:val="16"/>
                <w:color w:val="auto"/>
              </w:rPr>
              <w:t>$</w:t>
            </w:r>
          </w:p>
        </w:tc>
        <w:tc>
          <w:tcPr>
            <w:tcW w:w="68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(93)</w:t>
            </w:r>
          </w:p>
        </w:tc>
        <w:tc>
          <w:tcPr>
            <w:tcW w:w="44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24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47</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(235)</w:t>
            </w:r>
          </w:p>
        </w:tc>
        <w:tc>
          <w:tcPr>
            <w:tcW w:w="48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w:t>
            </w:r>
          </w:p>
        </w:tc>
        <w:tc>
          <w:tcPr>
            <w:tcW w:w="10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114</w:t>
            </w:r>
          </w:p>
        </w:tc>
      </w:tr>
      <w:tr>
        <w:trPr>
          <w:trHeight w:val="255"/>
        </w:trPr>
        <w:tc>
          <w:tcPr>
            <w:tcW w:w="4720" w:type="dxa"/>
            <w:vAlign w:val="bottom"/>
          </w:tcPr>
          <w:p>
            <w:pPr>
              <w:ind w:left="40"/>
              <w:spacing w:after="0"/>
              <w:rPr>
                <w:sz w:val="20"/>
                <w:szCs w:val="20"/>
                <w:color w:val="auto"/>
              </w:rPr>
            </w:pPr>
            <w:r>
              <w:rPr>
                <w:rFonts w:ascii="Arial" w:cs="Arial" w:eastAsia="Arial" w:hAnsi="Arial"/>
                <w:sz w:val="16"/>
                <w:szCs w:val="16"/>
                <w:color w:val="auto"/>
              </w:rPr>
              <w:t>Adjusted net (loss) income per diluted share*</w:t>
            </w:r>
          </w:p>
        </w:tc>
        <w:tc>
          <w:tcPr>
            <w:tcW w:w="1040" w:type="dxa"/>
            <w:vAlign w:val="bottom"/>
          </w:tcPr>
          <w:p>
            <w:pPr>
              <w:jc w:val="right"/>
              <w:ind w:right="839"/>
              <w:spacing w:after="0"/>
              <w:rPr>
                <w:sz w:val="20"/>
                <w:szCs w:val="20"/>
                <w:color w:val="auto"/>
              </w:rPr>
            </w:pPr>
            <w:r>
              <w:rPr>
                <w:rFonts w:ascii="Arial" w:cs="Arial" w:eastAsia="Arial" w:hAnsi="Arial"/>
                <w:sz w:val="16"/>
                <w:szCs w:val="16"/>
                <w:color w:val="auto"/>
              </w:rPr>
              <w:t>$</w:t>
            </w:r>
          </w:p>
        </w:tc>
        <w:tc>
          <w:tcPr>
            <w:tcW w:w="680" w:type="dxa"/>
            <w:vAlign w:val="bottom"/>
          </w:tcPr>
          <w:p>
            <w:pPr>
              <w:jc w:val="right"/>
              <w:ind w:right="139"/>
              <w:spacing w:after="0"/>
              <w:rPr>
                <w:sz w:val="20"/>
                <w:szCs w:val="20"/>
                <w:color w:val="auto"/>
              </w:rPr>
            </w:pPr>
            <w:r>
              <w:rPr>
                <w:rFonts w:ascii="Arial" w:cs="Arial" w:eastAsia="Arial" w:hAnsi="Arial"/>
                <w:sz w:val="16"/>
                <w:szCs w:val="16"/>
                <w:color w:val="auto"/>
              </w:rPr>
              <w:t>(1.62)</w:t>
            </w:r>
          </w:p>
        </w:tc>
        <w:tc>
          <w:tcPr>
            <w:tcW w:w="44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1240" w:type="dxa"/>
            <w:vAlign w:val="bottom"/>
          </w:tcPr>
          <w:p>
            <w:pPr>
              <w:jc w:val="right"/>
              <w:ind w:right="99"/>
              <w:spacing w:after="0"/>
              <w:rPr>
                <w:sz w:val="20"/>
                <w:szCs w:val="20"/>
                <w:color w:val="auto"/>
              </w:rPr>
            </w:pPr>
            <w:r>
              <w:rPr>
                <w:rFonts w:ascii="Arial" w:cs="Arial" w:eastAsia="Arial" w:hAnsi="Arial"/>
                <w:sz w:val="16"/>
                <w:szCs w:val="16"/>
                <w:color w:val="auto"/>
              </w:rPr>
              <w:t>0.85</w:t>
            </w:r>
          </w:p>
        </w:tc>
        <w:tc>
          <w:tcPr>
            <w:tcW w:w="120" w:type="dxa"/>
            <w:vAlign w:val="bottom"/>
          </w:tcPr>
          <w:p>
            <w:pPr>
              <w:spacing w:after="0"/>
              <w:rPr>
                <w:sz w:val="22"/>
                <w:szCs w:val="22"/>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440" w:type="dxa"/>
            <w:vAlign w:val="bottom"/>
          </w:tcPr>
          <w:p>
            <w:pPr>
              <w:jc w:val="right"/>
              <w:ind w:right="159"/>
              <w:spacing w:after="0"/>
              <w:rPr>
                <w:sz w:val="20"/>
                <w:szCs w:val="20"/>
                <w:color w:val="auto"/>
              </w:rPr>
            </w:pPr>
            <w:r>
              <w:rPr>
                <w:rFonts w:ascii="Arial" w:cs="Arial" w:eastAsia="Arial" w:hAnsi="Arial"/>
                <w:sz w:val="16"/>
                <w:szCs w:val="16"/>
                <w:color w:val="auto"/>
              </w:rPr>
              <w:t>(4.17)</w:t>
            </w:r>
          </w:p>
        </w:tc>
        <w:tc>
          <w:tcPr>
            <w:tcW w:w="480" w:type="dxa"/>
            <w:vAlign w:val="bottom"/>
          </w:tcPr>
          <w:p>
            <w:pPr>
              <w:jc w:val="right"/>
              <w:ind w:right="239"/>
              <w:spacing w:after="0"/>
              <w:rPr>
                <w:sz w:val="20"/>
                <w:szCs w:val="20"/>
                <w:color w:val="auto"/>
              </w:rPr>
            </w:pPr>
            <w:r>
              <w:rPr>
                <w:rFonts w:ascii="Arial" w:cs="Arial" w:eastAsia="Arial" w:hAnsi="Arial"/>
                <w:sz w:val="16"/>
                <w:szCs w:val="16"/>
                <w:color w:val="auto"/>
              </w:rPr>
              <w:t>$</w:t>
            </w:r>
          </w:p>
        </w:tc>
        <w:tc>
          <w:tcPr>
            <w:tcW w:w="1080" w:type="dxa"/>
            <w:vAlign w:val="bottom"/>
          </w:tcPr>
          <w:p>
            <w:pPr>
              <w:jc w:val="right"/>
              <w:ind w:right="99"/>
              <w:spacing w:after="0"/>
              <w:rPr>
                <w:sz w:val="20"/>
                <w:szCs w:val="20"/>
                <w:color w:val="auto"/>
              </w:rPr>
            </w:pPr>
            <w:r>
              <w:rPr>
                <w:rFonts w:ascii="Arial" w:cs="Arial" w:eastAsia="Arial" w:hAnsi="Arial"/>
                <w:sz w:val="16"/>
                <w:szCs w:val="16"/>
                <w:color w:val="auto"/>
              </w:rPr>
              <w:t>2.03</w:t>
            </w:r>
          </w:p>
        </w:tc>
      </w:tr>
    </w:tbl>
    <w:p>
      <w:pPr>
        <w:spacing w:after="0" w:line="101"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w:t>
      </w:r>
    </w:p>
    <w:p>
      <w:pPr>
        <w:spacing w:after="0" w:line="122" w:lineRule="exact"/>
        <w:rPr>
          <w:sz w:val="20"/>
          <w:szCs w:val="20"/>
          <w:color w:val="auto"/>
        </w:rPr>
      </w:pPr>
    </w:p>
    <w:p>
      <w:pPr>
        <w:ind w:left="340" w:hanging="332"/>
        <w:spacing w:after="0" w:line="259" w:lineRule="auto"/>
        <w:tabs>
          <w:tab w:leader="none" w:pos="340" w:val="left"/>
        </w:tabs>
        <w:numPr>
          <w:ilvl w:val="0"/>
          <w:numId w:val="12"/>
        </w:numPr>
        <w:rPr>
          <w:rFonts w:ascii="Arial" w:cs="Arial" w:eastAsia="Arial" w:hAnsi="Arial"/>
          <w:sz w:val="16"/>
          <w:szCs w:val="16"/>
          <w:color w:val="auto"/>
        </w:rPr>
      </w:pPr>
      <w:r>
        <w:rPr>
          <w:rFonts w:ascii="Arial" w:cs="Arial" w:eastAsia="Arial" w:hAnsi="Arial"/>
          <w:sz w:val="16"/>
          <w:szCs w:val="16"/>
          <w:color w:val="auto"/>
        </w:rPr>
        <w:t>MCR represents medical care costs as a percentage of premium revenue; premium tax ratio represents premium tax expenses as a percentage of premium revenue plus premium tax revenue.</w:t>
      </w:r>
    </w:p>
    <w:p>
      <w:pPr>
        <w:spacing w:after="0" w:line="1" w:lineRule="exact"/>
        <w:rPr>
          <w:rFonts w:ascii="Arial" w:cs="Arial" w:eastAsia="Arial" w:hAnsi="Arial"/>
          <w:sz w:val="16"/>
          <w:szCs w:val="16"/>
          <w:color w:val="auto"/>
        </w:rPr>
      </w:pPr>
    </w:p>
    <w:p>
      <w:pPr>
        <w:ind w:left="340" w:hanging="332"/>
        <w:spacing w:after="0" w:line="265" w:lineRule="auto"/>
        <w:tabs>
          <w:tab w:leader="none" w:pos="340" w:val="left"/>
        </w:tabs>
        <w:numPr>
          <w:ilvl w:val="0"/>
          <w:numId w:val="12"/>
        </w:numPr>
        <w:rPr>
          <w:rFonts w:ascii="Arial" w:cs="Arial" w:eastAsia="Arial" w:hAnsi="Arial"/>
          <w:sz w:val="16"/>
          <w:szCs w:val="16"/>
          <w:color w:val="auto"/>
        </w:rPr>
      </w:pPr>
      <w:r>
        <w:rPr>
          <w:rFonts w:ascii="Arial" w:cs="Arial" w:eastAsia="Arial" w:hAnsi="Arial"/>
          <w:sz w:val="16"/>
          <w:szCs w:val="16"/>
          <w:color w:val="auto"/>
        </w:rPr>
        <w:t>G&amp;A ratio represents general and administrative expenses as a percentage of total revenue. Net profit margin represents net income as a percentage of total revenue.</w:t>
      </w: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Arial" w:cs="Arial" w:eastAsia="Arial" w:hAnsi="Arial"/>
          <w:sz w:val="36"/>
          <w:szCs w:val="36"/>
          <w:b w:val="1"/>
          <w:bCs w:val="1"/>
          <w:color w:val="0F7C7F"/>
        </w:rPr>
        <w:t>CONSOLIDATED RESULTS</w:t>
      </w: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Three Months Ended September 30, 2017 Compared with Three Months Ended September 30, 2016</w:t>
      </w:r>
    </w:p>
    <w:p>
      <w:pPr>
        <w:spacing w:after="0" w:line="225" w:lineRule="exact"/>
        <w:rPr>
          <w:sz w:val="20"/>
          <w:szCs w:val="20"/>
          <w:color w:val="auto"/>
        </w:rPr>
      </w:pPr>
    </w:p>
    <w:p>
      <w:pPr>
        <w:jc w:val="both"/>
        <w:ind w:right="340"/>
        <w:spacing w:after="0" w:line="271" w:lineRule="auto"/>
        <w:rPr>
          <w:sz w:val="20"/>
          <w:szCs w:val="20"/>
          <w:color w:val="auto"/>
        </w:rPr>
      </w:pPr>
      <w:r>
        <w:rPr>
          <w:rFonts w:ascii="Arial" w:cs="Arial" w:eastAsia="Arial" w:hAnsi="Arial"/>
          <w:sz w:val="18"/>
          <w:szCs w:val="18"/>
          <w:color w:val="auto"/>
        </w:rPr>
        <w:t>Net loss per diluted share was $1.70 for the third quarter of 2017 compared with net income per diluted share of $0.76 reported for the third quarter of 2016. Adjusted net loss per diluted share* was $1.62 in the third quarter of 2017, compared with adjusted net income per diluted share* of $0.85 in the third quarter of 2016. Loss before income tax benefit for the third quarter of 2017 was $113 million.</w:t>
      </w:r>
    </w:p>
    <w:p>
      <w:pPr>
        <w:spacing w:after="0" w:line="29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Molina Healthcare, Inc. 2017 Form 10-Q | 41</w:t>
      </w:r>
    </w:p>
    <w:p>
      <w:pPr>
        <w:sectPr>
          <w:pgSz w:w="11900" w:h="16838" w:orient="portrait"/>
          <w:cols w:equalWidth="0" w:num="1">
            <w:col w:w="11420"/>
          </w:cols>
          <w:pgMar w:left="240" w:top="116" w:right="239" w:bottom="1440" w:gutter="0" w:footer="0" w:header="0"/>
        </w:sectPr>
      </w:pPr>
    </w:p>
    <w:bookmarkStart w:id="41" w:name="page42"/>
    <w:bookmarkEnd w:id="4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61" w:lineRule="exact"/>
        <w:rPr>
          <w:sz w:val="20"/>
          <w:szCs w:val="20"/>
          <w:color w:val="auto"/>
        </w:rPr>
      </w:pPr>
    </w:p>
    <w:p>
      <w:pPr>
        <w:ind w:left="660" w:right="60" w:hanging="328"/>
        <w:spacing w:after="0" w:line="271"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Medical care costs measured as a percentage of premium revenue (the “medical care ratio”) declined to 88.3% in the third quarter of 2017 from 89.4% in the third quarter of 2016 and from 94.8% in the second quarter of 2017. Improved medical cost performance in the third quarter of 2017 was the result of:</w:t>
      </w:r>
    </w:p>
    <w:p>
      <w:pPr>
        <w:spacing w:after="0" w:line="163" w:lineRule="exact"/>
        <w:rPr>
          <w:rFonts w:ascii="Arial" w:cs="Arial" w:eastAsia="Arial" w:hAnsi="Arial"/>
          <w:sz w:val="18"/>
          <w:szCs w:val="18"/>
          <w:color w:val="auto"/>
        </w:rPr>
      </w:pPr>
    </w:p>
    <w:p>
      <w:pPr>
        <w:ind w:left="1300" w:right="740" w:hanging="320"/>
        <w:spacing w:after="0" w:line="292" w:lineRule="auto"/>
        <w:tabs>
          <w:tab w:leader="none" w:pos="1300" w:val="left"/>
        </w:tabs>
        <w:numPr>
          <w:ilvl w:val="1"/>
          <w:numId w:val="13"/>
        </w:numPr>
        <w:rPr>
          <w:rFonts w:ascii="Arial" w:cs="Arial" w:eastAsia="Arial" w:hAnsi="Arial"/>
          <w:sz w:val="18"/>
          <w:szCs w:val="18"/>
          <w:color w:val="auto"/>
        </w:rPr>
      </w:pPr>
      <w:r>
        <w:rPr>
          <w:rFonts w:ascii="Arial" w:cs="Arial" w:eastAsia="Arial" w:hAnsi="Arial"/>
          <w:sz w:val="18"/>
          <w:szCs w:val="18"/>
          <w:color w:val="auto"/>
        </w:rPr>
        <w:t>Improved sequential performance at our Illinois, New Mexico, Ohio, Puerto Rico, Texas, and Washington health plans, exclusive of the Marketplace program.</w:t>
      </w:r>
    </w:p>
    <w:p>
      <w:pPr>
        <w:spacing w:after="0" w:line="144" w:lineRule="exact"/>
        <w:rPr>
          <w:rFonts w:ascii="Arial" w:cs="Arial" w:eastAsia="Arial" w:hAnsi="Arial"/>
          <w:sz w:val="18"/>
          <w:szCs w:val="18"/>
          <w:color w:val="auto"/>
        </w:rPr>
      </w:pPr>
    </w:p>
    <w:p>
      <w:pPr>
        <w:jc w:val="both"/>
        <w:ind w:left="1300" w:right="440" w:hanging="320"/>
        <w:spacing w:after="0" w:line="271" w:lineRule="auto"/>
        <w:tabs>
          <w:tab w:leader="none" w:pos="1300" w:val="left"/>
        </w:tabs>
        <w:numPr>
          <w:ilvl w:val="1"/>
          <w:numId w:val="13"/>
        </w:numPr>
        <w:rPr>
          <w:rFonts w:ascii="Arial" w:cs="Arial" w:eastAsia="Arial" w:hAnsi="Arial"/>
          <w:sz w:val="18"/>
          <w:szCs w:val="18"/>
          <w:color w:val="auto"/>
        </w:rPr>
      </w:pPr>
      <w:r>
        <w:rPr>
          <w:rFonts w:ascii="Arial" w:cs="Arial" w:eastAsia="Arial" w:hAnsi="Arial"/>
          <w:sz w:val="18"/>
          <w:szCs w:val="18"/>
          <w:color w:val="auto"/>
        </w:rPr>
        <w:t>Improved performance of our Marketplace program, including a reduction to the premium deficiency reserve of $30 million ($0.33 per diluted share, net of tax). The reserve, which was $100 million at June 30, 2017, decreased to $70 million as of September 30, 2017.</w:t>
      </w:r>
    </w:p>
    <w:p>
      <w:pPr>
        <w:spacing w:after="0" w:line="163" w:lineRule="exact"/>
        <w:rPr>
          <w:rFonts w:ascii="Arial" w:cs="Arial" w:eastAsia="Arial" w:hAnsi="Arial"/>
          <w:sz w:val="18"/>
          <w:szCs w:val="18"/>
          <w:color w:val="auto"/>
        </w:rPr>
      </w:pPr>
    </w:p>
    <w:p>
      <w:pPr>
        <w:ind w:left="660" w:right="280" w:hanging="328"/>
        <w:spacing w:after="0" w:line="264"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General and administrative costs, measured as a percentage of total revenue (the “administrative cost ratio”), were 7.6% in the third quarter of 2017, consistent with the third quarter of 2016, and 50 basis points lower than the second quarter of 2017. Excluding Marketplace broker commission and exchange fees, the administrative cost ratio decreased 30 basis points from the third quarter of 2016.</w:t>
      </w:r>
    </w:p>
    <w:p>
      <w:pPr>
        <w:spacing w:after="0" w:line="62" w:lineRule="exact"/>
        <w:rPr>
          <w:sz w:val="20"/>
          <w:szCs w:val="20"/>
          <w:color w:val="auto"/>
        </w:rPr>
      </w:pPr>
    </w:p>
    <w:p>
      <w:pPr>
        <w:ind w:right="220"/>
        <w:spacing w:after="0" w:line="292" w:lineRule="auto"/>
        <w:rPr>
          <w:sz w:val="20"/>
          <w:szCs w:val="20"/>
          <w:color w:val="auto"/>
        </w:rPr>
      </w:pPr>
      <w:r>
        <w:rPr>
          <w:rFonts w:ascii="Arial" w:cs="Arial" w:eastAsia="Arial" w:hAnsi="Arial"/>
          <w:sz w:val="18"/>
          <w:szCs w:val="18"/>
          <w:color w:val="auto"/>
        </w:rPr>
        <w:t>Restructuring costs and the impairment of certain purchased intangible assets increased loss before income tax benefit in the third quarter of 2017 by approximately $247 million. Specifically:</w:t>
      </w:r>
    </w:p>
    <w:p>
      <w:pPr>
        <w:spacing w:after="0" w:line="145" w:lineRule="exact"/>
        <w:rPr>
          <w:sz w:val="20"/>
          <w:szCs w:val="20"/>
          <w:color w:val="auto"/>
        </w:rPr>
      </w:pPr>
    </w:p>
    <w:p>
      <w:pPr>
        <w:jc w:val="both"/>
        <w:ind w:left="660" w:right="340" w:hanging="328"/>
        <w:spacing w:after="0" w:line="271"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We recorded $118 million ($1.39 per diluted share, net of tax) of restructuring costs in the third quarter of 2017. Restructuring costs incurred to date consist primarily of termination benefits, write-offs of capitalized software due to the re-design of our core operating processes, restructuring of our direct delivery operations, and consulting fees.</w:t>
      </w:r>
    </w:p>
    <w:p>
      <w:pPr>
        <w:spacing w:after="0" w:line="163" w:lineRule="exact"/>
        <w:rPr>
          <w:rFonts w:ascii="Arial" w:cs="Arial" w:eastAsia="Arial" w:hAnsi="Arial"/>
          <w:sz w:val="18"/>
          <w:szCs w:val="18"/>
          <w:color w:val="auto"/>
        </w:rPr>
      </w:pPr>
    </w:p>
    <w:p>
      <w:pPr>
        <w:ind w:left="660" w:hanging="328"/>
        <w:spacing w:after="0" w:line="264"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We recorded $129 million ($1.77 per diluted share, net of tax) in non-cash goodwill impairment losses for our Pathways behavioral health subsidiary and our Molina Medicaid Solutions (MMS) segment. In the third quarter of 2017, management determined that neither business will provide future benefits relating to the integration of their operations with the Health Plans segment to the extent previously expected.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summarizes the impact of certain items significant to our financial performance in the periods presented.</w:t>
      </w:r>
    </w:p>
    <w:p>
      <w:pPr>
        <w:spacing w:after="0" w:line="38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360" w:type="dxa"/>
            <w:vAlign w:val="bottom"/>
            <w:gridSpan w:val="9"/>
          </w:tcPr>
          <w:p>
            <w:pPr>
              <w:ind w:left="3300"/>
              <w:spacing w:after="0"/>
              <w:rPr>
                <w:sz w:val="20"/>
                <w:szCs w:val="20"/>
                <w:color w:val="auto"/>
              </w:rPr>
            </w:pPr>
            <w:r>
              <w:rPr>
                <w:rFonts w:ascii="Arial" w:cs="Arial" w:eastAsia="Arial" w:hAnsi="Arial"/>
                <w:sz w:val="16"/>
                <w:szCs w:val="16"/>
                <w:b w:val="1"/>
                <w:bCs w:val="1"/>
                <w:color w:val="auto"/>
              </w:rPr>
              <w:t>Summary of Significant Items Affecting 2017 Financial Results</w:t>
            </w:r>
          </w:p>
        </w:tc>
        <w:tc>
          <w:tcPr>
            <w:tcW w:w="2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97"/>
        </w:trPr>
        <w:tc>
          <w:tcPr>
            <w:tcW w:w="3300" w:type="dxa"/>
            <w:vAlign w:val="bottom"/>
          </w:tcPr>
          <w:p>
            <w:pPr>
              <w:spacing w:after="0"/>
              <w:rPr>
                <w:sz w:val="24"/>
                <w:szCs w:val="24"/>
                <w:color w:val="auto"/>
              </w:rPr>
            </w:pPr>
          </w:p>
        </w:tc>
        <w:tc>
          <w:tcPr>
            <w:tcW w:w="1860" w:type="dxa"/>
            <w:vAlign w:val="bottom"/>
            <w:tcBorders>
              <w:top w:val="single" w:sz="8" w:color="auto"/>
            </w:tcBorders>
          </w:tcPr>
          <w:p>
            <w:pPr>
              <w:spacing w:after="0"/>
              <w:rPr>
                <w:sz w:val="24"/>
                <w:szCs w:val="24"/>
                <w:color w:val="auto"/>
              </w:rPr>
            </w:pPr>
          </w:p>
        </w:tc>
        <w:tc>
          <w:tcPr>
            <w:tcW w:w="2520" w:type="dxa"/>
            <w:vAlign w:val="bottom"/>
            <w:tcBorders>
              <w:top w:val="single" w:sz="8" w:color="auto"/>
            </w:tcBorders>
            <w:gridSpan w:val="4"/>
          </w:tcPr>
          <w:p>
            <w:pPr>
              <w:jc w:val="right"/>
              <w:ind w:right="86"/>
              <w:spacing w:after="0"/>
              <w:rPr>
                <w:sz w:val="20"/>
                <w:szCs w:val="20"/>
                <w:color w:val="auto"/>
              </w:rPr>
            </w:pPr>
            <w:r>
              <w:rPr>
                <w:rFonts w:ascii="Arial" w:cs="Arial" w:eastAsia="Arial" w:hAnsi="Arial"/>
                <w:sz w:val="16"/>
                <w:szCs w:val="16"/>
                <w:b w:val="1"/>
                <w:bCs w:val="1"/>
                <w:color w:val="auto"/>
              </w:rPr>
              <w:t>Three Months Ended</w:t>
            </w:r>
          </w:p>
        </w:tc>
        <w:tc>
          <w:tcPr>
            <w:tcW w:w="440" w:type="dxa"/>
            <w:vAlign w:val="bottom"/>
            <w:tcBorders>
              <w:top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780" w:type="dxa"/>
            <w:vAlign w:val="bottom"/>
            <w:gridSpan w:val="4"/>
          </w:tcPr>
          <w:p>
            <w:pPr>
              <w:jc w:val="right"/>
              <w:ind w:right="683"/>
              <w:spacing w:after="0"/>
              <w:rPr>
                <w:sz w:val="20"/>
                <w:szCs w:val="20"/>
                <w:color w:val="auto"/>
              </w:rPr>
            </w:pPr>
            <w:r>
              <w:rPr>
                <w:rFonts w:ascii="Arial" w:cs="Arial" w:eastAsia="Arial" w:hAnsi="Arial"/>
                <w:sz w:val="16"/>
                <w:szCs w:val="16"/>
                <w:b w:val="1"/>
                <w:bCs w:val="1"/>
                <w:color w:val="auto"/>
              </w:rPr>
              <w:t>Nine Months Ended</w:t>
            </w:r>
          </w:p>
        </w:tc>
        <w:tc>
          <w:tcPr>
            <w:tcW w:w="0" w:type="dxa"/>
            <w:vAlign w:val="bottom"/>
          </w:tcPr>
          <w:p>
            <w:pPr>
              <w:spacing w:after="0"/>
              <w:rPr>
                <w:sz w:val="1"/>
                <w:szCs w:val="1"/>
                <w:color w:val="auto"/>
              </w:rPr>
            </w:pPr>
          </w:p>
        </w:tc>
      </w:tr>
      <w:tr>
        <w:trPr>
          <w:trHeight w:val="274"/>
        </w:trPr>
        <w:tc>
          <w:tcPr>
            <w:tcW w:w="3300" w:type="dxa"/>
            <w:vAlign w:val="bottom"/>
          </w:tcPr>
          <w:p>
            <w:pPr>
              <w:spacing w:after="0"/>
              <w:rPr>
                <w:sz w:val="23"/>
                <w:szCs w:val="23"/>
                <w:color w:val="auto"/>
              </w:rPr>
            </w:pPr>
          </w:p>
        </w:tc>
        <w:tc>
          <w:tcPr>
            <w:tcW w:w="1860" w:type="dxa"/>
            <w:vAlign w:val="bottom"/>
          </w:tcPr>
          <w:p>
            <w:pPr>
              <w:spacing w:after="0"/>
              <w:rPr>
                <w:sz w:val="23"/>
                <w:szCs w:val="23"/>
                <w:color w:val="auto"/>
              </w:rPr>
            </w:pPr>
          </w:p>
        </w:tc>
        <w:tc>
          <w:tcPr>
            <w:tcW w:w="2520" w:type="dxa"/>
            <w:vAlign w:val="bottom"/>
            <w:tcBorders>
              <w:bottom w:val="single" w:sz="8" w:color="auto"/>
            </w:tcBorders>
            <w:gridSpan w:val="4"/>
          </w:tcPr>
          <w:p>
            <w:pPr>
              <w:jc w:val="right"/>
              <w:ind w:right="126"/>
              <w:spacing w:after="0"/>
              <w:rPr>
                <w:sz w:val="20"/>
                <w:szCs w:val="20"/>
                <w:color w:val="auto"/>
              </w:rPr>
            </w:pPr>
            <w:r>
              <w:rPr>
                <w:rFonts w:ascii="Arial" w:cs="Arial" w:eastAsia="Arial" w:hAnsi="Arial"/>
                <w:sz w:val="16"/>
                <w:szCs w:val="16"/>
                <w:b w:val="1"/>
                <w:bCs w:val="1"/>
                <w:color w:val="auto"/>
              </w:rPr>
              <w:t>September 30, 2017</w:t>
            </w:r>
          </w:p>
        </w:tc>
        <w:tc>
          <w:tcPr>
            <w:tcW w:w="440" w:type="dxa"/>
            <w:vAlign w:val="bottom"/>
            <w:tcBorders>
              <w:bottom w:val="single" w:sz="8" w:color="auto"/>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2780" w:type="dxa"/>
            <w:vAlign w:val="bottom"/>
            <w:tcBorders>
              <w:bottom w:val="single" w:sz="8" w:color="auto"/>
            </w:tcBorders>
            <w:gridSpan w:val="4"/>
          </w:tcPr>
          <w:p>
            <w:pPr>
              <w:jc w:val="right"/>
              <w:ind w:right="683"/>
              <w:spacing w:after="0"/>
              <w:rPr>
                <w:sz w:val="20"/>
                <w:szCs w:val="20"/>
                <w:color w:val="auto"/>
              </w:rPr>
            </w:pPr>
            <w:r>
              <w:rPr>
                <w:rFonts w:ascii="Arial" w:cs="Arial" w:eastAsia="Arial" w:hAnsi="Arial"/>
                <w:sz w:val="16"/>
                <w:szCs w:val="16"/>
                <w:b w:val="1"/>
                <w:bCs w:val="1"/>
                <w:color w:val="auto"/>
              </w:rPr>
              <w:t>September 30, 2017</w:t>
            </w:r>
          </w:p>
        </w:tc>
        <w:tc>
          <w:tcPr>
            <w:tcW w:w="0" w:type="dxa"/>
            <w:vAlign w:val="bottom"/>
          </w:tcPr>
          <w:p>
            <w:pPr>
              <w:spacing w:after="0"/>
              <w:rPr>
                <w:sz w:val="1"/>
                <w:szCs w:val="1"/>
                <w:color w:val="auto"/>
              </w:rPr>
            </w:pPr>
          </w:p>
        </w:tc>
      </w:tr>
      <w:tr>
        <w:trPr>
          <w:trHeight w:val="246"/>
        </w:trPr>
        <w:tc>
          <w:tcPr>
            <w:tcW w:w="3300" w:type="dxa"/>
            <w:vAlign w:val="bottom"/>
          </w:tcPr>
          <w:p>
            <w:pPr>
              <w:spacing w:after="0"/>
              <w:rPr>
                <w:sz w:val="21"/>
                <w:szCs w:val="21"/>
                <w:color w:val="auto"/>
              </w:rPr>
            </w:pPr>
          </w:p>
        </w:tc>
        <w:tc>
          <w:tcPr>
            <w:tcW w:w="18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4120" w:type="dxa"/>
            <w:vAlign w:val="bottom"/>
            <w:gridSpan w:val="10"/>
          </w:tcPr>
          <w:p>
            <w:pPr>
              <w:jc w:val="right"/>
              <w:ind w:right="179"/>
              <w:spacing w:after="0"/>
              <w:rPr>
                <w:sz w:val="20"/>
                <w:szCs w:val="20"/>
                <w:color w:val="auto"/>
              </w:rPr>
            </w:pPr>
            <w:r>
              <w:rPr>
                <w:rFonts w:ascii="Arial" w:cs="Arial" w:eastAsia="Arial" w:hAnsi="Arial"/>
                <w:sz w:val="16"/>
                <w:szCs w:val="16"/>
                <w:b w:val="1"/>
                <w:bCs w:val="1"/>
                <w:i w:val="1"/>
                <w:iCs w:val="1"/>
                <w:color w:val="auto"/>
              </w:rPr>
              <w:t>(In millions, except per diluted share amounts)</w:t>
            </w:r>
          </w:p>
        </w:tc>
        <w:tc>
          <w:tcPr>
            <w:tcW w:w="10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6"/>
        </w:trPr>
        <w:tc>
          <w:tcPr>
            <w:tcW w:w="330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108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Amount</w:t>
            </w:r>
          </w:p>
        </w:tc>
        <w:tc>
          <w:tcPr>
            <w:tcW w:w="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80" w:type="dxa"/>
            <w:vAlign w:val="bottom"/>
            <w:gridSpan w:val="4"/>
          </w:tcPr>
          <w:p>
            <w:pPr>
              <w:ind w:left="60"/>
              <w:spacing w:after="0"/>
              <w:rPr>
                <w:sz w:val="20"/>
                <w:szCs w:val="20"/>
                <w:color w:val="auto"/>
              </w:rPr>
            </w:pPr>
            <w:r>
              <w:rPr>
                <w:rFonts w:ascii="Arial" w:cs="Arial" w:eastAsia="Arial" w:hAnsi="Arial"/>
                <w:sz w:val="16"/>
                <w:szCs w:val="16"/>
                <w:b w:val="1"/>
                <w:bCs w:val="1"/>
                <w:color w:val="auto"/>
              </w:rPr>
              <w:t>Per Diluted Share</w:t>
            </w:r>
          </w:p>
        </w:tc>
        <w:tc>
          <w:tcPr>
            <w:tcW w:w="280" w:type="dxa"/>
            <w:vAlign w:val="bottom"/>
          </w:tcPr>
          <w:p>
            <w:pPr>
              <w:spacing w:after="0"/>
              <w:rPr>
                <w:sz w:val="17"/>
                <w:szCs w:val="17"/>
                <w:color w:val="auto"/>
              </w:rPr>
            </w:pPr>
          </w:p>
        </w:tc>
        <w:tc>
          <w:tcPr>
            <w:tcW w:w="1300" w:type="dxa"/>
            <w:vAlign w:val="bottom"/>
            <w:gridSpan w:val="2"/>
            <w:vMerge w:val="restart"/>
          </w:tcPr>
          <w:p>
            <w:pPr>
              <w:ind w:left="160"/>
              <w:spacing w:after="0"/>
              <w:rPr>
                <w:sz w:val="20"/>
                <w:szCs w:val="20"/>
                <w:color w:val="auto"/>
              </w:rPr>
            </w:pPr>
            <w:r>
              <w:rPr>
                <w:rFonts w:ascii="Arial" w:cs="Arial" w:eastAsia="Arial" w:hAnsi="Arial"/>
                <w:sz w:val="16"/>
                <w:szCs w:val="16"/>
                <w:b w:val="1"/>
                <w:bCs w:val="1"/>
                <w:color w:val="auto"/>
              </w:rPr>
              <w:t>Amount</w:t>
            </w:r>
          </w:p>
        </w:tc>
        <w:tc>
          <w:tcPr>
            <w:tcW w:w="1480" w:type="dxa"/>
            <w:vAlign w:val="bottom"/>
            <w:gridSpan w:val="2"/>
          </w:tcPr>
          <w:p>
            <w:pPr>
              <w:jc w:val="right"/>
              <w:spacing w:after="0"/>
              <w:rPr>
                <w:sz w:val="20"/>
                <w:szCs w:val="20"/>
                <w:color w:val="auto"/>
              </w:rPr>
            </w:pPr>
            <w:r>
              <w:rPr>
                <w:rFonts w:ascii="Arial" w:cs="Arial" w:eastAsia="Arial" w:hAnsi="Arial"/>
                <w:sz w:val="16"/>
                <w:szCs w:val="16"/>
                <w:b w:val="1"/>
                <w:bCs w:val="1"/>
                <w:color w:val="auto"/>
              </w:rPr>
              <w:t>Per Diluted Share</w:t>
            </w:r>
          </w:p>
        </w:tc>
        <w:tc>
          <w:tcPr>
            <w:tcW w:w="0" w:type="dxa"/>
            <w:vAlign w:val="bottom"/>
          </w:tcPr>
          <w:p>
            <w:pPr>
              <w:spacing w:after="0"/>
              <w:rPr>
                <w:sz w:val="1"/>
                <w:szCs w:val="1"/>
                <w:color w:val="auto"/>
              </w:rPr>
            </w:pPr>
          </w:p>
        </w:tc>
      </w:tr>
      <w:tr>
        <w:trPr>
          <w:trHeight w:val="162"/>
        </w:trPr>
        <w:tc>
          <w:tcPr>
            <w:tcW w:w="330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1080" w:type="dxa"/>
            <w:vAlign w:val="bottom"/>
            <w:vMerge w:val="continue"/>
          </w:tcPr>
          <w:p>
            <w:pPr>
              <w:spacing w:after="0"/>
              <w:rPr>
                <w:sz w:val="14"/>
                <w:szCs w:val="14"/>
                <w:color w:val="auto"/>
              </w:rPr>
            </w:pPr>
          </w:p>
        </w:tc>
        <w:tc>
          <w:tcPr>
            <w:tcW w:w="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jc w:val="right"/>
              <w:ind w:right="26"/>
              <w:spacing w:after="0"/>
              <w:rPr>
                <w:sz w:val="20"/>
                <w:szCs w:val="20"/>
                <w:color w:val="auto"/>
              </w:rPr>
            </w:pPr>
            <w:r>
              <w:rPr>
                <w:rFonts w:ascii="Arial" w:cs="Arial" w:eastAsia="Arial" w:hAnsi="Arial"/>
                <w:sz w:val="11"/>
                <w:szCs w:val="11"/>
                <w:b w:val="1"/>
                <w:bCs w:val="1"/>
                <w:color w:val="auto"/>
              </w:rPr>
              <w:t>(1)</w:t>
            </w:r>
          </w:p>
        </w:tc>
        <w:tc>
          <w:tcPr>
            <w:tcW w:w="4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00" w:type="dxa"/>
            <w:vAlign w:val="bottom"/>
            <w:gridSpan w:val="2"/>
            <w:vMerge w:val="continue"/>
          </w:tcPr>
          <w:p>
            <w:pPr>
              <w:spacing w:after="0"/>
              <w:rPr>
                <w:sz w:val="14"/>
                <w:szCs w:val="14"/>
                <w:color w:val="auto"/>
              </w:rPr>
            </w:pPr>
          </w:p>
        </w:tc>
        <w:tc>
          <w:tcPr>
            <w:tcW w:w="420" w:type="dxa"/>
            <w:vAlign w:val="bottom"/>
          </w:tcPr>
          <w:p>
            <w:pPr>
              <w:spacing w:after="0"/>
              <w:rPr>
                <w:sz w:val="14"/>
                <w:szCs w:val="14"/>
                <w:color w:val="auto"/>
              </w:rPr>
            </w:pPr>
          </w:p>
        </w:tc>
        <w:tc>
          <w:tcPr>
            <w:tcW w:w="1060" w:type="dxa"/>
            <w:vAlign w:val="bottom"/>
          </w:tcPr>
          <w:p>
            <w:pPr>
              <w:jc w:val="right"/>
              <w:ind w:right="583"/>
              <w:spacing w:after="0"/>
              <w:rPr>
                <w:sz w:val="20"/>
                <w:szCs w:val="20"/>
                <w:color w:val="auto"/>
              </w:rPr>
            </w:pPr>
            <w:r>
              <w:rPr>
                <w:rFonts w:ascii="Arial" w:cs="Arial" w:eastAsia="Arial" w:hAnsi="Arial"/>
                <w:sz w:val="11"/>
                <w:szCs w:val="11"/>
                <w:b w:val="1"/>
                <w:bCs w:val="1"/>
                <w:color w:val="auto"/>
              </w:rPr>
              <w:t>(1)</w:t>
            </w:r>
          </w:p>
        </w:tc>
        <w:tc>
          <w:tcPr>
            <w:tcW w:w="0" w:type="dxa"/>
            <w:vAlign w:val="bottom"/>
          </w:tcPr>
          <w:p>
            <w:pPr>
              <w:spacing w:after="0"/>
              <w:rPr>
                <w:sz w:val="1"/>
                <w:szCs w:val="1"/>
                <w:color w:val="auto"/>
              </w:rPr>
            </w:pPr>
          </w:p>
        </w:tc>
      </w:tr>
      <w:tr>
        <w:trPr>
          <w:trHeight w:val="254"/>
        </w:trPr>
        <w:tc>
          <w:tcPr>
            <w:tcW w:w="5160" w:type="dxa"/>
            <w:vAlign w:val="bottom"/>
            <w:tcBorders>
              <w:top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Restructuring and separation costs</w:t>
            </w:r>
          </w:p>
        </w:tc>
        <w:tc>
          <w:tcPr>
            <w:tcW w:w="1080" w:type="dxa"/>
            <w:vAlign w:val="bottom"/>
            <w:tcBorders>
              <w:top w:val="single" w:sz="8" w:color="auto"/>
            </w:tcBorders>
            <w:shd w:val="clear" w:color="auto" w:fill="CCEEFF"/>
          </w:tcPr>
          <w:p>
            <w:pPr>
              <w:jc w:val="right"/>
              <w:ind w:right="879"/>
              <w:spacing w:after="0"/>
              <w:rPr>
                <w:sz w:val="20"/>
                <w:szCs w:val="20"/>
                <w:color w:val="auto"/>
              </w:rPr>
            </w:pPr>
            <w:r>
              <w:rPr>
                <w:rFonts w:ascii="Arial" w:cs="Arial" w:eastAsia="Arial" w:hAnsi="Arial"/>
                <w:sz w:val="16"/>
                <w:szCs w:val="16"/>
                <w:color w:val="auto"/>
              </w:rPr>
              <w:t>$</w:t>
            </w:r>
          </w:p>
        </w:tc>
        <w:tc>
          <w:tcPr>
            <w:tcW w:w="420" w:type="dxa"/>
            <w:vAlign w:val="bottom"/>
            <w:tcBorders>
              <w:top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118</w:t>
            </w:r>
          </w:p>
        </w:tc>
        <w:tc>
          <w:tcPr>
            <w:tcW w:w="120" w:type="dxa"/>
            <w:vAlign w:val="bottom"/>
            <w:tcBorders>
              <w:top w:val="single" w:sz="8" w:color="CCEEFF"/>
            </w:tcBorders>
            <w:shd w:val="clear" w:color="auto" w:fill="CCEEFF"/>
          </w:tcPr>
          <w:p>
            <w:pPr>
              <w:spacing w:after="0"/>
              <w:rPr>
                <w:sz w:val="22"/>
                <w:szCs w:val="22"/>
                <w:color w:val="auto"/>
              </w:rPr>
            </w:pPr>
          </w:p>
        </w:tc>
        <w:tc>
          <w:tcPr>
            <w:tcW w:w="900" w:type="dxa"/>
            <w:vAlign w:val="bottom"/>
            <w:tcBorders>
              <w:top w:val="single" w:sz="8" w:color="auto"/>
            </w:tcBorders>
            <w:shd w:val="clear" w:color="auto" w:fill="CCEEFF"/>
          </w:tcPr>
          <w:p>
            <w:pPr>
              <w:jc w:val="right"/>
              <w:ind w:right="706"/>
              <w:spacing w:after="0"/>
              <w:rPr>
                <w:sz w:val="20"/>
                <w:szCs w:val="20"/>
                <w:color w:val="auto"/>
              </w:rPr>
            </w:pPr>
            <w:r>
              <w:rPr>
                <w:rFonts w:ascii="Arial" w:cs="Arial" w:eastAsia="Arial" w:hAnsi="Arial"/>
                <w:sz w:val="16"/>
                <w:szCs w:val="16"/>
                <w:color w:val="auto"/>
              </w:rPr>
              <w:t>$</w:t>
            </w:r>
          </w:p>
        </w:tc>
        <w:tc>
          <w:tcPr>
            <w:tcW w:w="580" w:type="dxa"/>
            <w:vAlign w:val="bottom"/>
            <w:tcBorders>
              <w:top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1.39</w:t>
            </w:r>
          </w:p>
        </w:tc>
        <w:tc>
          <w:tcPr>
            <w:tcW w:w="100" w:type="dxa"/>
            <w:vAlign w:val="bottom"/>
            <w:tcBorders>
              <w:top w:val="single" w:sz="8" w:color="CCEEFF"/>
            </w:tcBorders>
            <w:shd w:val="clear" w:color="auto" w:fill="CCEEFF"/>
          </w:tcPr>
          <w:p>
            <w:pPr>
              <w:spacing w:after="0"/>
              <w:rPr>
                <w:sz w:val="22"/>
                <w:szCs w:val="22"/>
                <w:color w:val="auto"/>
              </w:rPr>
            </w:pPr>
          </w:p>
        </w:tc>
        <w:tc>
          <w:tcPr>
            <w:tcW w:w="280" w:type="dxa"/>
            <w:vAlign w:val="bottom"/>
            <w:tcBorders>
              <w:top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20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161</w:t>
            </w:r>
          </w:p>
        </w:tc>
        <w:tc>
          <w:tcPr>
            <w:tcW w:w="100" w:type="dxa"/>
            <w:vAlign w:val="bottom"/>
            <w:tcBorders>
              <w:top w:val="single" w:sz="8" w:color="CCEEFF"/>
            </w:tcBorders>
            <w:shd w:val="clear" w:color="auto" w:fill="CCEEFF"/>
          </w:tcPr>
          <w:p>
            <w:pPr>
              <w:spacing w:after="0"/>
              <w:rPr>
                <w:sz w:val="22"/>
                <w:szCs w:val="22"/>
                <w:color w:val="auto"/>
              </w:rPr>
            </w:pPr>
          </w:p>
        </w:tc>
        <w:tc>
          <w:tcPr>
            <w:tcW w:w="420" w:type="dxa"/>
            <w:vAlign w:val="bottom"/>
            <w:tcBorders>
              <w:top w:val="single" w:sz="8" w:color="auto"/>
            </w:tcBorders>
            <w:shd w:val="clear" w:color="auto" w:fill="CCEEFF"/>
          </w:tcPr>
          <w:p>
            <w:pPr>
              <w:jc w:val="right"/>
              <w:ind w:right="219"/>
              <w:spacing w:after="0"/>
              <w:rPr>
                <w:sz w:val="20"/>
                <w:szCs w:val="20"/>
                <w:color w:val="auto"/>
              </w:rPr>
            </w:pPr>
            <w:r>
              <w:rPr>
                <w:rFonts w:ascii="Arial" w:cs="Arial" w:eastAsia="Arial" w:hAnsi="Arial"/>
                <w:sz w:val="16"/>
                <w:szCs w:val="16"/>
                <w:color w:val="auto"/>
              </w:rPr>
              <w:t>$</w:t>
            </w:r>
          </w:p>
        </w:tc>
        <w:tc>
          <w:tcPr>
            <w:tcW w:w="1060" w:type="dxa"/>
            <w:vAlign w:val="bottom"/>
            <w:tcBorders>
              <w:top w:val="single" w:sz="8" w:color="auto"/>
            </w:tcBorders>
            <w:shd w:val="clear" w:color="auto" w:fill="CCEEFF"/>
          </w:tcPr>
          <w:p>
            <w:pPr>
              <w:jc w:val="right"/>
              <w:ind w:right="23"/>
              <w:spacing w:after="0"/>
              <w:rPr>
                <w:sz w:val="20"/>
                <w:szCs w:val="20"/>
                <w:color w:val="auto"/>
              </w:rPr>
            </w:pPr>
            <w:r>
              <w:rPr>
                <w:rFonts w:ascii="Arial" w:cs="Arial" w:eastAsia="Arial" w:hAnsi="Arial"/>
                <w:sz w:val="16"/>
                <w:szCs w:val="16"/>
                <w:color w:val="auto"/>
              </w:rPr>
              <w:t>1.92</w:t>
            </w:r>
          </w:p>
        </w:tc>
        <w:tc>
          <w:tcPr>
            <w:tcW w:w="0" w:type="dxa"/>
            <w:vAlign w:val="bottom"/>
          </w:tcPr>
          <w:p>
            <w:pPr>
              <w:spacing w:after="0"/>
              <w:rPr>
                <w:sz w:val="1"/>
                <w:szCs w:val="1"/>
                <w:color w:val="auto"/>
              </w:rPr>
            </w:pPr>
          </w:p>
        </w:tc>
      </w:tr>
      <w:tr>
        <w:trPr>
          <w:trHeight w:val="262"/>
        </w:trPr>
        <w:tc>
          <w:tcPr>
            <w:tcW w:w="5160" w:type="dxa"/>
            <w:vAlign w:val="bottom"/>
            <w:gridSpan w:val="2"/>
          </w:tcPr>
          <w:p>
            <w:pPr>
              <w:ind w:left="40"/>
              <w:spacing w:after="0"/>
              <w:rPr>
                <w:sz w:val="20"/>
                <w:szCs w:val="20"/>
                <w:color w:val="auto"/>
              </w:rPr>
            </w:pPr>
            <w:r>
              <w:rPr>
                <w:rFonts w:ascii="Arial" w:cs="Arial" w:eastAsia="Arial" w:hAnsi="Arial"/>
                <w:sz w:val="16"/>
                <w:szCs w:val="16"/>
                <w:color w:val="auto"/>
              </w:rPr>
              <w:t>Impairment losses</w:t>
            </w:r>
          </w:p>
        </w:tc>
        <w:tc>
          <w:tcPr>
            <w:tcW w:w="1080" w:type="dxa"/>
            <w:vAlign w:val="bottom"/>
          </w:tcPr>
          <w:p>
            <w:pPr>
              <w:spacing w:after="0"/>
              <w:rPr>
                <w:sz w:val="22"/>
                <w:szCs w:val="22"/>
                <w:color w:val="auto"/>
              </w:rPr>
            </w:pPr>
          </w:p>
        </w:tc>
        <w:tc>
          <w:tcPr>
            <w:tcW w:w="420" w:type="dxa"/>
            <w:vAlign w:val="bottom"/>
          </w:tcPr>
          <w:p>
            <w:pPr>
              <w:jc w:val="right"/>
              <w:ind w:right="39"/>
              <w:spacing w:after="0"/>
              <w:rPr>
                <w:sz w:val="20"/>
                <w:szCs w:val="20"/>
                <w:color w:val="auto"/>
              </w:rPr>
            </w:pPr>
            <w:r>
              <w:rPr>
                <w:rFonts w:ascii="Arial" w:cs="Arial" w:eastAsia="Arial" w:hAnsi="Arial"/>
                <w:sz w:val="16"/>
                <w:szCs w:val="16"/>
                <w:color w:val="auto"/>
              </w:rPr>
              <w:t>129</w:t>
            </w:r>
          </w:p>
        </w:tc>
        <w:tc>
          <w:tcPr>
            <w:tcW w:w="1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6"/>
                <w:szCs w:val="16"/>
                <w:color w:val="auto"/>
              </w:rPr>
              <w:t>1.77</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201</w:t>
            </w:r>
          </w:p>
        </w:tc>
        <w:tc>
          <w:tcPr>
            <w:tcW w:w="1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060" w:type="dxa"/>
            <w:vAlign w:val="bottom"/>
          </w:tcPr>
          <w:p>
            <w:pPr>
              <w:jc w:val="right"/>
              <w:ind w:right="23"/>
              <w:spacing w:after="0"/>
              <w:rPr>
                <w:sz w:val="20"/>
                <w:szCs w:val="20"/>
                <w:color w:val="auto"/>
              </w:rPr>
            </w:pPr>
            <w:r>
              <w:rPr>
                <w:rFonts w:ascii="Arial" w:cs="Arial" w:eastAsia="Arial" w:hAnsi="Arial"/>
                <w:sz w:val="16"/>
                <w:szCs w:val="16"/>
                <w:color w:val="auto"/>
              </w:rPr>
              <w:t>2.77</w:t>
            </w:r>
          </w:p>
        </w:tc>
        <w:tc>
          <w:tcPr>
            <w:tcW w:w="0" w:type="dxa"/>
            <w:vAlign w:val="bottom"/>
          </w:tcPr>
          <w:p>
            <w:pPr>
              <w:spacing w:after="0"/>
              <w:rPr>
                <w:sz w:val="1"/>
                <w:szCs w:val="1"/>
                <w:color w:val="auto"/>
              </w:rPr>
            </w:pPr>
          </w:p>
        </w:tc>
      </w:tr>
      <w:tr>
        <w:trPr>
          <w:trHeight w:val="206"/>
        </w:trPr>
        <w:tc>
          <w:tcPr>
            <w:tcW w:w="516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Change in Marketplace premium deficiency reserve for 2017 service</w:t>
            </w:r>
          </w:p>
        </w:tc>
        <w:tc>
          <w:tcPr>
            <w:tcW w:w="10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516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dates</w:t>
            </w:r>
          </w:p>
        </w:tc>
        <w:tc>
          <w:tcPr>
            <w:tcW w:w="1080" w:type="dxa"/>
            <w:vAlign w:val="bottom"/>
            <w:shd w:val="clear" w:color="auto" w:fill="CCEEFF"/>
          </w:tcPr>
          <w:p>
            <w:pPr>
              <w:spacing w:after="0"/>
              <w:rPr>
                <w:sz w:val="20"/>
                <w:szCs w:val="20"/>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w:t>
            </w:r>
          </w:p>
        </w:tc>
        <w:tc>
          <w:tcPr>
            <w:tcW w:w="12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(0.33)</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40</w:t>
            </w:r>
          </w:p>
        </w:tc>
        <w:tc>
          <w:tcPr>
            <w:tcW w:w="10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1060" w:type="dxa"/>
            <w:vAlign w:val="bottom"/>
            <w:shd w:val="clear" w:color="auto" w:fill="CCEEFF"/>
          </w:tcPr>
          <w:p>
            <w:pPr>
              <w:jc w:val="right"/>
              <w:ind w:right="23"/>
              <w:spacing w:after="0"/>
              <w:rPr>
                <w:sz w:val="20"/>
                <w:szCs w:val="20"/>
                <w:color w:val="auto"/>
              </w:rPr>
            </w:pPr>
            <w:r>
              <w:rPr>
                <w:rFonts w:ascii="Arial" w:cs="Arial" w:eastAsia="Arial" w:hAnsi="Arial"/>
                <w:sz w:val="16"/>
                <w:szCs w:val="16"/>
                <w:color w:val="auto"/>
              </w:rPr>
              <w:t>0.45</w:t>
            </w:r>
          </w:p>
        </w:tc>
        <w:tc>
          <w:tcPr>
            <w:tcW w:w="0" w:type="dxa"/>
            <w:vAlign w:val="bottom"/>
          </w:tcPr>
          <w:p>
            <w:pPr>
              <w:spacing w:after="0"/>
              <w:rPr>
                <w:sz w:val="1"/>
                <w:szCs w:val="1"/>
                <w:color w:val="auto"/>
              </w:rPr>
            </w:pPr>
          </w:p>
        </w:tc>
      </w:tr>
      <w:tr>
        <w:trPr>
          <w:trHeight w:val="264"/>
        </w:trPr>
        <w:tc>
          <w:tcPr>
            <w:tcW w:w="5160" w:type="dxa"/>
            <w:vAlign w:val="bottom"/>
            <w:gridSpan w:val="2"/>
          </w:tcPr>
          <w:p>
            <w:pPr>
              <w:ind w:left="40"/>
              <w:spacing w:after="0"/>
              <w:rPr>
                <w:sz w:val="20"/>
                <w:szCs w:val="20"/>
                <w:color w:val="auto"/>
              </w:rPr>
            </w:pPr>
            <w:r>
              <w:rPr>
                <w:rFonts w:ascii="Arial" w:cs="Arial" w:eastAsia="Arial" w:hAnsi="Arial"/>
                <w:sz w:val="16"/>
                <w:szCs w:val="16"/>
                <w:color w:val="auto"/>
              </w:rPr>
              <w:t>Termination fee received for terminated Medicare acquisition</w:t>
            </w:r>
          </w:p>
        </w:tc>
        <w:tc>
          <w:tcPr>
            <w:tcW w:w="1080" w:type="dxa"/>
            <w:vAlign w:val="bottom"/>
          </w:tcPr>
          <w:p>
            <w:pPr>
              <w:spacing w:after="0"/>
              <w:rPr>
                <w:sz w:val="22"/>
                <w:szCs w:val="22"/>
                <w:color w:val="auto"/>
              </w:rPr>
            </w:pPr>
          </w:p>
        </w:tc>
        <w:tc>
          <w:tcPr>
            <w:tcW w:w="5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900" w:type="dxa"/>
            <w:vAlign w:val="bottom"/>
          </w:tcPr>
          <w:p>
            <w:pPr>
              <w:spacing w:after="0"/>
              <w:rPr>
                <w:sz w:val="22"/>
                <w:szCs w:val="22"/>
                <w:color w:val="auto"/>
              </w:rPr>
            </w:pPr>
          </w:p>
        </w:tc>
        <w:tc>
          <w:tcPr>
            <w:tcW w:w="680" w:type="dxa"/>
            <w:vAlign w:val="bottom"/>
            <w:gridSpan w:val="3"/>
          </w:tcPr>
          <w:p>
            <w:pPr>
              <w:jc w:val="right"/>
              <w:ind w:right="20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(75)</w:t>
            </w:r>
          </w:p>
        </w:tc>
        <w:tc>
          <w:tcPr>
            <w:tcW w:w="1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(0.84)</w:t>
            </w:r>
          </w:p>
        </w:tc>
        <w:tc>
          <w:tcPr>
            <w:tcW w:w="0" w:type="dxa"/>
            <w:vAlign w:val="bottom"/>
          </w:tcPr>
          <w:p>
            <w:pPr>
              <w:spacing w:after="0"/>
              <w:rPr>
                <w:sz w:val="1"/>
                <w:szCs w:val="1"/>
                <w:color w:val="auto"/>
              </w:rPr>
            </w:pPr>
          </w:p>
        </w:tc>
      </w:tr>
      <w:tr>
        <w:trPr>
          <w:trHeight w:val="237"/>
        </w:trPr>
        <w:tc>
          <w:tcPr>
            <w:tcW w:w="3300" w:type="dxa"/>
            <w:vAlign w:val="bottom"/>
            <w:tcBorders>
              <w:top w:val="single" w:sz="8" w:color="CCEEFF"/>
              <w:bottom w:val="single" w:sz="8" w:color="CCEEFF"/>
            </w:tcBorders>
            <w:shd w:val="clear" w:color="auto" w:fill="CCEEFF"/>
          </w:tcPr>
          <w:p>
            <w:pPr>
              <w:spacing w:after="0"/>
              <w:rPr>
                <w:sz w:val="20"/>
                <w:szCs w:val="20"/>
                <w:color w:val="auto"/>
              </w:rPr>
            </w:pPr>
          </w:p>
        </w:tc>
        <w:tc>
          <w:tcPr>
            <w:tcW w:w="1860" w:type="dxa"/>
            <w:vAlign w:val="bottom"/>
            <w:tcBorders>
              <w:top w:val="single" w:sz="8" w:color="CCEEFF"/>
              <w:bottom w:val="single" w:sz="8" w:color="CCEEFF"/>
            </w:tcBorders>
            <w:shd w:val="clear" w:color="auto" w:fill="CCEEFF"/>
          </w:tcPr>
          <w:p>
            <w:pPr>
              <w:spacing w:after="0"/>
              <w:rPr>
                <w:sz w:val="20"/>
                <w:szCs w:val="20"/>
                <w:color w:val="auto"/>
              </w:rPr>
            </w:pPr>
          </w:p>
        </w:tc>
        <w:tc>
          <w:tcPr>
            <w:tcW w:w="1080" w:type="dxa"/>
            <w:vAlign w:val="bottom"/>
            <w:tcBorders>
              <w:top w:val="single" w:sz="8" w:color="auto"/>
              <w:bottom w:val="single" w:sz="8" w:color="auto"/>
            </w:tcBorders>
            <w:shd w:val="clear" w:color="auto" w:fill="CCEEFF"/>
          </w:tcPr>
          <w:p>
            <w:pPr>
              <w:jc w:val="right"/>
              <w:ind w:right="879"/>
              <w:spacing w:after="0"/>
              <w:rPr>
                <w:sz w:val="20"/>
                <w:szCs w:val="20"/>
                <w:color w:val="auto"/>
              </w:rPr>
            </w:pPr>
            <w:r>
              <w:rPr>
                <w:rFonts w:ascii="Arial" w:cs="Arial" w:eastAsia="Arial" w:hAnsi="Arial"/>
                <w:sz w:val="16"/>
                <w:szCs w:val="16"/>
                <w:color w:val="auto"/>
              </w:rPr>
              <w:t>$</w:t>
            </w:r>
          </w:p>
        </w:tc>
        <w:tc>
          <w:tcPr>
            <w:tcW w:w="420" w:type="dxa"/>
            <w:vAlign w:val="bottom"/>
            <w:tcBorders>
              <w:top w:val="single" w:sz="8" w:color="auto"/>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217</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900" w:type="dxa"/>
            <w:vAlign w:val="bottom"/>
            <w:tcBorders>
              <w:top w:val="single" w:sz="8" w:color="auto"/>
              <w:bottom w:val="single" w:sz="8" w:color="auto"/>
            </w:tcBorders>
            <w:shd w:val="clear" w:color="auto" w:fill="CCEEFF"/>
          </w:tcPr>
          <w:p>
            <w:pPr>
              <w:jc w:val="right"/>
              <w:ind w:right="706"/>
              <w:spacing w:after="0"/>
              <w:rPr>
                <w:sz w:val="20"/>
                <w:szCs w:val="20"/>
                <w:color w:val="auto"/>
              </w:rPr>
            </w:pPr>
            <w:r>
              <w:rPr>
                <w:rFonts w:ascii="Arial" w:cs="Arial" w:eastAsia="Arial" w:hAnsi="Arial"/>
                <w:sz w:val="16"/>
                <w:szCs w:val="16"/>
                <w:color w:val="auto"/>
              </w:rPr>
              <w:t>$</w:t>
            </w:r>
          </w:p>
        </w:tc>
        <w:tc>
          <w:tcPr>
            <w:tcW w:w="580" w:type="dxa"/>
            <w:vAlign w:val="bottom"/>
            <w:tcBorders>
              <w:top w:val="single" w:sz="8" w:color="auto"/>
              <w:bottom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2.83</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80" w:type="dxa"/>
            <w:vAlign w:val="bottom"/>
            <w:tcBorders>
              <w:top w:val="single" w:sz="8" w:color="auto"/>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20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327</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420" w:type="dxa"/>
            <w:vAlign w:val="bottom"/>
            <w:tcBorders>
              <w:top w:val="single" w:sz="8" w:color="auto"/>
              <w:bottom w:val="single" w:sz="8" w:color="auto"/>
            </w:tcBorders>
            <w:shd w:val="clear" w:color="auto" w:fill="CCEEFF"/>
          </w:tcPr>
          <w:p>
            <w:pPr>
              <w:jc w:val="right"/>
              <w:ind w:right="219"/>
              <w:spacing w:after="0"/>
              <w:rPr>
                <w:sz w:val="20"/>
                <w:szCs w:val="20"/>
                <w:color w:val="auto"/>
              </w:rPr>
            </w:pPr>
            <w:r>
              <w:rPr>
                <w:rFonts w:ascii="Arial" w:cs="Arial" w:eastAsia="Arial" w:hAnsi="Arial"/>
                <w:sz w:val="16"/>
                <w:szCs w:val="16"/>
                <w:color w:val="auto"/>
              </w:rPr>
              <w:t>$</w:t>
            </w:r>
          </w:p>
        </w:tc>
        <w:tc>
          <w:tcPr>
            <w:tcW w:w="1060" w:type="dxa"/>
            <w:vAlign w:val="bottom"/>
            <w:tcBorders>
              <w:top w:val="single" w:sz="8" w:color="auto"/>
              <w:bottom w:val="single" w:sz="8" w:color="auto"/>
            </w:tcBorders>
            <w:shd w:val="clear" w:color="auto" w:fill="CCEEFF"/>
          </w:tcPr>
          <w:p>
            <w:pPr>
              <w:jc w:val="right"/>
              <w:ind w:right="23"/>
              <w:spacing w:after="0"/>
              <w:rPr>
                <w:sz w:val="20"/>
                <w:szCs w:val="20"/>
                <w:color w:val="auto"/>
              </w:rPr>
            </w:pPr>
            <w:r>
              <w:rPr>
                <w:rFonts w:ascii="Arial" w:cs="Arial" w:eastAsia="Arial" w:hAnsi="Arial"/>
                <w:sz w:val="16"/>
                <w:szCs w:val="16"/>
                <w:color w:val="auto"/>
              </w:rPr>
              <w:t>4.30</w:t>
            </w:r>
          </w:p>
        </w:tc>
        <w:tc>
          <w:tcPr>
            <w:tcW w:w="0" w:type="dxa"/>
            <w:vAlign w:val="bottom"/>
          </w:tcPr>
          <w:p>
            <w:pPr>
              <w:spacing w:after="0"/>
              <w:rPr>
                <w:sz w:val="1"/>
                <w:szCs w:val="1"/>
                <w:color w:val="auto"/>
              </w:rPr>
            </w:pPr>
          </w:p>
        </w:tc>
      </w:tr>
      <w:tr>
        <w:trPr>
          <w:trHeight w:val="20"/>
        </w:trPr>
        <w:tc>
          <w:tcPr>
            <w:tcW w:w="3300" w:type="dxa"/>
            <w:vAlign w:val="bottom"/>
            <w:vMerge w:val="restart"/>
          </w:tcPr>
          <w:p>
            <w:pPr>
              <w:spacing w:after="0"/>
              <w:rPr>
                <w:sz w:val="20"/>
                <w:szCs w:val="20"/>
                <w:color w:val="auto"/>
              </w:rPr>
            </w:pPr>
            <w:r>
              <w:rPr>
                <w:rFonts w:ascii="Arial" w:cs="Arial" w:eastAsia="Arial" w:hAnsi="Arial"/>
                <w:sz w:val="18"/>
                <w:szCs w:val="18"/>
                <w:color w:val="auto"/>
              </w:rPr>
              <w:t>________________________</w:t>
            </w:r>
          </w:p>
        </w:tc>
        <w:tc>
          <w:tcPr>
            <w:tcW w:w="1860" w:type="dxa"/>
            <w:vAlign w:val="bottom"/>
            <w:vMerge w:val="restart"/>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3300" w:type="dxa"/>
            <w:vAlign w:val="bottom"/>
            <w:vMerge w:val="continue"/>
          </w:tcPr>
          <w:p>
            <w:pPr>
              <w:spacing w:after="0"/>
              <w:rPr>
                <w:sz w:val="18"/>
                <w:szCs w:val="18"/>
                <w:color w:val="auto"/>
              </w:rPr>
            </w:pPr>
          </w:p>
        </w:tc>
        <w:tc>
          <w:tcPr>
            <w:tcW w:w="1860" w:type="dxa"/>
            <w:vAlign w:val="bottom"/>
            <w:vMerge w:val="continue"/>
          </w:tcPr>
          <w:p>
            <w:pPr>
              <w:spacing w:after="0"/>
              <w:rPr>
                <w:sz w:val="18"/>
                <w:szCs w:val="18"/>
                <w:color w:val="auto"/>
              </w:rPr>
            </w:pPr>
          </w:p>
        </w:tc>
        <w:tc>
          <w:tcPr>
            <w:tcW w:w="10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8" w:lineRule="exact"/>
        <w:rPr>
          <w:sz w:val="20"/>
          <w:szCs w:val="20"/>
          <w:color w:val="auto"/>
        </w:rPr>
      </w:pPr>
    </w:p>
    <w:p>
      <w:pPr>
        <w:ind w:left="340" w:right="360" w:hanging="332"/>
        <w:spacing w:after="0" w:line="297" w:lineRule="auto"/>
        <w:tabs>
          <w:tab w:leader="none" w:pos="340" w:val="left"/>
        </w:tabs>
        <w:numPr>
          <w:ilvl w:val="0"/>
          <w:numId w:val="15"/>
        </w:numPr>
        <w:rPr>
          <w:rFonts w:ascii="Arial" w:cs="Arial" w:eastAsia="Arial" w:hAnsi="Arial"/>
          <w:sz w:val="18"/>
          <w:szCs w:val="18"/>
          <w:color w:val="auto"/>
        </w:rPr>
      </w:pPr>
      <w:r>
        <w:rPr>
          <w:rFonts w:ascii="Arial" w:cs="Arial" w:eastAsia="Arial" w:hAnsi="Arial"/>
          <w:sz w:val="16"/>
          <w:szCs w:val="16"/>
          <w:color w:val="auto"/>
        </w:rPr>
        <w:t>Except for certain items that are not deductible for tax purposes, per diluted share amounts are generally calculated at our statutory income tax rate of 37%, which is in excess of the effective tax rate recorded in our consolidated statements of operations.</w:t>
      </w:r>
    </w:p>
    <w:p>
      <w:pPr>
        <w:spacing w:after="0" w:line="3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Marketplace Cost Share Reduction (CSR) Update</w:t>
      </w:r>
    </w:p>
    <w:p>
      <w:pPr>
        <w:spacing w:after="0" w:line="119" w:lineRule="exact"/>
        <w:rPr>
          <w:sz w:val="20"/>
          <w:szCs w:val="20"/>
          <w:color w:val="auto"/>
        </w:rPr>
      </w:pPr>
    </w:p>
    <w:p>
      <w:pPr>
        <w:ind w:right="40"/>
        <w:spacing w:after="0" w:line="260" w:lineRule="auto"/>
        <w:rPr>
          <w:sz w:val="20"/>
          <w:szCs w:val="20"/>
          <w:color w:val="auto"/>
        </w:rPr>
      </w:pPr>
      <w:r>
        <w:rPr>
          <w:rFonts w:ascii="Arial" w:cs="Arial" w:eastAsia="Arial" w:hAnsi="Arial"/>
          <w:sz w:val="18"/>
          <w:szCs w:val="18"/>
          <w:color w:val="auto"/>
        </w:rPr>
        <w:t>Our third quarter results do not include any potential impact from the October 12, 2017, direction to Centers for Medicare and Medicaid Services (CMS) from Acting Department of Health and Human Services Secretary Hargan to cease payment of Marketplace CSR subsidies. At September 30, 2017, we had a total of approximately $220 million in excess CSR subsidies, recorded as a payable to CMS. This payable represents the extent to which payments received by us from CMS exceeded our estimate of the actual cost of member subsidies incurred by us through September 30, 2017.</w:t>
      </w:r>
    </w:p>
    <w:p>
      <w:pPr>
        <w:spacing w:after="0" w:line="175" w:lineRule="exact"/>
        <w:rPr>
          <w:sz w:val="20"/>
          <w:szCs w:val="20"/>
          <w:color w:val="auto"/>
        </w:rPr>
      </w:pPr>
    </w:p>
    <w:p>
      <w:pPr>
        <w:ind w:right="120"/>
        <w:spacing w:after="0" w:line="292" w:lineRule="auto"/>
        <w:rPr>
          <w:sz w:val="20"/>
          <w:szCs w:val="20"/>
          <w:color w:val="auto"/>
        </w:rPr>
      </w:pPr>
      <w:r>
        <w:rPr>
          <w:rFonts w:ascii="Arial" w:cs="Arial" w:eastAsia="Arial" w:hAnsi="Arial"/>
          <w:sz w:val="18"/>
          <w:szCs w:val="18"/>
          <w:color w:val="auto"/>
        </w:rPr>
        <w:t>We expect to incur approximately $85 million in unreimbursed expense associated with the cessation of CSR subsidies in the fourth quarter of 2017. It has been the practice of CMS to perform a reconciliation on an annual</w:t>
      </w:r>
    </w:p>
    <w:p>
      <w:pPr>
        <w:spacing w:after="0" w:line="28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Molina Healthcare, Inc. 2017 Form 10-Q | 42</w:t>
      </w:r>
    </w:p>
    <w:p>
      <w:pPr>
        <w:sectPr>
          <w:pgSz w:w="11900" w:h="16838" w:orient="portrait"/>
          <w:cols w:equalWidth="0" w:num="1">
            <w:col w:w="11420"/>
          </w:cols>
          <w:pgMar w:left="240" w:top="116" w:right="239" w:bottom="1440" w:gutter="0" w:footer="0" w:header="0"/>
        </w:sectPr>
      </w:pPr>
    </w:p>
    <w:bookmarkStart w:id="42" w:name="page43"/>
    <w:bookmarkEnd w:id="4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61" w:lineRule="exact"/>
        <w:rPr>
          <w:sz w:val="20"/>
          <w:szCs w:val="20"/>
          <w:color w:val="auto"/>
        </w:rPr>
      </w:pPr>
    </w:p>
    <w:p>
      <w:pPr>
        <w:ind w:right="360"/>
        <w:spacing w:after="0" w:line="260" w:lineRule="auto"/>
        <w:rPr>
          <w:sz w:val="20"/>
          <w:szCs w:val="20"/>
          <w:color w:val="auto"/>
        </w:rPr>
      </w:pPr>
      <w:r>
        <w:rPr>
          <w:rFonts w:ascii="Arial" w:cs="Arial" w:eastAsia="Arial" w:hAnsi="Arial"/>
          <w:sz w:val="18"/>
          <w:szCs w:val="18"/>
          <w:color w:val="auto"/>
        </w:rPr>
        <w:t>basis of CSR subsidies paid to all health plans against the actual costs incurred by the health plans. Were such a reconciliation to be performed for the full calendar year of 2017—consistent with past practice—we would be able to offset nearly all of the $85 million expense incurred in the fourth quarter against the excess amounts received prior to September 30, 2017. However, should CMS transition to a nine month reconciliation period ending September 30, 2017—the last month for which CSR subsidies have been paid—the absence of CSR subsidy reimbursement would reduce income before income tax expense by approximately $85 million in the fourth quarter of 2017.</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Nine Months ended September 30, 2017 Compared with Nine Months Ended September 30, 2016</w:t>
      </w:r>
    </w:p>
    <w:p>
      <w:pPr>
        <w:spacing w:after="0" w:line="117" w:lineRule="exact"/>
        <w:rPr>
          <w:sz w:val="20"/>
          <w:szCs w:val="20"/>
          <w:color w:val="auto"/>
        </w:rPr>
      </w:pPr>
    </w:p>
    <w:p>
      <w:pPr>
        <w:ind w:right="40"/>
        <w:spacing w:after="0" w:line="258" w:lineRule="auto"/>
        <w:rPr>
          <w:sz w:val="20"/>
          <w:szCs w:val="20"/>
          <w:color w:val="auto"/>
        </w:rPr>
      </w:pPr>
      <w:r>
        <w:rPr>
          <w:rFonts w:ascii="Arial" w:cs="Arial" w:eastAsia="Arial" w:hAnsi="Arial"/>
          <w:sz w:val="18"/>
          <w:szCs w:val="18"/>
          <w:color w:val="auto"/>
        </w:rPr>
        <w:t>Net loss per diluted share was $4.44 in the nine months ended September 30, 2017 compared with net income per diluted share of $1.77 reported for the nine months ended September 30, 2016. Adjusted net loss per diluted share* was $4.17 in the nine months ended September 30, 2017, compared with adjusted net income per diluted share* of $2.03 in the nine months ended September 30, 2016. Loss before income tax benefit for the nine months ended September 30, 2017 was $296 million. Results for the nine months ended September 30, 2017, were affected by the significant items presented in the table, and as further described, above. In total, these adjustments increased pretax loss in the nine months ended September 30, 2017 by $327 million.</w:t>
      </w:r>
    </w:p>
    <w:p>
      <w:pPr>
        <w:spacing w:after="0" w:line="162" w:lineRule="exact"/>
        <w:rPr>
          <w:sz w:val="20"/>
          <w:szCs w:val="20"/>
          <w:color w:val="auto"/>
        </w:rPr>
      </w:pPr>
    </w:p>
    <w:p>
      <w:pPr>
        <w:spacing w:after="0"/>
        <w:rPr>
          <w:sz w:val="20"/>
          <w:szCs w:val="20"/>
          <w:color w:val="auto"/>
        </w:rPr>
      </w:pPr>
      <w:r>
        <w:rPr>
          <w:rFonts w:ascii="Arial" w:cs="Arial" w:eastAsia="Arial" w:hAnsi="Arial"/>
          <w:sz w:val="36"/>
          <w:szCs w:val="36"/>
          <w:b w:val="1"/>
          <w:bCs w:val="1"/>
          <w:color w:val="0F7C7F"/>
        </w:rPr>
        <w:t>RESTRUCTURING AND PROFIT IMPROVEMENT PLAN UPDATE</w:t>
      </w: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color w:val="auto"/>
        </w:rPr>
        <w:t>As previously disclosed, we estimate that our restructuring plan will reduce annualized run-rate expenses by approximately $300 million to</w:t>
      </w:r>
    </w:p>
    <w:p>
      <w:pPr>
        <w:spacing w:after="0" w:line="31" w:lineRule="exact"/>
        <w:rPr>
          <w:sz w:val="20"/>
          <w:szCs w:val="20"/>
          <w:color w:val="auto"/>
        </w:rPr>
      </w:pPr>
    </w:p>
    <w:p>
      <w:pPr>
        <w:ind w:right="100"/>
        <w:spacing w:after="0" w:line="254" w:lineRule="auto"/>
        <w:rPr>
          <w:sz w:val="20"/>
          <w:szCs w:val="20"/>
          <w:color w:val="auto"/>
        </w:rPr>
      </w:pPr>
      <w:r>
        <w:rPr>
          <w:rFonts w:ascii="Arial" w:cs="Arial" w:eastAsia="Arial" w:hAnsi="Arial"/>
          <w:sz w:val="18"/>
          <w:szCs w:val="18"/>
          <w:color w:val="auto"/>
        </w:rPr>
        <w:t>$400 million when completed by the end of 2018. We have already achieved $200 million of these run-rate reductions on an annualized basis, which will take full effect no later than January 1, 2018. Our third quarter results include approximately $10 million of these reductions. All savings targets discussed in regards to the restructuring plan represent annualized run-rate savings that we expect to achieve during the year following the indicated implementation date. We expect one-time costs associated with the restructuring plan to exceed the benefits realized in 2017 due to the upfront payment of implementation costs and the delayed benefit of full savings until the beginning of 2018.</w:t>
      </w:r>
    </w:p>
    <w:p>
      <w:pPr>
        <w:spacing w:after="0" w:line="56" w:lineRule="exact"/>
        <w:rPr>
          <w:sz w:val="20"/>
          <w:szCs w:val="20"/>
          <w:color w:val="auto"/>
        </w:rPr>
      </w:pPr>
    </w:p>
    <w:p>
      <w:pPr>
        <w:spacing w:after="0"/>
        <w:rPr>
          <w:sz w:val="20"/>
          <w:szCs w:val="20"/>
          <w:color w:val="auto"/>
        </w:rPr>
      </w:pPr>
      <w:r>
        <w:rPr>
          <w:rFonts w:ascii="Arial" w:cs="Arial" w:eastAsia="Arial" w:hAnsi="Arial"/>
          <w:sz w:val="36"/>
          <w:szCs w:val="36"/>
          <w:b w:val="1"/>
          <w:bCs w:val="1"/>
          <w:color w:val="0F7C7F"/>
        </w:rPr>
        <w:t>TRENDS AND UNCERTAINTIES</w:t>
      </w: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ACA and the Marketplace</w:t>
      </w:r>
    </w:p>
    <w:p>
      <w:pPr>
        <w:spacing w:after="0" w:line="225" w:lineRule="exact"/>
        <w:rPr>
          <w:sz w:val="20"/>
          <w:szCs w:val="20"/>
          <w:color w:val="auto"/>
        </w:rPr>
      </w:pPr>
    </w:p>
    <w:p>
      <w:pPr>
        <w:ind w:right="140"/>
        <w:spacing w:after="0" w:line="292" w:lineRule="auto"/>
        <w:rPr>
          <w:sz w:val="20"/>
          <w:szCs w:val="20"/>
          <w:color w:val="auto"/>
        </w:rPr>
      </w:pPr>
      <w:r>
        <w:rPr>
          <w:rFonts w:ascii="Arial" w:cs="Arial" w:eastAsia="Arial" w:hAnsi="Arial"/>
          <w:sz w:val="18"/>
          <w:szCs w:val="18"/>
          <w:color w:val="auto"/>
        </w:rPr>
        <w:t>The future of the Affordable Care Act (ACA) and its underlying programs, including the Marketplace, are subject to substantial uncertainty. We have taken the following steps in regards to our participation in the ACA Marketplace in 2018:</w:t>
      </w:r>
    </w:p>
    <w:p>
      <w:pPr>
        <w:spacing w:after="0" w:line="145" w:lineRule="exact"/>
        <w:rPr>
          <w:sz w:val="20"/>
          <w:szCs w:val="20"/>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As previously announced, we will exit the Utah and Wisconsin ACA Marketplaces effective December 31, 2017.</w:t>
      </w:r>
    </w:p>
    <w:p>
      <w:pPr>
        <w:spacing w:after="0" w:line="117" w:lineRule="exact"/>
        <w:rPr>
          <w:rFonts w:ascii="Arial" w:cs="Arial" w:eastAsia="Arial" w:hAnsi="Arial"/>
          <w:sz w:val="18"/>
          <w:szCs w:val="18"/>
          <w:color w:val="auto"/>
        </w:rPr>
      </w:pPr>
    </w:p>
    <w:p>
      <w:pPr>
        <w:ind w:left="660" w:right="640" w:hanging="328"/>
        <w:spacing w:after="0" w:line="292"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 our remaining Marketplace plans, we are increasing 2018 premiums by 55% to take into account the absence of cost sharing reduction (CSR) subsidies and other risks related to ACA Marketplace uncertainties.</w:t>
      </w:r>
    </w:p>
    <w:p>
      <w:pPr>
        <w:spacing w:after="0" w:line="36"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We have reduced the scope of our 2018 participation in the state of Washington Marketplace.</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We continue to monitor the current political and programmatic developments pertaining to the ACA Marketplace.</w:t>
      </w:r>
    </w:p>
    <w:p>
      <w:pPr>
        <w:spacing w:after="0" w:line="25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Molina Healthcare, Inc. 2017 Form 10-Q | 43</w:t>
      </w:r>
    </w:p>
    <w:p>
      <w:pPr>
        <w:sectPr>
          <w:pgSz w:w="11900" w:h="16838" w:orient="portrait"/>
          <w:cols w:equalWidth="0" w:num="1">
            <w:col w:w="11420"/>
          </w:cols>
          <w:pgMar w:left="240" w:top="116" w:right="239" w:bottom="1440" w:gutter="0" w:footer="0" w:header="0"/>
        </w:sectPr>
      </w:pPr>
    </w:p>
    <w:bookmarkStart w:id="43" w:name="page44"/>
    <w:bookmarkEnd w:id="4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Medicaid Contract Re-Procurement</w:t>
      </w:r>
    </w:p>
    <w:p>
      <w:pPr>
        <w:spacing w:after="0" w:line="225" w:lineRule="exact"/>
        <w:rPr>
          <w:sz w:val="20"/>
          <w:szCs w:val="20"/>
          <w:color w:val="auto"/>
        </w:rPr>
      </w:pPr>
    </w:p>
    <w:p>
      <w:pPr>
        <w:jc w:val="both"/>
        <w:ind w:right="300"/>
        <w:spacing w:after="0" w:line="271" w:lineRule="auto"/>
        <w:rPr>
          <w:sz w:val="20"/>
          <w:szCs w:val="20"/>
          <w:color w:val="auto"/>
        </w:rPr>
      </w:pPr>
      <w:r>
        <w:rPr>
          <w:rFonts w:ascii="Arial" w:cs="Arial" w:eastAsia="Arial" w:hAnsi="Arial"/>
          <w:sz w:val="18"/>
          <w:szCs w:val="18"/>
          <w:color w:val="auto"/>
        </w:rPr>
        <w:t>The following table illustrates Health Plans segment Medicaid contracts scheduled for re-procurement in the near term. While we have been notified of the Medicaid regulators’ intention to re-procure the contracts, the anticipated award dates and effective dates are management’s current best estimates; such dates are subject to change. Premium revenue is stated in millions.</w:t>
      </w:r>
    </w:p>
    <w:p>
      <w:pPr>
        <w:spacing w:after="0" w:line="355"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1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6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rPr>
              <w:t>Premium Revenue</w:t>
            </w: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80" w:type="dxa"/>
            <w:vAlign w:val="bottom"/>
          </w:tcPr>
          <w:p>
            <w:pPr>
              <w:spacing w:after="0"/>
              <w:rPr>
                <w:sz w:val="19"/>
                <w:szCs w:val="19"/>
                <w:color w:val="auto"/>
              </w:rPr>
            </w:pPr>
          </w:p>
        </w:tc>
      </w:tr>
      <w:tr>
        <w:trPr>
          <w:trHeight w:val="274"/>
        </w:trPr>
        <w:tc>
          <w:tcPr>
            <w:tcW w:w="16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3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160" w:type="dxa"/>
            <w:vAlign w:val="bottom"/>
            <w:gridSpan w:val="2"/>
          </w:tcPr>
          <w:p>
            <w:pPr>
              <w:ind w:left="340"/>
              <w:spacing w:after="0"/>
              <w:rPr>
                <w:sz w:val="20"/>
                <w:szCs w:val="20"/>
                <w:color w:val="auto"/>
              </w:rPr>
            </w:pPr>
            <w:r>
              <w:rPr>
                <w:rFonts w:ascii="Arial" w:cs="Arial" w:eastAsia="Arial" w:hAnsi="Arial"/>
                <w:sz w:val="16"/>
                <w:szCs w:val="16"/>
                <w:b w:val="1"/>
                <w:bCs w:val="1"/>
                <w:color w:val="auto"/>
              </w:rPr>
              <w:t>Membership as of</w:t>
            </w:r>
          </w:p>
        </w:tc>
        <w:tc>
          <w:tcPr>
            <w:tcW w:w="220" w:type="dxa"/>
            <w:vAlign w:val="bottom"/>
          </w:tcPr>
          <w:p>
            <w:pPr>
              <w:spacing w:after="0"/>
              <w:rPr>
                <w:sz w:val="23"/>
                <w:szCs w:val="23"/>
                <w:color w:val="auto"/>
              </w:rPr>
            </w:pPr>
          </w:p>
        </w:tc>
        <w:tc>
          <w:tcPr>
            <w:tcW w:w="206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rPr>
              <w:t>Nine Months Ended</w:t>
            </w:r>
          </w:p>
        </w:tc>
        <w:tc>
          <w:tcPr>
            <w:tcW w:w="2820" w:type="dxa"/>
            <w:vAlign w:val="bottom"/>
            <w:tcBorders>
              <w:bottom w:val="single" w:sz="8" w:color="auto"/>
            </w:tcBorders>
            <w:gridSpan w:val="3"/>
          </w:tcPr>
          <w:p>
            <w:pPr>
              <w:ind w:left="960"/>
              <w:spacing w:after="0"/>
              <w:rPr>
                <w:sz w:val="20"/>
                <w:szCs w:val="20"/>
                <w:color w:val="auto"/>
              </w:rPr>
            </w:pPr>
            <w:r>
              <w:rPr>
                <w:rFonts w:ascii="Arial" w:cs="Arial" w:eastAsia="Arial" w:hAnsi="Arial"/>
                <w:sz w:val="16"/>
                <w:szCs w:val="16"/>
                <w:b w:val="1"/>
                <w:bCs w:val="1"/>
                <w:color w:val="auto"/>
              </w:rPr>
              <w:t>Anticipated</w:t>
            </w:r>
          </w:p>
        </w:tc>
      </w:tr>
      <w:tr>
        <w:trPr>
          <w:trHeight w:val="264"/>
        </w:trPr>
        <w:tc>
          <w:tcPr>
            <w:tcW w:w="1620" w:type="dxa"/>
            <w:vAlign w:val="bottom"/>
            <w:tcBorders>
              <w:bottom w:val="single" w:sz="8" w:color="auto"/>
            </w:tcBorders>
          </w:tcPr>
          <w:p>
            <w:pPr>
              <w:ind w:left="140"/>
              <w:spacing w:after="0"/>
              <w:rPr>
                <w:sz w:val="20"/>
                <w:szCs w:val="20"/>
                <w:color w:val="auto"/>
              </w:rPr>
            </w:pPr>
            <w:r>
              <w:rPr>
                <w:rFonts w:ascii="Arial" w:cs="Arial" w:eastAsia="Arial" w:hAnsi="Arial"/>
                <w:sz w:val="16"/>
                <w:szCs w:val="16"/>
                <w:b w:val="1"/>
                <w:bCs w:val="1"/>
                <w:color w:val="auto"/>
              </w:rPr>
              <w:t>State Health Plan</w:t>
            </w:r>
          </w:p>
        </w:tc>
        <w:tc>
          <w:tcPr>
            <w:tcW w:w="120" w:type="dxa"/>
            <w:vAlign w:val="bottom"/>
            <w:tcBorders>
              <w:bottom w:val="single" w:sz="8" w:color="CCEEFF"/>
            </w:tcBorders>
          </w:tcPr>
          <w:p>
            <w:pPr>
              <w:spacing w:after="0"/>
              <w:rPr>
                <w:sz w:val="22"/>
                <w:szCs w:val="22"/>
                <w:color w:val="auto"/>
              </w:rPr>
            </w:pPr>
          </w:p>
        </w:tc>
        <w:tc>
          <w:tcPr>
            <w:tcW w:w="230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Medicaid Program(s)</w:t>
            </w:r>
          </w:p>
        </w:tc>
        <w:tc>
          <w:tcPr>
            <w:tcW w:w="120" w:type="dxa"/>
            <w:vAlign w:val="bottom"/>
            <w:tcBorders>
              <w:bottom w:val="single" w:sz="8" w:color="CCEEFF"/>
            </w:tcBorders>
          </w:tcPr>
          <w:p>
            <w:pPr>
              <w:spacing w:after="0"/>
              <w:rPr>
                <w:sz w:val="22"/>
                <w:szCs w:val="22"/>
                <w:color w:val="auto"/>
              </w:rPr>
            </w:pPr>
          </w:p>
        </w:tc>
        <w:tc>
          <w:tcPr>
            <w:tcW w:w="206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b w:val="1"/>
                <w:bCs w:val="1"/>
                <w:color w:val="auto"/>
              </w:rPr>
              <w:t>September 30, 2017</w:t>
            </w:r>
          </w:p>
        </w:tc>
        <w:tc>
          <w:tcPr>
            <w:tcW w:w="10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940" w:type="dxa"/>
            <w:vAlign w:val="bottom"/>
            <w:tcBorders>
              <w:bottom w:val="single" w:sz="8" w:color="auto"/>
            </w:tcBorders>
          </w:tcPr>
          <w:p>
            <w:pPr>
              <w:jc w:val="center"/>
              <w:ind w:right="119"/>
              <w:spacing w:after="0"/>
              <w:rPr>
                <w:sz w:val="20"/>
                <w:szCs w:val="20"/>
                <w:color w:val="auto"/>
              </w:rPr>
            </w:pPr>
            <w:r>
              <w:rPr>
                <w:rFonts w:ascii="Arial" w:cs="Arial" w:eastAsia="Arial" w:hAnsi="Arial"/>
                <w:sz w:val="16"/>
                <w:szCs w:val="16"/>
                <w:b w:val="1"/>
                <w:bCs w:val="1"/>
                <w:color w:val="auto"/>
              </w:rPr>
              <w:t>September 30, 2017</w:t>
            </w:r>
          </w:p>
        </w:tc>
        <w:tc>
          <w:tcPr>
            <w:tcW w:w="120" w:type="dxa"/>
            <w:vAlign w:val="bottom"/>
            <w:tcBorders>
              <w:bottom w:val="single" w:sz="8" w:color="CCEEFF"/>
            </w:tcBorders>
          </w:tcPr>
          <w:p>
            <w:pPr>
              <w:spacing w:after="0"/>
              <w:rPr>
                <w:sz w:val="22"/>
                <w:szCs w:val="22"/>
                <w:color w:val="auto"/>
              </w:rPr>
            </w:pP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9"/>
              </w:rPr>
              <w:t>Award Date</w:t>
            </w:r>
          </w:p>
        </w:tc>
        <w:tc>
          <w:tcPr>
            <w:tcW w:w="100" w:type="dxa"/>
            <w:vAlign w:val="bottom"/>
            <w:tcBorders>
              <w:bottom w:val="single" w:sz="8" w:color="CCEEFF"/>
            </w:tcBorders>
          </w:tcPr>
          <w:p>
            <w:pPr>
              <w:spacing w:after="0"/>
              <w:rPr>
                <w:sz w:val="22"/>
                <w:szCs w:val="22"/>
                <w:color w:val="auto"/>
              </w:rPr>
            </w:pPr>
          </w:p>
        </w:tc>
        <w:tc>
          <w:tcPr>
            <w:tcW w:w="148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Effective Date</w:t>
            </w:r>
          </w:p>
        </w:tc>
      </w:tr>
      <w:tr>
        <w:trPr>
          <w:trHeight w:val="254"/>
        </w:trPr>
        <w:tc>
          <w:tcPr>
            <w:tcW w:w="174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Florida</w:t>
            </w:r>
          </w:p>
        </w:tc>
        <w:tc>
          <w:tcPr>
            <w:tcW w:w="2420" w:type="dxa"/>
            <w:vAlign w:val="bottom"/>
            <w:gridSpan w:val="2"/>
            <w:shd w:val="clear" w:color="auto" w:fill="CCEEFF"/>
          </w:tcPr>
          <w:p>
            <w:pPr>
              <w:jc w:val="center"/>
              <w:ind w:right="120"/>
              <w:spacing w:after="0"/>
              <w:rPr>
                <w:sz w:val="20"/>
                <w:szCs w:val="20"/>
                <w:color w:val="auto"/>
              </w:rPr>
            </w:pPr>
            <w:r>
              <w:rPr>
                <w:rFonts w:ascii="Arial" w:cs="Arial" w:eastAsia="Arial" w:hAnsi="Arial"/>
                <w:sz w:val="16"/>
                <w:szCs w:val="16"/>
                <w:color w:val="auto"/>
              </w:rPr>
              <w:t>All</w:t>
            </w:r>
          </w:p>
        </w:tc>
        <w:tc>
          <w:tcPr>
            <w:tcW w:w="20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355,000</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9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1,105</w:t>
            </w:r>
          </w:p>
        </w:tc>
        <w:tc>
          <w:tcPr>
            <w:tcW w:w="120" w:type="dxa"/>
            <w:vAlign w:val="bottom"/>
            <w:shd w:val="clear" w:color="auto" w:fill="CCEEFF"/>
          </w:tcPr>
          <w:p>
            <w:pPr>
              <w:spacing w:after="0"/>
              <w:rPr>
                <w:sz w:val="22"/>
                <w:szCs w:val="22"/>
                <w:color w:val="auto"/>
              </w:rPr>
            </w:pPr>
          </w:p>
        </w:tc>
        <w:tc>
          <w:tcPr>
            <w:tcW w:w="1340" w:type="dxa"/>
            <w:vAlign w:val="bottom"/>
            <w:gridSpan w:val="2"/>
            <w:shd w:val="clear" w:color="auto" w:fill="CCEEFF"/>
          </w:tcPr>
          <w:p>
            <w:pPr>
              <w:jc w:val="center"/>
              <w:ind w:right="120"/>
              <w:spacing w:after="0"/>
              <w:rPr>
                <w:sz w:val="20"/>
                <w:szCs w:val="20"/>
                <w:color w:val="auto"/>
              </w:rPr>
            </w:pPr>
            <w:r>
              <w:rPr>
                <w:rFonts w:ascii="Arial" w:cs="Arial" w:eastAsia="Arial" w:hAnsi="Arial"/>
                <w:sz w:val="16"/>
                <w:szCs w:val="16"/>
                <w:color w:val="auto"/>
              </w:rPr>
              <w:t>Q2 2018</w:t>
            </w:r>
          </w:p>
        </w:tc>
        <w:tc>
          <w:tcPr>
            <w:tcW w:w="148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1/1/2019</w:t>
            </w:r>
          </w:p>
        </w:tc>
      </w:tr>
      <w:tr>
        <w:trPr>
          <w:trHeight w:val="262"/>
        </w:trPr>
        <w:tc>
          <w:tcPr>
            <w:tcW w:w="1740" w:type="dxa"/>
            <w:vAlign w:val="bottom"/>
            <w:gridSpan w:val="2"/>
          </w:tcPr>
          <w:p>
            <w:pPr>
              <w:ind w:left="40"/>
              <w:spacing w:after="0"/>
              <w:rPr>
                <w:sz w:val="20"/>
                <w:szCs w:val="20"/>
                <w:color w:val="auto"/>
              </w:rPr>
            </w:pPr>
            <w:r>
              <w:rPr>
                <w:rFonts w:ascii="Arial" w:cs="Arial" w:eastAsia="Arial" w:hAnsi="Arial"/>
                <w:sz w:val="16"/>
                <w:szCs w:val="16"/>
                <w:color w:val="auto"/>
              </w:rPr>
              <w:t>New Mexico</w:t>
            </w:r>
          </w:p>
        </w:tc>
        <w:tc>
          <w:tcPr>
            <w:tcW w:w="2420" w:type="dxa"/>
            <w:vAlign w:val="bottom"/>
            <w:gridSpan w:val="2"/>
          </w:tcPr>
          <w:p>
            <w:pPr>
              <w:jc w:val="center"/>
              <w:ind w:right="120"/>
              <w:spacing w:after="0"/>
              <w:rPr>
                <w:sz w:val="20"/>
                <w:szCs w:val="20"/>
                <w:color w:val="auto"/>
              </w:rPr>
            </w:pPr>
            <w:r>
              <w:rPr>
                <w:rFonts w:ascii="Arial" w:cs="Arial" w:eastAsia="Arial" w:hAnsi="Arial"/>
                <w:sz w:val="16"/>
                <w:szCs w:val="16"/>
                <w:color w:val="auto"/>
              </w:rPr>
              <w:t>All</w:t>
            </w:r>
          </w:p>
        </w:tc>
        <w:tc>
          <w:tcPr>
            <w:tcW w:w="2060" w:type="dxa"/>
            <w:vAlign w:val="bottom"/>
          </w:tcPr>
          <w:p>
            <w:pPr>
              <w:jc w:val="right"/>
              <w:ind w:right="39"/>
              <w:spacing w:after="0"/>
              <w:rPr>
                <w:sz w:val="20"/>
                <w:szCs w:val="20"/>
                <w:color w:val="auto"/>
              </w:rPr>
            </w:pPr>
            <w:r>
              <w:rPr>
                <w:rFonts w:ascii="Arial" w:cs="Arial" w:eastAsia="Arial" w:hAnsi="Arial"/>
                <w:sz w:val="16"/>
                <w:szCs w:val="16"/>
                <w:color w:val="auto"/>
              </w:rPr>
              <w:t>225,000</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940" w:type="dxa"/>
            <w:vAlign w:val="bottom"/>
          </w:tcPr>
          <w:p>
            <w:pPr>
              <w:jc w:val="right"/>
              <w:ind w:right="19"/>
              <w:spacing w:after="0"/>
              <w:rPr>
                <w:sz w:val="20"/>
                <w:szCs w:val="20"/>
                <w:color w:val="auto"/>
              </w:rPr>
            </w:pPr>
            <w:r>
              <w:rPr>
                <w:rFonts w:ascii="Arial" w:cs="Arial" w:eastAsia="Arial" w:hAnsi="Arial"/>
                <w:sz w:val="16"/>
                <w:szCs w:val="16"/>
                <w:color w:val="auto"/>
              </w:rPr>
              <w:t>893</w:t>
            </w:r>
          </w:p>
        </w:tc>
        <w:tc>
          <w:tcPr>
            <w:tcW w:w="120" w:type="dxa"/>
            <w:vAlign w:val="bottom"/>
          </w:tcPr>
          <w:p>
            <w:pPr>
              <w:spacing w:after="0"/>
              <w:rPr>
                <w:sz w:val="22"/>
                <w:szCs w:val="22"/>
                <w:color w:val="auto"/>
              </w:rPr>
            </w:pPr>
          </w:p>
        </w:tc>
        <w:tc>
          <w:tcPr>
            <w:tcW w:w="1340" w:type="dxa"/>
            <w:vAlign w:val="bottom"/>
            <w:gridSpan w:val="2"/>
          </w:tcPr>
          <w:p>
            <w:pPr>
              <w:jc w:val="center"/>
              <w:ind w:right="120"/>
              <w:spacing w:after="0"/>
              <w:rPr>
                <w:sz w:val="20"/>
                <w:szCs w:val="20"/>
                <w:color w:val="auto"/>
              </w:rPr>
            </w:pPr>
            <w:r>
              <w:rPr>
                <w:rFonts w:ascii="Arial" w:cs="Arial" w:eastAsia="Arial" w:hAnsi="Arial"/>
                <w:sz w:val="16"/>
                <w:szCs w:val="16"/>
                <w:color w:val="auto"/>
              </w:rPr>
              <w:t>Q1 2018</w:t>
            </w:r>
          </w:p>
        </w:tc>
        <w:tc>
          <w:tcPr>
            <w:tcW w:w="1480" w:type="dxa"/>
            <w:vAlign w:val="bottom"/>
          </w:tcPr>
          <w:p>
            <w:pPr>
              <w:jc w:val="center"/>
              <w:spacing w:after="0"/>
              <w:rPr>
                <w:sz w:val="20"/>
                <w:szCs w:val="20"/>
                <w:color w:val="auto"/>
              </w:rPr>
            </w:pPr>
            <w:r>
              <w:rPr>
                <w:rFonts w:ascii="Arial" w:cs="Arial" w:eastAsia="Arial" w:hAnsi="Arial"/>
                <w:sz w:val="16"/>
                <w:szCs w:val="16"/>
                <w:color w:val="auto"/>
              </w:rPr>
              <w:t>1/1/2019</w:t>
            </w:r>
          </w:p>
        </w:tc>
      </w:tr>
      <w:tr>
        <w:trPr>
          <w:trHeight w:val="278"/>
        </w:trPr>
        <w:tc>
          <w:tcPr>
            <w:tcW w:w="174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Texas</w:t>
            </w:r>
          </w:p>
        </w:tc>
        <w:tc>
          <w:tcPr>
            <w:tcW w:w="2420" w:type="dxa"/>
            <w:vAlign w:val="bottom"/>
            <w:gridSpan w:val="2"/>
            <w:shd w:val="clear" w:color="auto" w:fill="CCEEFF"/>
          </w:tcPr>
          <w:p>
            <w:pPr>
              <w:jc w:val="center"/>
              <w:ind w:right="120"/>
              <w:spacing w:after="0"/>
              <w:rPr>
                <w:sz w:val="20"/>
                <w:szCs w:val="20"/>
                <w:color w:val="auto"/>
              </w:rPr>
            </w:pPr>
            <w:r>
              <w:rPr>
                <w:rFonts w:ascii="Arial" w:cs="Arial" w:eastAsia="Arial" w:hAnsi="Arial"/>
                <w:sz w:val="16"/>
                <w:szCs w:val="16"/>
                <w:color w:val="auto"/>
              </w:rPr>
              <w:t>ABD</w:t>
            </w:r>
          </w:p>
        </w:tc>
        <w:tc>
          <w:tcPr>
            <w:tcW w:w="20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87,000</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9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1,065</w:t>
            </w:r>
          </w:p>
        </w:tc>
        <w:tc>
          <w:tcPr>
            <w:tcW w:w="120" w:type="dxa"/>
            <w:vAlign w:val="bottom"/>
            <w:shd w:val="clear" w:color="auto" w:fill="CCEEFF"/>
          </w:tcPr>
          <w:p>
            <w:pPr>
              <w:spacing w:after="0"/>
              <w:rPr>
                <w:sz w:val="24"/>
                <w:szCs w:val="24"/>
                <w:color w:val="auto"/>
              </w:rPr>
            </w:pPr>
          </w:p>
        </w:tc>
        <w:tc>
          <w:tcPr>
            <w:tcW w:w="1340" w:type="dxa"/>
            <w:vAlign w:val="bottom"/>
            <w:gridSpan w:val="2"/>
            <w:shd w:val="clear" w:color="auto" w:fill="CCEEFF"/>
          </w:tcPr>
          <w:p>
            <w:pPr>
              <w:jc w:val="center"/>
              <w:ind w:right="120"/>
              <w:spacing w:after="0"/>
              <w:rPr>
                <w:sz w:val="20"/>
                <w:szCs w:val="20"/>
                <w:color w:val="auto"/>
              </w:rPr>
            </w:pPr>
            <w:r>
              <w:rPr>
                <w:rFonts w:ascii="Arial" w:cs="Arial" w:eastAsia="Arial" w:hAnsi="Arial"/>
                <w:sz w:val="16"/>
                <w:szCs w:val="16"/>
                <w:color w:val="auto"/>
              </w:rPr>
              <w:t>Q3 2018</w:t>
            </w:r>
          </w:p>
        </w:tc>
        <w:tc>
          <w:tcPr>
            <w:tcW w:w="148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9/1/2019</w:t>
            </w:r>
          </w:p>
        </w:tc>
      </w:tr>
      <w:tr>
        <w:trPr>
          <w:trHeight w:val="255"/>
        </w:trPr>
        <w:tc>
          <w:tcPr>
            <w:tcW w:w="1740" w:type="dxa"/>
            <w:vAlign w:val="bottom"/>
            <w:gridSpan w:val="2"/>
          </w:tcPr>
          <w:p>
            <w:pPr>
              <w:ind w:left="40"/>
              <w:spacing w:after="0"/>
              <w:rPr>
                <w:sz w:val="20"/>
                <w:szCs w:val="20"/>
                <w:color w:val="auto"/>
              </w:rPr>
            </w:pPr>
            <w:r>
              <w:rPr>
                <w:rFonts w:ascii="Arial" w:cs="Arial" w:eastAsia="Arial" w:hAnsi="Arial"/>
                <w:sz w:val="16"/>
                <w:szCs w:val="16"/>
                <w:color w:val="auto"/>
              </w:rPr>
              <w:t>Texas</w:t>
            </w:r>
          </w:p>
        </w:tc>
        <w:tc>
          <w:tcPr>
            <w:tcW w:w="2420" w:type="dxa"/>
            <w:vAlign w:val="bottom"/>
            <w:gridSpan w:val="2"/>
          </w:tcPr>
          <w:p>
            <w:pPr>
              <w:jc w:val="center"/>
              <w:ind w:right="120"/>
              <w:spacing w:after="0"/>
              <w:rPr>
                <w:sz w:val="20"/>
                <w:szCs w:val="20"/>
                <w:color w:val="auto"/>
              </w:rPr>
            </w:pPr>
            <w:r>
              <w:rPr>
                <w:rFonts w:ascii="Arial" w:cs="Arial" w:eastAsia="Arial" w:hAnsi="Arial"/>
                <w:sz w:val="16"/>
                <w:szCs w:val="16"/>
                <w:color w:val="auto"/>
                <w:w w:val="99"/>
              </w:rPr>
              <w:t>CHIP</w:t>
            </w:r>
          </w:p>
        </w:tc>
        <w:tc>
          <w:tcPr>
            <w:tcW w:w="2060" w:type="dxa"/>
            <w:vAlign w:val="bottom"/>
          </w:tcPr>
          <w:p>
            <w:pPr>
              <w:jc w:val="right"/>
              <w:ind w:right="39"/>
              <w:spacing w:after="0"/>
              <w:rPr>
                <w:sz w:val="20"/>
                <w:szCs w:val="20"/>
                <w:color w:val="auto"/>
              </w:rPr>
            </w:pPr>
            <w:r>
              <w:rPr>
                <w:rFonts w:ascii="Arial" w:cs="Arial" w:eastAsia="Arial" w:hAnsi="Arial"/>
                <w:sz w:val="16"/>
                <w:szCs w:val="16"/>
                <w:color w:val="auto"/>
              </w:rPr>
              <w:t>24,000</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940" w:type="dxa"/>
            <w:vAlign w:val="bottom"/>
          </w:tcPr>
          <w:p>
            <w:pPr>
              <w:jc w:val="right"/>
              <w:ind w:right="19"/>
              <w:spacing w:after="0"/>
              <w:rPr>
                <w:sz w:val="20"/>
                <w:szCs w:val="20"/>
                <w:color w:val="auto"/>
              </w:rPr>
            </w:pPr>
            <w:r>
              <w:rPr>
                <w:rFonts w:ascii="Arial" w:cs="Arial" w:eastAsia="Arial" w:hAnsi="Arial"/>
                <w:sz w:val="16"/>
                <w:szCs w:val="16"/>
                <w:color w:val="auto"/>
              </w:rPr>
              <w:t>31</w:t>
            </w:r>
          </w:p>
        </w:tc>
        <w:tc>
          <w:tcPr>
            <w:tcW w:w="120" w:type="dxa"/>
            <w:vAlign w:val="bottom"/>
          </w:tcPr>
          <w:p>
            <w:pPr>
              <w:spacing w:after="0"/>
              <w:rPr>
                <w:sz w:val="22"/>
                <w:szCs w:val="22"/>
                <w:color w:val="auto"/>
              </w:rPr>
            </w:pPr>
          </w:p>
        </w:tc>
        <w:tc>
          <w:tcPr>
            <w:tcW w:w="1340" w:type="dxa"/>
            <w:vAlign w:val="bottom"/>
            <w:gridSpan w:val="2"/>
          </w:tcPr>
          <w:p>
            <w:pPr>
              <w:jc w:val="center"/>
              <w:ind w:right="120"/>
              <w:spacing w:after="0"/>
              <w:rPr>
                <w:sz w:val="20"/>
                <w:szCs w:val="20"/>
                <w:color w:val="auto"/>
              </w:rPr>
            </w:pPr>
            <w:r>
              <w:rPr>
                <w:rFonts w:ascii="Arial" w:cs="Arial" w:eastAsia="Arial" w:hAnsi="Arial"/>
                <w:sz w:val="16"/>
                <w:szCs w:val="16"/>
                <w:color w:val="auto"/>
              </w:rPr>
              <w:t>Q4 2017</w:t>
            </w:r>
          </w:p>
        </w:tc>
        <w:tc>
          <w:tcPr>
            <w:tcW w:w="1480" w:type="dxa"/>
            <w:vAlign w:val="bottom"/>
          </w:tcPr>
          <w:p>
            <w:pPr>
              <w:jc w:val="center"/>
              <w:spacing w:after="0"/>
              <w:rPr>
                <w:sz w:val="20"/>
                <w:szCs w:val="20"/>
                <w:color w:val="auto"/>
              </w:rPr>
            </w:pPr>
            <w:r>
              <w:rPr>
                <w:rFonts w:ascii="Arial" w:cs="Arial" w:eastAsia="Arial" w:hAnsi="Arial"/>
                <w:sz w:val="16"/>
                <w:szCs w:val="16"/>
                <w:color w:val="auto"/>
              </w:rPr>
              <w:t>9/1/2018</w:t>
            </w:r>
          </w:p>
        </w:tc>
      </w:tr>
    </w:tbl>
    <w:p>
      <w:pPr>
        <w:spacing w:after="0" w:line="209"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i w:val="1"/>
          <w:iCs w:val="1"/>
          <w:color w:val="auto"/>
        </w:rPr>
        <w:t xml:space="preserve">Illinois Health Plan. </w:t>
      </w:r>
      <w:r>
        <w:rPr>
          <w:rFonts w:ascii="Arial" w:cs="Arial" w:eastAsia="Arial" w:hAnsi="Arial"/>
          <w:sz w:val="18"/>
          <w:szCs w:val="18"/>
          <w:color w:val="auto"/>
        </w:rPr>
        <w:t>In August 2017, Molina Healthcare of Illinois, Inc. was awarded a statewide Medicaid managed care contract by the Illinois</w:t>
      </w:r>
      <w:r>
        <w:rPr>
          <w:rFonts w:ascii="Arial" w:cs="Arial" w:eastAsia="Arial" w:hAnsi="Arial"/>
          <w:sz w:val="18"/>
          <w:szCs w:val="18"/>
          <w:i w:val="1"/>
          <w:iCs w:val="1"/>
          <w:color w:val="auto"/>
        </w:rPr>
        <w:t xml:space="preserve"> </w:t>
      </w:r>
      <w:r>
        <w:rPr>
          <w:rFonts w:ascii="Arial" w:cs="Arial" w:eastAsia="Arial" w:hAnsi="Arial"/>
          <w:sz w:val="18"/>
          <w:szCs w:val="18"/>
          <w:color w:val="auto"/>
        </w:rPr>
        <w:t>Department of Healthcare and Family Services. This Medicaid contract further integrates behavioral health and physical health by combining the State’s three current managed care programs into one program. The contract begins January 1, 2018, for four years with options to renew annually for up to four additional years.</w:t>
      </w:r>
    </w:p>
    <w:p>
      <w:pPr>
        <w:spacing w:after="0" w:line="62" w:lineRule="exact"/>
        <w:rPr>
          <w:sz w:val="20"/>
          <w:szCs w:val="20"/>
          <w:color w:val="auto"/>
        </w:rPr>
      </w:pPr>
    </w:p>
    <w:p>
      <w:pPr>
        <w:jc w:val="both"/>
        <w:ind w:right="200"/>
        <w:spacing w:after="0" w:line="271" w:lineRule="auto"/>
        <w:rPr>
          <w:sz w:val="20"/>
          <w:szCs w:val="20"/>
          <w:color w:val="auto"/>
        </w:rPr>
      </w:pPr>
      <w:r>
        <w:rPr>
          <w:rFonts w:ascii="Arial" w:cs="Arial" w:eastAsia="Arial" w:hAnsi="Arial"/>
          <w:sz w:val="18"/>
          <w:szCs w:val="18"/>
          <w:i w:val="1"/>
          <w:iCs w:val="1"/>
          <w:color w:val="auto"/>
        </w:rPr>
        <w:t xml:space="preserve">Washington Health Plan. </w:t>
      </w:r>
      <w:r>
        <w:rPr>
          <w:rFonts w:ascii="Arial" w:cs="Arial" w:eastAsia="Arial" w:hAnsi="Arial"/>
          <w:sz w:val="18"/>
          <w:szCs w:val="18"/>
          <w:color w:val="auto"/>
        </w:rPr>
        <w:t>In May 2017, Molina Healthcare of Washington, Inc. was selected by the Washington State Health Care Authority to</w:t>
      </w:r>
      <w:r>
        <w:rPr>
          <w:rFonts w:ascii="Arial" w:cs="Arial" w:eastAsia="Arial" w:hAnsi="Arial"/>
          <w:sz w:val="18"/>
          <w:szCs w:val="18"/>
          <w:i w:val="1"/>
          <w:iCs w:val="1"/>
          <w:color w:val="auto"/>
        </w:rPr>
        <w:t xml:space="preserve"> </w:t>
      </w:r>
      <w:r>
        <w:rPr>
          <w:rFonts w:ascii="Arial" w:cs="Arial" w:eastAsia="Arial" w:hAnsi="Arial"/>
          <w:sz w:val="18"/>
          <w:szCs w:val="18"/>
          <w:color w:val="auto"/>
        </w:rPr>
        <w:t>negotiate and enter into managed care contracts for the North Central region of the state’s Apple Health Integrated Managed Care Program. The start date for the new contract is scheduled for January 1, 2018.</w:t>
      </w:r>
    </w:p>
    <w:p>
      <w:pPr>
        <w:spacing w:after="0" w:line="364" w:lineRule="exact"/>
        <w:rPr>
          <w:sz w:val="20"/>
          <w:szCs w:val="20"/>
          <w:color w:val="auto"/>
        </w:rPr>
      </w:pPr>
    </w:p>
    <w:p>
      <w:pPr>
        <w:spacing w:after="0"/>
        <w:rPr>
          <w:sz w:val="20"/>
          <w:szCs w:val="20"/>
          <w:color w:val="auto"/>
        </w:rPr>
      </w:pPr>
      <w:r>
        <w:rPr>
          <w:rFonts w:ascii="Arial" w:cs="Arial" w:eastAsia="Arial" w:hAnsi="Arial"/>
          <w:sz w:val="36"/>
          <w:szCs w:val="36"/>
          <w:b w:val="1"/>
          <w:bCs w:val="1"/>
          <w:color w:val="0F7C7F"/>
        </w:rPr>
        <w:t>REPORTABLE SEGMENTS</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How We Assess Performance</w:t>
      </w:r>
    </w:p>
    <w:p>
      <w:pPr>
        <w:spacing w:after="0" w:line="225" w:lineRule="exact"/>
        <w:rPr>
          <w:sz w:val="20"/>
          <w:szCs w:val="20"/>
          <w:color w:val="auto"/>
        </w:rPr>
      </w:pPr>
    </w:p>
    <w:p>
      <w:pPr>
        <w:ind w:right="380"/>
        <w:spacing w:after="0" w:line="292" w:lineRule="auto"/>
        <w:rPr>
          <w:sz w:val="20"/>
          <w:szCs w:val="20"/>
          <w:color w:val="auto"/>
        </w:rPr>
      </w:pPr>
      <w:r>
        <w:rPr>
          <w:rFonts w:ascii="Arial" w:cs="Arial" w:eastAsia="Arial" w:hAnsi="Arial"/>
          <w:sz w:val="18"/>
          <w:szCs w:val="18"/>
          <w:color w:val="auto"/>
        </w:rPr>
        <w:t>We derive our revenues primarily from health insurance premiums, and our primary customers are state Medicaid agencies and the federal government.</w:t>
      </w:r>
    </w:p>
    <w:p>
      <w:pPr>
        <w:spacing w:after="0" w:line="37"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One of the key metrics used to assess the performance of our most significant segment, the Health Plans segment, is the medical care ratio, or MCR. The medical care ratio represents medical care costs as a percentage of premium revenue. Therefore, the underlying gross margin, or the amount earned by the Health Plans segment after medical costs are deducted from premium revenue, is the most important measure of earnings reviewed by management.</w:t>
      </w:r>
    </w:p>
    <w:p>
      <w:pPr>
        <w:spacing w:after="0" w:line="62" w:lineRule="exact"/>
        <w:rPr>
          <w:sz w:val="20"/>
          <w:szCs w:val="20"/>
          <w:color w:val="auto"/>
        </w:rPr>
      </w:pPr>
    </w:p>
    <w:p>
      <w:pPr>
        <w:jc w:val="both"/>
        <w:ind w:right="80"/>
        <w:spacing w:after="0" w:line="264" w:lineRule="auto"/>
        <w:rPr>
          <w:sz w:val="20"/>
          <w:szCs w:val="20"/>
          <w:color w:val="auto"/>
        </w:rPr>
      </w:pPr>
      <w:r>
        <w:rPr>
          <w:rFonts w:ascii="Arial" w:cs="Arial" w:eastAsia="Arial" w:hAnsi="Arial"/>
          <w:sz w:val="18"/>
          <w:szCs w:val="18"/>
          <w:color w:val="auto"/>
        </w:rPr>
        <w:t>Gross margin for our Health Plans segment is referred to as “Medical margin,” and for our Molina Medicaid Solutions and Other segments, as “Service margin.” The service margin is equal to service revenue minus cost of service revenue. Management’s discussion and analysis of the changes in the individual components of gross margin, by reportable segment, is presented in the “Health Plans—Financial Overview,” “Molina Medicaid Solutions—Financial Overview,” and “Other—Financial Overview” sections of this MD&amp;A.</w:t>
      </w:r>
    </w:p>
    <w:p>
      <w:pPr>
        <w:spacing w:after="0" w:line="30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Molina Healthcare, Inc. 2017 Form 10-Q | 44</w:t>
      </w:r>
    </w:p>
    <w:p>
      <w:pPr>
        <w:sectPr>
          <w:pgSz w:w="11900" w:h="16838" w:orient="portrait"/>
          <w:cols w:equalWidth="0" w:num="1">
            <w:col w:w="11420"/>
          </w:cols>
          <w:pgMar w:left="240" w:top="116" w:right="239" w:bottom="1440" w:gutter="0" w:footer="0" w:header="0"/>
        </w:sectPr>
      </w:pPr>
    </w:p>
    <w:bookmarkStart w:id="44" w:name="page45"/>
    <w:bookmarkEnd w:id="4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4" w:lineRule="exact"/>
        <w:rPr>
          <w:sz w:val="20"/>
          <w:szCs w:val="20"/>
          <w:color w:val="auto"/>
        </w:rPr>
      </w:pPr>
    </w:p>
    <w:p>
      <w:pPr>
        <w:spacing w:after="0"/>
        <w:rPr>
          <w:sz w:val="20"/>
          <w:szCs w:val="20"/>
          <w:color w:val="auto"/>
        </w:rPr>
      </w:pPr>
      <w:r>
        <w:rPr>
          <w:rFonts w:ascii="Arial" w:cs="Arial" w:eastAsia="Arial" w:hAnsi="Arial"/>
          <w:sz w:val="32"/>
          <w:szCs w:val="32"/>
          <w:b w:val="1"/>
          <w:bCs w:val="1"/>
          <w:color w:val="ACACAC"/>
        </w:rPr>
        <w:t>SEGMENT SUMMARY</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700" w:type="dxa"/>
            <w:vAlign w:val="bottom"/>
          </w:tcPr>
          <w:p>
            <w:pPr>
              <w:spacing w:after="0"/>
              <w:rPr>
                <w:sz w:val="17"/>
                <w:szCs w:val="17"/>
                <w:color w:val="auto"/>
              </w:rPr>
            </w:pPr>
          </w:p>
        </w:tc>
        <w:tc>
          <w:tcPr>
            <w:tcW w:w="3420" w:type="dxa"/>
            <w:vAlign w:val="bottom"/>
            <w:gridSpan w:val="6"/>
          </w:tcPr>
          <w:p>
            <w:pPr>
              <w:ind w:left="440"/>
              <w:spacing w:after="0"/>
              <w:rPr>
                <w:sz w:val="20"/>
                <w:szCs w:val="20"/>
                <w:color w:val="auto"/>
              </w:rPr>
            </w:pPr>
            <w:r>
              <w:rPr>
                <w:rFonts w:ascii="Arial" w:cs="Arial" w:eastAsia="Arial" w:hAnsi="Arial"/>
                <w:sz w:val="14"/>
                <w:szCs w:val="14"/>
                <w:b w:val="1"/>
                <w:bCs w:val="1"/>
                <w:color w:val="auto"/>
              </w:rPr>
              <w:t>Three Months Ended September 30,</w:t>
            </w:r>
          </w:p>
        </w:tc>
        <w:tc>
          <w:tcPr>
            <w:tcW w:w="420" w:type="dxa"/>
            <w:vAlign w:val="bottom"/>
          </w:tcPr>
          <w:p>
            <w:pPr>
              <w:spacing w:after="0"/>
              <w:rPr>
                <w:sz w:val="17"/>
                <w:szCs w:val="17"/>
                <w:color w:val="auto"/>
              </w:rPr>
            </w:pPr>
          </w:p>
        </w:tc>
        <w:tc>
          <w:tcPr>
            <w:tcW w:w="2880" w:type="dxa"/>
            <w:vAlign w:val="bottom"/>
            <w:gridSpan w:val="4"/>
          </w:tcPr>
          <w:p>
            <w:pPr>
              <w:jc w:val="right"/>
              <w:ind w:right="380"/>
              <w:spacing w:after="0"/>
              <w:rPr>
                <w:sz w:val="20"/>
                <w:szCs w:val="20"/>
                <w:color w:val="auto"/>
              </w:rPr>
            </w:pPr>
            <w:r>
              <w:rPr>
                <w:rFonts w:ascii="Arial" w:cs="Arial" w:eastAsia="Arial" w:hAnsi="Arial"/>
                <w:sz w:val="14"/>
                <w:szCs w:val="14"/>
                <w:b w:val="1"/>
                <w:bCs w:val="1"/>
                <w:color w:val="auto"/>
              </w:rPr>
              <w:t>Nine Months Ended September 30,</w:t>
            </w:r>
          </w:p>
        </w:tc>
        <w:tc>
          <w:tcPr>
            <w:tcW w:w="0" w:type="dxa"/>
            <w:vAlign w:val="bottom"/>
          </w:tcPr>
          <w:p>
            <w:pPr>
              <w:spacing w:after="0"/>
              <w:rPr>
                <w:sz w:val="1"/>
                <w:szCs w:val="1"/>
                <w:color w:val="auto"/>
              </w:rPr>
            </w:pPr>
          </w:p>
        </w:tc>
      </w:tr>
      <w:tr>
        <w:trPr>
          <w:trHeight w:val="264"/>
        </w:trPr>
        <w:tc>
          <w:tcPr>
            <w:tcW w:w="4700" w:type="dxa"/>
            <w:vAlign w:val="bottom"/>
          </w:tcPr>
          <w:p>
            <w:pPr>
              <w:spacing w:after="0"/>
              <w:rPr>
                <w:sz w:val="22"/>
                <w:szCs w:val="22"/>
                <w:color w:val="auto"/>
              </w:rPr>
            </w:pPr>
          </w:p>
        </w:tc>
        <w:tc>
          <w:tcPr>
            <w:tcW w:w="1080" w:type="dxa"/>
            <w:vAlign w:val="bottom"/>
            <w:tcBorders>
              <w:top w:val="single" w:sz="8" w:color="auto"/>
              <w:bottom w:val="single" w:sz="8" w:color="auto"/>
            </w:tcBorders>
          </w:tcPr>
          <w:p>
            <w:pPr>
              <w:jc w:val="right"/>
              <w:ind w:right="43"/>
              <w:spacing w:after="0"/>
              <w:rPr>
                <w:sz w:val="20"/>
                <w:szCs w:val="20"/>
                <w:color w:val="auto"/>
              </w:rPr>
            </w:pPr>
            <w:r>
              <w:rPr>
                <w:rFonts w:ascii="Arial" w:cs="Arial" w:eastAsia="Arial" w:hAnsi="Arial"/>
                <w:sz w:val="14"/>
                <w:szCs w:val="14"/>
                <w:b w:val="1"/>
                <w:bCs w:val="1"/>
                <w:color w:val="auto"/>
              </w:rPr>
              <w:t>2017</w:t>
            </w:r>
          </w:p>
        </w:tc>
        <w:tc>
          <w:tcPr>
            <w:tcW w:w="540" w:type="dxa"/>
            <w:vAlign w:val="bottom"/>
            <w:tcBorders>
              <w:top w:val="single" w:sz="8" w:color="auto"/>
              <w:bottom w:val="single" w:sz="8" w:color="auto"/>
            </w:tcBorders>
          </w:tcPr>
          <w:p>
            <w:pPr>
              <w:spacing w:after="0"/>
              <w:rPr>
                <w:sz w:val="22"/>
                <w:szCs w:val="22"/>
                <w:color w:val="auto"/>
              </w:rPr>
            </w:pPr>
          </w:p>
        </w:tc>
        <w:tc>
          <w:tcPr>
            <w:tcW w:w="100" w:type="dxa"/>
            <w:vAlign w:val="bottom"/>
            <w:tcBorders>
              <w:top w:val="single" w:sz="8" w:color="auto"/>
              <w:bottom w:val="single" w:sz="8" w:color="auto"/>
            </w:tcBorders>
          </w:tcPr>
          <w:p>
            <w:pPr>
              <w:spacing w:after="0"/>
              <w:rPr>
                <w:sz w:val="22"/>
                <w:szCs w:val="22"/>
                <w:color w:val="auto"/>
              </w:rPr>
            </w:pPr>
          </w:p>
        </w:tc>
        <w:tc>
          <w:tcPr>
            <w:tcW w:w="380" w:type="dxa"/>
            <w:vAlign w:val="bottom"/>
            <w:tcBorders>
              <w:top w:val="single" w:sz="8" w:color="auto"/>
              <w:bottom w:val="single" w:sz="8" w:color="auto"/>
            </w:tcBorders>
          </w:tcPr>
          <w:p>
            <w:pPr>
              <w:spacing w:after="0"/>
              <w:rPr>
                <w:sz w:val="22"/>
                <w:szCs w:val="22"/>
                <w:color w:val="auto"/>
              </w:rPr>
            </w:pPr>
          </w:p>
        </w:tc>
        <w:tc>
          <w:tcPr>
            <w:tcW w:w="1220" w:type="dxa"/>
            <w:vAlign w:val="bottom"/>
            <w:tcBorders>
              <w:top w:val="single" w:sz="8" w:color="auto"/>
              <w:bottom w:val="single" w:sz="8" w:color="auto"/>
            </w:tcBorders>
          </w:tcPr>
          <w:p>
            <w:pPr>
              <w:jc w:val="right"/>
              <w:ind w:right="560"/>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auto"/>
            </w:tcBorders>
          </w:tcPr>
          <w:p>
            <w:pPr>
              <w:spacing w:after="0"/>
              <w:rPr>
                <w:sz w:val="22"/>
                <w:szCs w:val="22"/>
                <w:color w:val="auto"/>
              </w:rPr>
            </w:pPr>
          </w:p>
        </w:tc>
        <w:tc>
          <w:tcPr>
            <w:tcW w:w="420" w:type="dxa"/>
            <w:vAlign w:val="bottom"/>
            <w:tcBorders>
              <w:top w:val="single" w:sz="8" w:color="auto"/>
              <w:bottom w:val="single" w:sz="8" w:color="auto"/>
            </w:tcBorders>
          </w:tcPr>
          <w:p>
            <w:pPr>
              <w:spacing w:after="0"/>
              <w:rPr>
                <w:sz w:val="22"/>
                <w:szCs w:val="22"/>
                <w:color w:val="auto"/>
              </w:rPr>
            </w:pPr>
          </w:p>
        </w:tc>
        <w:tc>
          <w:tcPr>
            <w:tcW w:w="1180" w:type="dxa"/>
            <w:vAlign w:val="bottom"/>
            <w:tcBorders>
              <w:top w:val="single" w:sz="8" w:color="auto"/>
              <w:bottom w:val="single" w:sz="8" w:color="auto"/>
            </w:tcBorders>
          </w:tcPr>
          <w:p>
            <w:pPr>
              <w:jc w:val="right"/>
              <w:ind w:right="560"/>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top w:val="single" w:sz="8" w:color="auto"/>
              <w:bottom w:val="single" w:sz="8" w:color="auto"/>
            </w:tcBorders>
          </w:tcPr>
          <w:p>
            <w:pPr>
              <w:spacing w:after="0"/>
              <w:rPr>
                <w:sz w:val="22"/>
                <w:szCs w:val="22"/>
                <w:color w:val="auto"/>
              </w:rPr>
            </w:pPr>
          </w:p>
        </w:tc>
        <w:tc>
          <w:tcPr>
            <w:tcW w:w="380" w:type="dxa"/>
            <w:vAlign w:val="bottom"/>
            <w:tcBorders>
              <w:top w:val="single" w:sz="8" w:color="auto"/>
              <w:bottom w:val="single" w:sz="8" w:color="auto"/>
            </w:tcBorders>
          </w:tcPr>
          <w:p>
            <w:pPr>
              <w:spacing w:after="0"/>
              <w:rPr>
                <w:sz w:val="22"/>
                <w:szCs w:val="22"/>
                <w:color w:val="auto"/>
              </w:rPr>
            </w:pPr>
          </w:p>
        </w:tc>
        <w:tc>
          <w:tcPr>
            <w:tcW w:w="1220" w:type="dxa"/>
            <w:vAlign w:val="bottom"/>
            <w:tcBorders>
              <w:top w:val="single" w:sz="8" w:color="auto"/>
              <w:bottom w:val="single" w:sz="8" w:color="auto"/>
            </w:tcBorders>
          </w:tcPr>
          <w:p>
            <w:pPr>
              <w:jc w:val="right"/>
              <w:ind w:right="560"/>
              <w:spacing w:after="0"/>
              <w:rPr>
                <w:sz w:val="20"/>
                <w:szCs w:val="20"/>
                <w:color w:val="auto"/>
              </w:rPr>
            </w:pPr>
            <w:r>
              <w:rPr>
                <w:rFonts w:ascii="Arial" w:cs="Arial" w:eastAsia="Arial" w:hAnsi="Arial"/>
                <w:sz w:val="14"/>
                <w:szCs w:val="14"/>
                <w:b w:val="1"/>
                <w:bCs w:val="1"/>
                <w:color w:val="auto"/>
              </w:rPr>
              <w:t>2016</w:t>
            </w:r>
          </w:p>
        </w:tc>
        <w:tc>
          <w:tcPr>
            <w:tcW w:w="0" w:type="dxa"/>
            <w:vAlign w:val="bottom"/>
          </w:tcPr>
          <w:p>
            <w:pPr>
              <w:spacing w:after="0"/>
              <w:rPr>
                <w:sz w:val="1"/>
                <w:szCs w:val="1"/>
                <w:color w:val="auto"/>
              </w:rPr>
            </w:pPr>
          </w:p>
        </w:tc>
      </w:tr>
      <w:tr>
        <w:trPr>
          <w:trHeight w:val="250"/>
        </w:trPr>
        <w:tc>
          <w:tcPr>
            <w:tcW w:w="47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74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millions)</w:t>
            </w: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1"/>
        </w:trPr>
        <w:tc>
          <w:tcPr>
            <w:tcW w:w="4700" w:type="dxa"/>
            <w:vAlign w:val="bottom"/>
            <w:shd w:val="clear" w:color="auto" w:fill="CCEEFF"/>
          </w:tcPr>
          <w:p>
            <w:pPr>
              <w:ind w:left="40"/>
              <w:spacing w:after="0"/>
              <w:rPr>
                <w:sz w:val="20"/>
                <w:szCs w:val="20"/>
                <w:color w:val="auto"/>
              </w:rPr>
            </w:pPr>
            <w:r>
              <w:rPr>
                <w:rFonts w:ascii="Arial" w:cs="Arial" w:eastAsia="Arial" w:hAnsi="Arial"/>
                <w:sz w:val="16"/>
                <w:szCs w:val="16"/>
                <w:b w:val="1"/>
                <w:bCs w:val="1"/>
                <w:color w:val="auto"/>
              </w:rPr>
              <w:t>Segment gross margin:</w:t>
            </w:r>
          </w:p>
        </w:tc>
        <w:tc>
          <w:tcPr>
            <w:tcW w:w="1080" w:type="dxa"/>
            <w:vAlign w:val="bottom"/>
            <w:shd w:val="clear" w:color="auto" w:fill="CCEEFF"/>
          </w:tcPr>
          <w:p>
            <w:pPr>
              <w:spacing w:after="0"/>
              <w:rPr>
                <w:sz w:val="23"/>
                <w:szCs w:val="23"/>
                <w:color w:val="auto"/>
              </w:rPr>
            </w:pPr>
          </w:p>
        </w:tc>
        <w:tc>
          <w:tcPr>
            <w:tcW w:w="5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2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11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22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700" w:type="dxa"/>
            <w:vAlign w:val="bottom"/>
          </w:tcPr>
          <w:p>
            <w:pPr>
              <w:ind w:left="40"/>
              <w:spacing w:after="0"/>
              <w:rPr>
                <w:sz w:val="20"/>
                <w:szCs w:val="20"/>
                <w:color w:val="auto"/>
              </w:rPr>
            </w:pPr>
            <w:r>
              <w:rPr>
                <w:rFonts w:ascii="Arial" w:cs="Arial" w:eastAsia="Arial" w:hAnsi="Arial"/>
                <w:sz w:val="16"/>
                <w:szCs w:val="16"/>
                <w:color w:val="auto"/>
              </w:rPr>
              <w:t xml:space="preserve">Health Plans medical margin </w:t>
            </w:r>
            <w:r>
              <w:rPr>
                <w:rFonts w:ascii="Arial" w:cs="Arial" w:eastAsia="Arial" w:hAnsi="Arial"/>
                <w:sz w:val="21"/>
                <w:szCs w:val="21"/>
                <w:color w:val="auto"/>
                <w:vertAlign w:val="superscript"/>
              </w:rPr>
              <w:t>(1)</w:t>
            </w:r>
          </w:p>
        </w:tc>
        <w:tc>
          <w:tcPr>
            <w:tcW w:w="1080" w:type="dxa"/>
            <w:vAlign w:val="bottom"/>
          </w:tcPr>
          <w:p>
            <w:pPr>
              <w:jc w:val="right"/>
              <w:ind w:right="883"/>
              <w:spacing w:after="0"/>
              <w:rPr>
                <w:sz w:val="20"/>
                <w:szCs w:val="20"/>
                <w:color w:val="auto"/>
              </w:rPr>
            </w:pPr>
            <w:r>
              <w:rPr>
                <w:rFonts w:ascii="Arial" w:cs="Arial" w:eastAsia="Arial" w:hAnsi="Arial"/>
                <w:sz w:val="16"/>
                <w:szCs w:val="16"/>
                <w:color w:val="auto"/>
              </w:rPr>
              <w:t>$</w:t>
            </w:r>
          </w:p>
        </w:tc>
        <w:tc>
          <w:tcPr>
            <w:tcW w:w="540" w:type="dxa"/>
            <w:vAlign w:val="bottom"/>
          </w:tcPr>
          <w:p>
            <w:pPr>
              <w:jc w:val="right"/>
              <w:ind w:right="39"/>
              <w:spacing w:after="0"/>
              <w:rPr>
                <w:sz w:val="20"/>
                <w:szCs w:val="20"/>
                <w:color w:val="auto"/>
              </w:rPr>
            </w:pPr>
            <w:r>
              <w:rPr>
                <w:rFonts w:ascii="Arial" w:cs="Arial" w:eastAsia="Arial" w:hAnsi="Arial"/>
                <w:sz w:val="16"/>
                <w:szCs w:val="16"/>
                <w:color w:val="auto"/>
              </w:rPr>
              <w:t>557</w:t>
            </w:r>
          </w:p>
        </w:tc>
        <w:tc>
          <w:tcPr>
            <w:tcW w:w="100" w:type="dxa"/>
            <w:vAlign w:val="bottom"/>
          </w:tcPr>
          <w:p>
            <w:pPr>
              <w:spacing w:after="0"/>
              <w:rPr>
                <w:sz w:val="23"/>
                <w:szCs w:val="23"/>
                <w:color w:val="auto"/>
              </w:rPr>
            </w:pPr>
          </w:p>
        </w:tc>
        <w:tc>
          <w:tcPr>
            <w:tcW w:w="38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1220" w:type="dxa"/>
            <w:vAlign w:val="bottom"/>
          </w:tcPr>
          <w:p>
            <w:pPr>
              <w:jc w:val="right"/>
              <w:ind w:right="40"/>
              <w:spacing w:after="0"/>
              <w:rPr>
                <w:sz w:val="20"/>
                <w:szCs w:val="20"/>
                <w:color w:val="auto"/>
              </w:rPr>
            </w:pPr>
            <w:r>
              <w:rPr>
                <w:rFonts w:ascii="Arial" w:cs="Arial" w:eastAsia="Arial" w:hAnsi="Arial"/>
                <w:sz w:val="16"/>
                <w:szCs w:val="16"/>
                <w:color w:val="auto"/>
              </w:rPr>
              <w:t>443</w:t>
            </w:r>
          </w:p>
        </w:tc>
        <w:tc>
          <w:tcPr>
            <w:tcW w:w="100" w:type="dxa"/>
            <w:vAlign w:val="bottom"/>
          </w:tcPr>
          <w:p>
            <w:pPr>
              <w:spacing w:after="0"/>
              <w:rPr>
                <w:sz w:val="23"/>
                <w:szCs w:val="23"/>
                <w:color w:val="auto"/>
              </w:rPr>
            </w:pPr>
          </w:p>
        </w:tc>
        <w:tc>
          <w:tcPr>
            <w:tcW w:w="420" w:type="dxa"/>
            <w:vAlign w:val="bottom"/>
          </w:tcPr>
          <w:p>
            <w:pPr>
              <w:jc w:val="right"/>
              <w:ind w:right="219"/>
              <w:spacing w:after="0"/>
              <w:rPr>
                <w:sz w:val="20"/>
                <w:szCs w:val="20"/>
                <w:color w:val="auto"/>
              </w:rPr>
            </w:pPr>
            <w:r>
              <w:rPr>
                <w:rFonts w:ascii="Arial" w:cs="Arial" w:eastAsia="Arial" w:hAnsi="Arial"/>
                <w:sz w:val="16"/>
                <w:szCs w:val="16"/>
                <w:color w:val="auto"/>
              </w:rPr>
              <w:t>$</w:t>
            </w:r>
          </w:p>
        </w:tc>
        <w:tc>
          <w:tcPr>
            <w:tcW w:w="1180" w:type="dxa"/>
            <w:vAlign w:val="bottom"/>
          </w:tcPr>
          <w:p>
            <w:pPr>
              <w:jc w:val="right"/>
              <w:ind w:right="20"/>
              <w:spacing w:after="0"/>
              <w:rPr>
                <w:sz w:val="20"/>
                <w:szCs w:val="20"/>
                <w:color w:val="auto"/>
              </w:rPr>
            </w:pPr>
            <w:r>
              <w:rPr>
                <w:rFonts w:ascii="Arial" w:cs="Arial" w:eastAsia="Arial" w:hAnsi="Arial"/>
                <w:sz w:val="16"/>
                <w:szCs w:val="16"/>
                <w:color w:val="auto"/>
              </w:rPr>
              <w:t>1,343</w:t>
            </w:r>
          </w:p>
        </w:tc>
        <w:tc>
          <w:tcPr>
            <w:tcW w:w="100" w:type="dxa"/>
            <w:vAlign w:val="bottom"/>
          </w:tcPr>
          <w:p>
            <w:pPr>
              <w:spacing w:after="0"/>
              <w:rPr>
                <w:sz w:val="23"/>
                <w:szCs w:val="23"/>
                <w:color w:val="auto"/>
              </w:rPr>
            </w:pPr>
          </w:p>
        </w:tc>
        <w:tc>
          <w:tcPr>
            <w:tcW w:w="38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1220" w:type="dxa"/>
            <w:vAlign w:val="bottom"/>
          </w:tcPr>
          <w:p>
            <w:pPr>
              <w:jc w:val="right"/>
              <w:ind w:right="20"/>
              <w:spacing w:after="0"/>
              <w:rPr>
                <w:sz w:val="20"/>
                <w:szCs w:val="20"/>
                <w:color w:val="auto"/>
              </w:rPr>
            </w:pPr>
            <w:r>
              <w:rPr>
                <w:rFonts w:ascii="Arial" w:cs="Arial" w:eastAsia="Arial" w:hAnsi="Arial"/>
                <w:sz w:val="16"/>
                <w:szCs w:val="16"/>
                <w:color w:val="auto"/>
              </w:rPr>
              <w:t>1,285</w:t>
            </w:r>
          </w:p>
        </w:tc>
        <w:tc>
          <w:tcPr>
            <w:tcW w:w="0" w:type="dxa"/>
            <w:vAlign w:val="bottom"/>
          </w:tcPr>
          <w:p>
            <w:pPr>
              <w:spacing w:after="0"/>
              <w:rPr>
                <w:sz w:val="1"/>
                <w:szCs w:val="1"/>
                <w:color w:val="auto"/>
              </w:rPr>
            </w:pPr>
          </w:p>
        </w:tc>
      </w:tr>
      <w:tr>
        <w:trPr>
          <w:trHeight w:val="270"/>
        </w:trPr>
        <w:tc>
          <w:tcPr>
            <w:tcW w:w="4700" w:type="dxa"/>
            <w:vAlign w:val="bottom"/>
            <w:shd w:val="clear" w:color="auto" w:fill="CCEEFF"/>
          </w:tcPr>
          <w:p>
            <w:pPr>
              <w:ind w:left="40"/>
              <w:spacing w:after="0"/>
              <w:rPr>
                <w:sz w:val="20"/>
                <w:szCs w:val="20"/>
                <w:color w:val="auto"/>
              </w:rPr>
            </w:pPr>
            <w:r>
              <w:rPr>
                <w:rFonts w:ascii="Arial" w:cs="Arial" w:eastAsia="Arial" w:hAnsi="Arial"/>
                <w:sz w:val="16"/>
                <w:szCs w:val="16"/>
                <w:color w:val="auto"/>
              </w:rPr>
              <w:t xml:space="preserve">Molina Medicaid Solutions service margin </w:t>
            </w:r>
            <w:r>
              <w:rPr>
                <w:rFonts w:ascii="Arial" w:cs="Arial" w:eastAsia="Arial" w:hAnsi="Arial"/>
                <w:sz w:val="21"/>
                <w:szCs w:val="21"/>
                <w:color w:val="auto"/>
                <w:vertAlign w:val="superscript"/>
              </w:rPr>
              <w:t>(2)</w:t>
            </w:r>
          </w:p>
        </w:tc>
        <w:tc>
          <w:tcPr>
            <w:tcW w:w="1080" w:type="dxa"/>
            <w:vAlign w:val="bottom"/>
            <w:shd w:val="clear" w:color="auto" w:fill="CCEEFF"/>
          </w:tcPr>
          <w:p>
            <w:pPr>
              <w:spacing w:after="0"/>
              <w:rPr>
                <w:sz w:val="23"/>
                <w:szCs w:val="23"/>
                <w:color w:val="auto"/>
              </w:rPr>
            </w:pPr>
          </w:p>
        </w:tc>
        <w:tc>
          <w:tcPr>
            <w:tcW w:w="5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5</w:t>
            </w:r>
          </w:p>
        </w:tc>
        <w:tc>
          <w:tcPr>
            <w:tcW w:w="10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22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6</w:t>
            </w:r>
          </w:p>
        </w:tc>
        <w:tc>
          <w:tcPr>
            <w:tcW w:w="10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118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13</w:t>
            </w:r>
          </w:p>
        </w:tc>
        <w:tc>
          <w:tcPr>
            <w:tcW w:w="10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22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17</w:t>
            </w:r>
          </w:p>
        </w:tc>
        <w:tc>
          <w:tcPr>
            <w:tcW w:w="0" w:type="dxa"/>
            <w:vAlign w:val="bottom"/>
          </w:tcPr>
          <w:p>
            <w:pPr>
              <w:spacing w:after="0"/>
              <w:rPr>
                <w:sz w:val="1"/>
                <w:szCs w:val="1"/>
                <w:color w:val="auto"/>
              </w:rPr>
            </w:pPr>
          </w:p>
        </w:tc>
      </w:tr>
      <w:tr>
        <w:trPr>
          <w:trHeight w:val="270"/>
        </w:trPr>
        <w:tc>
          <w:tcPr>
            <w:tcW w:w="470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 xml:space="preserve">Other </w:t>
            </w:r>
            <w:r>
              <w:rPr>
                <w:rFonts w:ascii="Arial" w:cs="Arial" w:eastAsia="Arial" w:hAnsi="Arial"/>
                <w:sz w:val="21"/>
                <w:szCs w:val="21"/>
                <w:color w:val="auto"/>
                <w:vertAlign w:val="superscript"/>
              </w:rPr>
              <w:t>(2)</w:t>
            </w:r>
          </w:p>
        </w:tc>
        <w:tc>
          <w:tcPr>
            <w:tcW w:w="1080" w:type="dxa"/>
            <w:vAlign w:val="bottom"/>
            <w:tcBorders>
              <w:bottom w:val="single" w:sz="8" w:color="auto"/>
            </w:tcBorders>
          </w:tcPr>
          <w:p>
            <w:pPr>
              <w:spacing w:after="0"/>
              <w:rPr>
                <w:sz w:val="23"/>
                <w:szCs w:val="23"/>
                <w:color w:val="auto"/>
              </w:rPr>
            </w:pPr>
          </w:p>
        </w:tc>
        <w:tc>
          <w:tcPr>
            <w:tcW w:w="5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2</w:t>
            </w:r>
          </w:p>
        </w:tc>
        <w:tc>
          <w:tcPr>
            <w:tcW w:w="100" w:type="dxa"/>
            <w:vAlign w:val="bottom"/>
            <w:tcBorders>
              <w:bottom w:val="single" w:sz="8" w:color="CCEEFF"/>
            </w:tcBorders>
          </w:tcPr>
          <w:p>
            <w:pPr>
              <w:spacing w:after="0"/>
              <w:rPr>
                <w:sz w:val="23"/>
                <w:szCs w:val="23"/>
                <w:color w:val="auto"/>
              </w:rPr>
            </w:pPr>
          </w:p>
        </w:tc>
        <w:tc>
          <w:tcPr>
            <w:tcW w:w="380" w:type="dxa"/>
            <w:vAlign w:val="bottom"/>
            <w:tcBorders>
              <w:bottom w:val="single" w:sz="8" w:color="auto"/>
            </w:tcBorders>
          </w:tcPr>
          <w:p>
            <w:pPr>
              <w:spacing w:after="0"/>
              <w:rPr>
                <w:sz w:val="23"/>
                <w:szCs w:val="23"/>
                <w:color w:val="auto"/>
              </w:rPr>
            </w:pPr>
          </w:p>
        </w:tc>
        <w:tc>
          <w:tcPr>
            <w:tcW w:w="122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8</w:t>
            </w:r>
          </w:p>
        </w:tc>
        <w:tc>
          <w:tcPr>
            <w:tcW w:w="100" w:type="dxa"/>
            <w:vAlign w:val="bottom"/>
            <w:tcBorders>
              <w:bottom w:val="single" w:sz="8" w:color="CCEEFF"/>
            </w:tcBorders>
          </w:tcPr>
          <w:p>
            <w:pPr>
              <w:spacing w:after="0"/>
              <w:rPr>
                <w:sz w:val="23"/>
                <w:szCs w:val="23"/>
                <w:color w:val="auto"/>
              </w:rPr>
            </w:pPr>
          </w:p>
        </w:tc>
        <w:tc>
          <w:tcPr>
            <w:tcW w:w="420" w:type="dxa"/>
            <w:vAlign w:val="bottom"/>
            <w:tcBorders>
              <w:bottom w:val="single" w:sz="8" w:color="auto"/>
            </w:tcBorders>
          </w:tcPr>
          <w:p>
            <w:pPr>
              <w:spacing w:after="0"/>
              <w:rPr>
                <w:sz w:val="23"/>
                <w:szCs w:val="23"/>
                <w:color w:val="auto"/>
              </w:rPr>
            </w:pPr>
          </w:p>
        </w:tc>
        <w:tc>
          <w:tcPr>
            <w:tcW w:w="118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8</w:t>
            </w:r>
          </w:p>
        </w:tc>
        <w:tc>
          <w:tcPr>
            <w:tcW w:w="100" w:type="dxa"/>
            <w:vAlign w:val="bottom"/>
            <w:tcBorders>
              <w:bottom w:val="single" w:sz="8" w:color="CCEEFF"/>
            </w:tcBorders>
          </w:tcPr>
          <w:p>
            <w:pPr>
              <w:spacing w:after="0"/>
              <w:rPr>
                <w:sz w:val="23"/>
                <w:szCs w:val="23"/>
                <w:color w:val="auto"/>
              </w:rPr>
            </w:pPr>
          </w:p>
        </w:tc>
        <w:tc>
          <w:tcPr>
            <w:tcW w:w="380" w:type="dxa"/>
            <w:vAlign w:val="bottom"/>
            <w:tcBorders>
              <w:bottom w:val="single" w:sz="8" w:color="auto"/>
            </w:tcBorders>
          </w:tcPr>
          <w:p>
            <w:pPr>
              <w:spacing w:after="0"/>
              <w:rPr>
                <w:sz w:val="23"/>
                <w:szCs w:val="23"/>
                <w:color w:val="auto"/>
              </w:rPr>
            </w:pPr>
          </w:p>
        </w:tc>
        <w:tc>
          <w:tcPr>
            <w:tcW w:w="122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29</w:t>
            </w:r>
          </w:p>
        </w:tc>
        <w:tc>
          <w:tcPr>
            <w:tcW w:w="0" w:type="dxa"/>
            <w:vAlign w:val="bottom"/>
          </w:tcPr>
          <w:p>
            <w:pPr>
              <w:spacing w:after="0"/>
              <w:rPr>
                <w:sz w:val="1"/>
                <w:szCs w:val="1"/>
                <w:color w:val="auto"/>
              </w:rPr>
            </w:pPr>
          </w:p>
        </w:tc>
      </w:tr>
      <w:tr>
        <w:trPr>
          <w:trHeight w:val="250"/>
        </w:trPr>
        <w:tc>
          <w:tcPr>
            <w:tcW w:w="4700" w:type="dxa"/>
            <w:vAlign w:val="bottom"/>
            <w:shd w:val="clear" w:color="auto" w:fill="CCEEFF"/>
          </w:tcPr>
          <w:p>
            <w:pPr>
              <w:ind w:left="280"/>
              <w:spacing w:after="0"/>
              <w:rPr>
                <w:sz w:val="20"/>
                <w:szCs w:val="20"/>
                <w:color w:val="auto"/>
              </w:rPr>
            </w:pPr>
            <w:r>
              <w:rPr>
                <w:rFonts w:ascii="Arial" w:cs="Arial" w:eastAsia="Arial" w:hAnsi="Arial"/>
                <w:sz w:val="16"/>
                <w:szCs w:val="16"/>
                <w:b w:val="1"/>
                <w:bCs w:val="1"/>
                <w:color w:val="auto"/>
              </w:rPr>
              <w:t>Total segment gross margin</w:t>
            </w:r>
          </w:p>
        </w:tc>
        <w:tc>
          <w:tcPr>
            <w:tcW w:w="1080" w:type="dxa"/>
            <w:vAlign w:val="bottom"/>
            <w:shd w:val="clear" w:color="auto" w:fill="CCEEFF"/>
          </w:tcPr>
          <w:p>
            <w:pPr>
              <w:spacing w:after="0"/>
              <w:rPr>
                <w:sz w:val="21"/>
                <w:szCs w:val="21"/>
                <w:color w:val="auto"/>
              </w:rPr>
            </w:pPr>
          </w:p>
        </w:tc>
        <w:tc>
          <w:tcPr>
            <w:tcW w:w="5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564</w:t>
            </w:r>
          </w:p>
        </w:tc>
        <w:tc>
          <w:tcPr>
            <w:tcW w:w="10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22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457</w:t>
            </w:r>
          </w:p>
        </w:tc>
        <w:tc>
          <w:tcPr>
            <w:tcW w:w="10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118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1,364</w:t>
            </w:r>
          </w:p>
        </w:tc>
        <w:tc>
          <w:tcPr>
            <w:tcW w:w="10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22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1,331</w:t>
            </w:r>
          </w:p>
        </w:tc>
        <w:tc>
          <w:tcPr>
            <w:tcW w:w="0" w:type="dxa"/>
            <w:vAlign w:val="bottom"/>
          </w:tcPr>
          <w:p>
            <w:pPr>
              <w:spacing w:after="0"/>
              <w:rPr>
                <w:sz w:val="1"/>
                <w:szCs w:val="1"/>
                <w:color w:val="auto"/>
              </w:rPr>
            </w:pPr>
          </w:p>
        </w:tc>
      </w:tr>
      <w:tr>
        <w:trPr>
          <w:trHeight w:val="270"/>
        </w:trPr>
        <w:tc>
          <w:tcPr>
            <w:tcW w:w="4700" w:type="dxa"/>
            <w:vAlign w:val="bottom"/>
          </w:tcPr>
          <w:p>
            <w:pPr>
              <w:ind w:left="40"/>
              <w:spacing w:after="0"/>
              <w:rPr>
                <w:sz w:val="20"/>
                <w:szCs w:val="20"/>
                <w:color w:val="auto"/>
              </w:rPr>
            </w:pPr>
            <w:r>
              <w:rPr>
                <w:rFonts w:ascii="Arial" w:cs="Arial" w:eastAsia="Arial" w:hAnsi="Arial"/>
                <w:sz w:val="16"/>
                <w:szCs w:val="16"/>
                <w:color w:val="auto"/>
              </w:rPr>
              <w:t xml:space="preserve">Other operating revenues </w:t>
            </w:r>
            <w:r>
              <w:rPr>
                <w:rFonts w:ascii="Arial" w:cs="Arial" w:eastAsia="Arial" w:hAnsi="Arial"/>
                <w:sz w:val="21"/>
                <w:szCs w:val="21"/>
                <w:color w:val="auto"/>
                <w:vertAlign w:val="superscript"/>
              </w:rPr>
              <w:t>(3)</w:t>
            </w:r>
          </w:p>
        </w:tc>
        <w:tc>
          <w:tcPr>
            <w:tcW w:w="1080" w:type="dxa"/>
            <w:vAlign w:val="bottom"/>
          </w:tcPr>
          <w:p>
            <w:pPr>
              <w:spacing w:after="0"/>
              <w:rPr>
                <w:sz w:val="23"/>
                <w:szCs w:val="23"/>
                <w:color w:val="auto"/>
              </w:rPr>
            </w:pPr>
          </w:p>
        </w:tc>
        <w:tc>
          <w:tcPr>
            <w:tcW w:w="540" w:type="dxa"/>
            <w:vAlign w:val="bottom"/>
          </w:tcPr>
          <w:p>
            <w:pPr>
              <w:jc w:val="right"/>
              <w:ind w:right="39"/>
              <w:spacing w:after="0"/>
              <w:rPr>
                <w:sz w:val="20"/>
                <w:szCs w:val="20"/>
                <w:color w:val="auto"/>
              </w:rPr>
            </w:pPr>
            <w:r>
              <w:rPr>
                <w:rFonts w:ascii="Arial" w:cs="Arial" w:eastAsia="Arial" w:hAnsi="Arial"/>
                <w:sz w:val="16"/>
                <w:szCs w:val="16"/>
                <w:color w:val="auto"/>
              </w:rPr>
              <w:t>124</w:t>
            </w: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220" w:type="dxa"/>
            <w:vAlign w:val="bottom"/>
          </w:tcPr>
          <w:p>
            <w:pPr>
              <w:jc w:val="right"/>
              <w:ind w:right="40"/>
              <w:spacing w:after="0"/>
              <w:rPr>
                <w:sz w:val="20"/>
                <w:szCs w:val="20"/>
                <w:color w:val="auto"/>
              </w:rPr>
            </w:pPr>
            <w:r>
              <w:rPr>
                <w:rFonts w:ascii="Arial" w:cs="Arial" w:eastAsia="Arial" w:hAnsi="Arial"/>
                <w:sz w:val="16"/>
                <w:szCs w:val="16"/>
                <w:color w:val="auto"/>
              </w:rPr>
              <w:t>222</w:t>
            </w:r>
          </w:p>
        </w:tc>
        <w:tc>
          <w:tcPr>
            <w:tcW w:w="1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180" w:type="dxa"/>
            <w:vAlign w:val="bottom"/>
          </w:tcPr>
          <w:p>
            <w:pPr>
              <w:jc w:val="right"/>
              <w:ind w:right="20"/>
              <w:spacing w:after="0"/>
              <w:rPr>
                <w:sz w:val="20"/>
                <w:szCs w:val="20"/>
                <w:color w:val="auto"/>
              </w:rPr>
            </w:pPr>
            <w:r>
              <w:rPr>
                <w:rFonts w:ascii="Arial" w:cs="Arial" w:eastAsia="Arial" w:hAnsi="Arial"/>
                <w:sz w:val="16"/>
                <w:szCs w:val="16"/>
                <w:color w:val="auto"/>
              </w:rPr>
              <w:t>379</w:t>
            </w: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220" w:type="dxa"/>
            <w:vAlign w:val="bottom"/>
          </w:tcPr>
          <w:p>
            <w:pPr>
              <w:jc w:val="right"/>
              <w:ind w:right="20"/>
              <w:spacing w:after="0"/>
              <w:rPr>
                <w:sz w:val="20"/>
                <w:szCs w:val="20"/>
                <w:color w:val="auto"/>
              </w:rPr>
            </w:pPr>
            <w:r>
              <w:rPr>
                <w:rFonts w:ascii="Arial" w:cs="Arial" w:eastAsia="Arial" w:hAnsi="Arial"/>
                <w:sz w:val="16"/>
                <w:szCs w:val="16"/>
                <w:color w:val="auto"/>
              </w:rPr>
              <w:t>625</w:t>
            </w:r>
          </w:p>
        </w:tc>
        <w:tc>
          <w:tcPr>
            <w:tcW w:w="0" w:type="dxa"/>
            <w:vAlign w:val="bottom"/>
          </w:tcPr>
          <w:p>
            <w:pPr>
              <w:spacing w:after="0"/>
              <w:rPr>
                <w:sz w:val="1"/>
                <w:szCs w:val="1"/>
                <w:color w:val="auto"/>
              </w:rPr>
            </w:pPr>
          </w:p>
        </w:tc>
      </w:tr>
      <w:tr>
        <w:trPr>
          <w:trHeight w:val="270"/>
        </w:trPr>
        <w:tc>
          <w:tcPr>
            <w:tcW w:w="4700" w:type="dxa"/>
            <w:vAlign w:val="bottom"/>
            <w:shd w:val="clear" w:color="auto" w:fill="CCEEFF"/>
          </w:tcPr>
          <w:p>
            <w:pPr>
              <w:ind w:left="40"/>
              <w:spacing w:after="0"/>
              <w:rPr>
                <w:sz w:val="20"/>
                <w:szCs w:val="20"/>
                <w:color w:val="auto"/>
              </w:rPr>
            </w:pPr>
            <w:r>
              <w:rPr>
                <w:rFonts w:ascii="Arial" w:cs="Arial" w:eastAsia="Arial" w:hAnsi="Arial"/>
                <w:sz w:val="16"/>
                <w:szCs w:val="16"/>
                <w:color w:val="auto"/>
              </w:rPr>
              <w:t xml:space="preserve">Other operating expenses </w:t>
            </w:r>
            <w:r>
              <w:rPr>
                <w:rFonts w:ascii="Arial" w:cs="Arial" w:eastAsia="Arial" w:hAnsi="Arial"/>
                <w:sz w:val="21"/>
                <w:szCs w:val="21"/>
                <w:color w:val="auto"/>
                <w:vertAlign w:val="superscript"/>
              </w:rPr>
              <w:t>(4)</w:t>
            </w:r>
          </w:p>
        </w:tc>
        <w:tc>
          <w:tcPr>
            <w:tcW w:w="1080" w:type="dxa"/>
            <w:vAlign w:val="bottom"/>
            <w:tcBorders>
              <w:bottom w:val="single" w:sz="8" w:color="auto"/>
            </w:tcBorders>
            <w:shd w:val="clear" w:color="auto" w:fill="CCEEFF"/>
          </w:tcPr>
          <w:p>
            <w:pPr>
              <w:spacing w:after="0"/>
              <w:rPr>
                <w:sz w:val="23"/>
                <w:szCs w:val="23"/>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(769)</w:t>
            </w:r>
          </w:p>
        </w:tc>
        <w:tc>
          <w:tcPr>
            <w:tcW w:w="100" w:type="dxa"/>
            <w:vAlign w:val="bottom"/>
            <w:shd w:val="clear" w:color="auto" w:fill="CCEEFF"/>
          </w:tcPr>
          <w:p>
            <w:pPr>
              <w:spacing w:after="0"/>
              <w:rPr>
                <w:sz w:val="23"/>
                <w:szCs w:val="23"/>
                <w:color w:val="auto"/>
              </w:rPr>
            </w:pPr>
          </w:p>
        </w:tc>
        <w:tc>
          <w:tcPr>
            <w:tcW w:w="380" w:type="dxa"/>
            <w:vAlign w:val="bottom"/>
            <w:tcBorders>
              <w:bottom w:val="single" w:sz="8" w:color="auto"/>
            </w:tcBorders>
            <w:shd w:val="clear" w:color="auto" w:fill="CCEEFF"/>
          </w:tcPr>
          <w:p>
            <w:pPr>
              <w:spacing w:after="0"/>
              <w:rPr>
                <w:sz w:val="23"/>
                <w:szCs w:val="23"/>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(561)</w:t>
            </w:r>
          </w:p>
        </w:tc>
        <w:tc>
          <w:tcPr>
            <w:tcW w:w="100" w:type="dxa"/>
            <w:vAlign w:val="bottom"/>
            <w:shd w:val="clear" w:color="auto" w:fill="CCEEFF"/>
          </w:tcPr>
          <w:p>
            <w:pPr>
              <w:spacing w:after="0"/>
              <w:rPr>
                <w:sz w:val="23"/>
                <w:szCs w:val="23"/>
                <w:color w:val="auto"/>
              </w:rPr>
            </w:pPr>
          </w:p>
        </w:tc>
        <w:tc>
          <w:tcPr>
            <w:tcW w:w="420" w:type="dxa"/>
            <w:vAlign w:val="bottom"/>
            <w:tcBorders>
              <w:bottom w:val="single" w:sz="8" w:color="auto"/>
            </w:tcBorders>
            <w:shd w:val="clear" w:color="auto" w:fill="CCEEFF"/>
          </w:tcPr>
          <w:p>
            <w:pPr>
              <w:spacing w:after="0"/>
              <w:rPr>
                <w:sz w:val="23"/>
                <w:szCs w:val="23"/>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(2,029)</w:t>
            </w:r>
          </w:p>
        </w:tc>
        <w:tc>
          <w:tcPr>
            <w:tcW w:w="100" w:type="dxa"/>
            <w:vAlign w:val="bottom"/>
            <w:shd w:val="clear" w:color="auto" w:fill="CCEEFF"/>
          </w:tcPr>
          <w:p>
            <w:pPr>
              <w:spacing w:after="0"/>
              <w:rPr>
                <w:sz w:val="23"/>
                <w:szCs w:val="23"/>
                <w:color w:val="auto"/>
              </w:rPr>
            </w:pPr>
          </w:p>
        </w:tc>
        <w:tc>
          <w:tcPr>
            <w:tcW w:w="380" w:type="dxa"/>
            <w:vAlign w:val="bottom"/>
            <w:tcBorders>
              <w:bottom w:val="single" w:sz="8" w:color="auto"/>
            </w:tcBorders>
            <w:shd w:val="clear" w:color="auto" w:fill="CCEEFF"/>
          </w:tcPr>
          <w:p>
            <w:pPr>
              <w:spacing w:after="0"/>
              <w:rPr>
                <w:sz w:val="23"/>
                <w:szCs w:val="23"/>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(1,644)</w:t>
            </w:r>
          </w:p>
        </w:tc>
        <w:tc>
          <w:tcPr>
            <w:tcW w:w="0" w:type="dxa"/>
            <w:vAlign w:val="bottom"/>
          </w:tcPr>
          <w:p>
            <w:pPr>
              <w:spacing w:after="0"/>
              <w:rPr>
                <w:sz w:val="1"/>
                <w:szCs w:val="1"/>
                <w:color w:val="auto"/>
              </w:rPr>
            </w:pPr>
          </w:p>
        </w:tc>
      </w:tr>
      <w:tr>
        <w:trPr>
          <w:trHeight w:val="246"/>
        </w:trPr>
        <w:tc>
          <w:tcPr>
            <w:tcW w:w="4700" w:type="dxa"/>
            <w:vAlign w:val="bottom"/>
          </w:tcPr>
          <w:p>
            <w:pPr>
              <w:ind w:left="40"/>
              <w:spacing w:after="0"/>
              <w:rPr>
                <w:sz w:val="20"/>
                <w:szCs w:val="20"/>
                <w:color w:val="auto"/>
              </w:rPr>
            </w:pPr>
            <w:r>
              <w:rPr>
                <w:rFonts w:ascii="Arial" w:cs="Arial" w:eastAsia="Arial" w:hAnsi="Arial"/>
                <w:sz w:val="16"/>
                <w:szCs w:val="16"/>
                <w:b w:val="1"/>
                <w:bCs w:val="1"/>
                <w:color w:val="auto"/>
              </w:rPr>
              <w:t>Operating (loss) income</w:t>
            </w:r>
          </w:p>
        </w:tc>
        <w:tc>
          <w:tcPr>
            <w:tcW w:w="108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(81)</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40"/>
              <w:spacing w:after="0"/>
              <w:rPr>
                <w:sz w:val="20"/>
                <w:szCs w:val="20"/>
                <w:color w:val="auto"/>
              </w:rPr>
            </w:pPr>
            <w:r>
              <w:rPr>
                <w:rFonts w:ascii="Arial" w:cs="Arial" w:eastAsia="Arial" w:hAnsi="Arial"/>
                <w:sz w:val="16"/>
                <w:szCs w:val="16"/>
                <w:color w:val="auto"/>
              </w:rPr>
              <w:t>118</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(286)</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20"/>
              <w:spacing w:after="0"/>
              <w:rPr>
                <w:sz w:val="20"/>
                <w:szCs w:val="20"/>
                <w:color w:val="auto"/>
              </w:rPr>
            </w:pPr>
            <w:r>
              <w:rPr>
                <w:rFonts w:ascii="Arial" w:cs="Arial" w:eastAsia="Arial" w:hAnsi="Arial"/>
                <w:sz w:val="16"/>
                <w:szCs w:val="16"/>
                <w:color w:val="auto"/>
              </w:rPr>
              <w:t>312</w:t>
            </w:r>
          </w:p>
        </w:tc>
        <w:tc>
          <w:tcPr>
            <w:tcW w:w="0" w:type="dxa"/>
            <w:vAlign w:val="bottom"/>
          </w:tcPr>
          <w:p>
            <w:pPr>
              <w:spacing w:after="0"/>
              <w:rPr>
                <w:sz w:val="1"/>
                <w:szCs w:val="1"/>
                <w:color w:val="auto"/>
              </w:rPr>
            </w:pPr>
          </w:p>
        </w:tc>
      </w:tr>
      <w:tr>
        <w:trPr>
          <w:trHeight w:val="274"/>
        </w:trPr>
        <w:tc>
          <w:tcPr>
            <w:tcW w:w="4700" w:type="dxa"/>
            <w:vAlign w:val="bottom"/>
            <w:shd w:val="clear" w:color="auto" w:fill="CCEEFF"/>
          </w:tcPr>
          <w:p>
            <w:pPr>
              <w:ind w:left="40"/>
              <w:spacing w:after="0"/>
              <w:rPr>
                <w:sz w:val="20"/>
                <w:szCs w:val="20"/>
                <w:color w:val="auto"/>
              </w:rPr>
            </w:pPr>
            <w:r>
              <w:rPr>
                <w:rFonts w:ascii="Arial" w:cs="Arial" w:eastAsia="Arial" w:hAnsi="Arial"/>
                <w:sz w:val="16"/>
                <w:szCs w:val="16"/>
                <w:color w:val="auto"/>
              </w:rPr>
              <w:t>Other expenses, net</w:t>
            </w:r>
          </w:p>
        </w:tc>
        <w:tc>
          <w:tcPr>
            <w:tcW w:w="1080" w:type="dxa"/>
            <w:vAlign w:val="bottom"/>
            <w:tcBorders>
              <w:bottom w:val="single" w:sz="8" w:color="auto"/>
            </w:tcBorders>
            <w:shd w:val="clear" w:color="auto" w:fill="CCEEFF"/>
          </w:tcPr>
          <w:p>
            <w:pPr>
              <w:spacing w:after="0"/>
              <w:rPr>
                <w:sz w:val="23"/>
                <w:szCs w:val="23"/>
                <w:color w:val="auto"/>
              </w:rPr>
            </w:pPr>
          </w:p>
        </w:tc>
        <w:tc>
          <w:tcPr>
            <w:tcW w:w="5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32</w:t>
            </w:r>
          </w:p>
        </w:tc>
        <w:tc>
          <w:tcPr>
            <w:tcW w:w="100" w:type="dxa"/>
            <w:vAlign w:val="bottom"/>
            <w:shd w:val="clear" w:color="auto" w:fill="CCEEFF"/>
          </w:tcPr>
          <w:p>
            <w:pPr>
              <w:spacing w:after="0"/>
              <w:rPr>
                <w:sz w:val="23"/>
                <w:szCs w:val="23"/>
                <w:color w:val="auto"/>
              </w:rPr>
            </w:pPr>
          </w:p>
        </w:tc>
        <w:tc>
          <w:tcPr>
            <w:tcW w:w="380" w:type="dxa"/>
            <w:vAlign w:val="bottom"/>
            <w:tcBorders>
              <w:bottom w:val="single" w:sz="8" w:color="auto"/>
            </w:tcBorders>
            <w:shd w:val="clear" w:color="auto" w:fill="CCEEFF"/>
          </w:tcPr>
          <w:p>
            <w:pPr>
              <w:spacing w:after="0"/>
              <w:rPr>
                <w:sz w:val="23"/>
                <w:szCs w:val="23"/>
                <w:color w:val="auto"/>
              </w:rPr>
            </w:pPr>
          </w:p>
        </w:tc>
        <w:tc>
          <w:tcPr>
            <w:tcW w:w="122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26</w:t>
            </w:r>
          </w:p>
        </w:tc>
        <w:tc>
          <w:tcPr>
            <w:tcW w:w="100" w:type="dxa"/>
            <w:vAlign w:val="bottom"/>
            <w:shd w:val="clear" w:color="auto" w:fill="CCEEFF"/>
          </w:tcPr>
          <w:p>
            <w:pPr>
              <w:spacing w:after="0"/>
              <w:rPr>
                <w:sz w:val="23"/>
                <w:szCs w:val="23"/>
                <w:color w:val="auto"/>
              </w:rPr>
            </w:pPr>
          </w:p>
        </w:tc>
        <w:tc>
          <w:tcPr>
            <w:tcW w:w="420" w:type="dxa"/>
            <w:vAlign w:val="bottom"/>
            <w:tcBorders>
              <w:bottom w:val="single" w:sz="8" w:color="auto"/>
            </w:tcBorders>
            <w:shd w:val="clear" w:color="auto" w:fill="CCEEFF"/>
          </w:tcPr>
          <w:p>
            <w:pPr>
              <w:spacing w:after="0"/>
              <w:rPr>
                <w:sz w:val="23"/>
                <w:szCs w:val="23"/>
                <w:color w:val="auto"/>
              </w:rPr>
            </w:pPr>
          </w:p>
        </w:tc>
        <w:tc>
          <w:tcPr>
            <w:tcW w:w="118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10</w:t>
            </w:r>
          </w:p>
        </w:tc>
        <w:tc>
          <w:tcPr>
            <w:tcW w:w="100" w:type="dxa"/>
            <w:vAlign w:val="bottom"/>
            <w:shd w:val="clear" w:color="auto" w:fill="CCEEFF"/>
          </w:tcPr>
          <w:p>
            <w:pPr>
              <w:spacing w:after="0"/>
              <w:rPr>
                <w:sz w:val="23"/>
                <w:szCs w:val="23"/>
                <w:color w:val="auto"/>
              </w:rPr>
            </w:pPr>
          </w:p>
        </w:tc>
        <w:tc>
          <w:tcPr>
            <w:tcW w:w="380" w:type="dxa"/>
            <w:vAlign w:val="bottom"/>
            <w:tcBorders>
              <w:bottom w:val="single" w:sz="8" w:color="auto"/>
            </w:tcBorders>
            <w:shd w:val="clear" w:color="auto" w:fill="CCEEFF"/>
          </w:tcPr>
          <w:p>
            <w:pPr>
              <w:spacing w:after="0"/>
              <w:rPr>
                <w:sz w:val="23"/>
                <w:szCs w:val="23"/>
                <w:color w:val="auto"/>
              </w:rPr>
            </w:pPr>
          </w:p>
        </w:tc>
        <w:tc>
          <w:tcPr>
            <w:tcW w:w="122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76</w:t>
            </w:r>
          </w:p>
        </w:tc>
        <w:tc>
          <w:tcPr>
            <w:tcW w:w="0" w:type="dxa"/>
            <w:vAlign w:val="bottom"/>
          </w:tcPr>
          <w:p>
            <w:pPr>
              <w:spacing w:after="0"/>
              <w:rPr>
                <w:sz w:val="1"/>
                <w:szCs w:val="1"/>
                <w:color w:val="auto"/>
              </w:rPr>
            </w:pPr>
          </w:p>
        </w:tc>
      </w:tr>
      <w:tr>
        <w:trPr>
          <w:trHeight w:val="246"/>
        </w:trPr>
        <w:tc>
          <w:tcPr>
            <w:tcW w:w="4700" w:type="dxa"/>
            <w:vAlign w:val="bottom"/>
          </w:tcPr>
          <w:p>
            <w:pPr>
              <w:ind w:left="40"/>
              <w:spacing w:after="0"/>
              <w:rPr>
                <w:sz w:val="20"/>
                <w:szCs w:val="20"/>
                <w:color w:val="auto"/>
              </w:rPr>
            </w:pPr>
            <w:r>
              <w:rPr>
                <w:rFonts w:ascii="Arial" w:cs="Arial" w:eastAsia="Arial" w:hAnsi="Arial"/>
                <w:sz w:val="16"/>
                <w:szCs w:val="16"/>
                <w:b w:val="1"/>
                <w:bCs w:val="1"/>
                <w:color w:val="auto"/>
              </w:rPr>
              <w:t>(Loss) income before income tax expense</w:t>
            </w:r>
          </w:p>
        </w:tc>
        <w:tc>
          <w:tcPr>
            <w:tcW w:w="108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(113)</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40"/>
              <w:spacing w:after="0"/>
              <w:rPr>
                <w:sz w:val="20"/>
                <w:szCs w:val="20"/>
                <w:color w:val="auto"/>
              </w:rPr>
            </w:pPr>
            <w:r>
              <w:rPr>
                <w:rFonts w:ascii="Arial" w:cs="Arial" w:eastAsia="Arial" w:hAnsi="Arial"/>
                <w:sz w:val="16"/>
                <w:szCs w:val="16"/>
                <w:color w:val="auto"/>
              </w:rPr>
              <w:t>92</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(296)</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20"/>
              <w:spacing w:after="0"/>
              <w:rPr>
                <w:sz w:val="20"/>
                <w:szCs w:val="20"/>
                <w:color w:val="auto"/>
              </w:rPr>
            </w:pPr>
            <w:r>
              <w:rPr>
                <w:rFonts w:ascii="Arial" w:cs="Arial" w:eastAsia="Arial" w:hAnsi="Arial"/>
                <w:sz w:val="16"/>
                <w:szCs w:val="16"/>
                <w:color w:val="auto"/>
              </w:rPr>
              <w:t>236</w:t>
            </w:r>
          </w:p>
        </w:tc>
        <w:tc>
          <w:tcPr>
            <w:tcW w:w="0" w:type="dxa"/>
            <w:vAlign w:val="bottom"/>
          </w:tcPr>
          <w:p>
            <w:pPr>
              <w:spacing w:after="0"/>
              <w:rPr>
                <w:sz w:val="1"/>
                <w:szCs w:val="1"/>
                <w:color w:val="auto"/>
              </w:rPr>
            </w:pPr>
          </w:p>
        </w:tc>
      </w:tr>
      <w:tr>
        <w:trPr>
          <w:trHeight w:val="267"/>
        </w:trPr>
        <w:tc>
          <w:tcPr>
            <w:tcW w:w="4700" w:type="dxa"/>
            <w:vAlign w:val="bottom"/>
            <w:shd w:val="clear" w:color="auto" w:fill="CCEEFF"/>
          </w:tcPr>
          <w:p>
            <w:pPr>
              <w:ind w:left="40"/>
              <w:spacing w:after="0"/>
              <w:rPr>
                <w:sz w:val="20"/>
                <w:szCs w:val="20"/>
                <w:color w:val="auto"/>
              </w:rPr>
            </w:pPr>
            <w:r>
              <w:rPr>
                <w:rFonts w:ascii="Arial" w:cs="Arial" w:eastAsia="Arial" w:hAnsi="Arial"/>
                <w:sz w:val="16"/>
                <w:szCs w:val="16"/>
                <w:color w:val="auto"/>
              </w:rPr>
              <w:t>Income tax (benefit) expense</w:t>
            </w:r>
          </w:p>
        </w:tc>
        <w:tc>
          <w:tcPr>
            <w:tcW w:w="1080" w:type="dxa"/>
            <w:vAlign w:val="bottom"/>
            <w:tcBorders>
              <w:bottom w:val="single" w:sz="8" w:color="auto"/>
            </w:tcBorders>
            <w:shd w:val="clear" w:color="auto" w:fill="CCEEFF"/>
          </w:tcPr>
          <w:p>
            <w:pPr>
              <w:spacing w:after="0"/>
              <w:rPr>
                <w:sz w:val="23"/>
                <w:szCs w:val="23"/>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w:t>
            </w:r>
          </w:p>
        </w:tc>
        <w:tc>
          <w:tcPr>
            <w:tcW w:w="100" w:type="dxa"/>
            <w:vAlign w:val="bottom"/>
            <w:shd w:val="clear" w:color="auto" w:fill="CCEEFF"/>
          </w:tcPr>
          <w:p>
            <w:pPr>
              <w:spacing w:after="0"/>
              <w:rPr>
                <w:sz w:val="23"/>
                <w:szCs w:val="23"/>
                <w:color w:val="auto"/>
              </w:rPr>
            </w:pPr>
          </w:p>
        </w:tc>
        <w:tc>
          <w:tcPr>
            <w:tcW w:w="380" w:type="dxa"/>
            <w:vAlign w:val="bottom"/>
            <w:tcBorders>
              <w:bottom w:val="single" w:sz="8" w:color="auto"/>
            </w:tcBorders>
            <w:shd w:val="clear" w:color="auto" w:fill="CCEEFF"/>
          </w:tcPr>
          <w:p>
            <w:pPr>
              <w:spacing w:after="0"/>
              <w:rPr>
                <w:sz w:val="23"/>
                <w:szCs w:val="23"/>
                <w:color w:val="auto"/>
              </w:rPr>
            </w:pPr>
          </w:p>
        </w:tc>
        <w:tc>
          <w:tcPr>
            <w:tcW w:w="122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50</w:t>
            </w:r>
          </w:p>
        </w:tc>
        <w:tc>
          <w:tcPr>
            <w:tcW w:w="100" w:type="dxa"/>
            <w:vAlign w:val="bottom"/>
            <w:shd w:val="clear" w:color="auto" w:fill="CCEEFF"/>
          </w:tcPr>
          <w:p>
            <w:pPr>
              <w:spacing w:after="0"/>
              <w:rPr>
                <w:sz w:val="23"/>
                <w:szCs w:val="23"/>
                <w:color w:val="auto"/>
              </w:rPr>
            </w:pPr>
          </w:p>
        </w:tc>
        <w:tc>
          <w:tcPr>
            <w:tcW w:w="420" w:type="dxa"/>
            <w:vAlign w:val="bottom"/>
            <w:tcBorders>
              <w:bottom w:val="single" w:sz="8" w:color="auto"/>
            </w:tcBorders>
            <w:shd w:val="clear" w:color="auto" w:fill="CCEEFF"/>
          </w:tcPr>
          <w:p>
            <w:pPr>
              <w:spacing w:after="0"/>
              <w:rPr>
                <w:sz w:val="23"/>
                <w:szCs w:val="23"/>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(46)</w:t>
            </w:r>
          </w:p>
        </w:tc>
        <w:tc>
          <w:tcPr>
            <w:tcW w:w="100" w:type="dxa"/>
            <w:vAlign w:val="bottom"/>
            <w:shd w:val="clear" w:color="auto" w:fill="CCEEFF"/>
          </w:tcPr>
          <w:p>
            <w:pPr>
              <w:spacing w:after="0"/>
              <w:rPr>
                <w:sz w:val="23"/>
                <w:szCs w:val="23"/>
                <w:color w:val="auto"/>
              </w:rPr>
            </w:pPr>
          </w:p>
        </w:tc>
        <w:tc>
          <w:tcPr>
            <w:tcW w:w="380" w:type="dxa"/>
            <w:vAlign w:val="bottom"/>
            <w:tcBorders>
              <w:bottom w:val="single" w:sz="8" w:color="auto"/>
            </w:tcBorders>
            <w:shd w:val="clear" w:color="auto" w:fill="CCEEFF"/>
          </w:tcPr>
          <w:p>
            <w:pPr>
              <w:spacing w:after="0"/>
              <w:rPr>
                <w:sz w:val="23"/>
                <w:szCs w:val="23"/>
                <w:color w:val="auto"/>
              </w:rPr>
            </w:pPr>
          </w:p>
        </w:tc>
        <w:tc>
          <w:tcPr>
            <w:tcW w:w="122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137</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6"/>
                <w:szCs w:val="16"/>
                <w:b w:val="1"/>
                <w:bCs w:val="1"/>
                <w:color w:val="auto"/>
              </w:rPr>
              <w:t>Net (loss) income</w:t>
            </w:r>
          </w:p>
        </w:tc>
        <w:tc>
          <w:tcPr>
            <w:tcW w:w="1080" w:type="dxa"/>
            <w:vAlign w:val="bottom"/>
            <w:tcBorders>
              <w:bottom w:val="single" w:sz="8" w:color="auto"/>
            </w:tcBorders>
          </w:tcPr>
          <w:p>
            <w:pPr>
              <w:jc w:val="right"/>
              <w:ind w:right="883"/>
              <w:spacing w:after="0"/>
              <w:rPr>
                <w:sz w:val="20"/>
                <w:szCs w:val="20"/>
                <w:color w:val="auto"/>
              </w:rPr>
            </w:pPr>
            <w:r>
              <w:rPr>
                <w:rFonts w:ascii="Arial" w:cs="Arial" w:eastAsia="Arial" w:hAnsi="Arial"/>
                <w:sz w:val="16"/>
                <w:szCs w:val="16"/>
                <w:color w:val="auto"/>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(97)</w:t>
            </w:r>
          </w:p>
        </w:tc>
        <w:tc>
          <w:tcPr>
            <w:tcW w:w="100" w:type="dxa"/>
            <w:vAlign w:val="bottom"/>
          </w:tcPr>
          <w:p>
            <w:pPr>
              <w:spacing w:after="0"/>
              <w:rPr>
                <w:sz w:val="21"/>
                <w:szCs w:val="21"/>
                <w:color w:val="auto"/>
              </w:rPr>
            </w:pPr>
          </w:p>
        </w:tc>
        <w:tc>
          <w:tcPr>
            <w:tcW w:w="38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42</w:t>
            </w:r>
          </w:p>
        </w:tc>
        <w:tc>
          <w:tcPr>
            <w:tcW w:w="100" w:type="dxa"/>
            <w:vAlign w:val="bottom"/>
          </w:tcPr>
          <w:p>
            <w:pPr>
              <w:spacing w:after="0"/>
              <w:rPr>
                <w:sz w:val="21"/>
                <w:szCs w:val="21"/>
                <w:color w:val="auto"/>
              </w:rPr>
            </w:pPr>
          </w:p>
        </w:tc>
        <w:tc>
          <w:tcPr>
            <w:tcW w:w="42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(250)</w:t>
            </w:r>
          </w:p>
        </w:tc>
        <w:tc>
          <w:tcPr>
            <w:tcW w:w="100" w:type="dxa"/>
            <w:vAlign w:val="bottom"/>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99</w:t>
            </w:r>
          </w:p>
        </w:tc>
        <w:tc>
          <w:tcPr>
            <w:tcW w:w="0" w:type="dxa"/>
            <w:vAlign w:val="bottom"/>
          </w:tcPr>
          <w:p>
            <w:pPr>
              <w:spacing w:after="0"/>
              <w:rPr>
                <w:sz w:val="1"/>
                <w:szCs w:val="1"/>
                <w:color w:val="auto"/>
              </w:rPr>
            </w:pPr>
          </w:p>
        </w:tc>
      </w:tr>
      <w:tr>
        <w:trPr>
          <w:trHeight w:val="20"/>
        </w:trPr>
        <w:tc>
          <w:tcPr>
            <w:tcW w:w="4700" w:type="dxa"/>
            <w:vAlign w:val="bottom"/>
            <w:vMerge w:val="restart"/>
          </w:tcPr>
          <w:p>
            <w:pPr>
              <w:spacing w:after="0"/>
              <w:rPr>
                <w:sz w:val="20"/>
                <w:szCs w:val="20"/>
                <w:color w:val="auto"/>
              </w:rPr>
            </w:pPr>
            <w:r>
              <w:rPr>
                <w:rFonts w:ascii="Arial" w:cs="Arial" w:eastAsia="Arial" w:hAnsi="Arial"/>
                <w:sz w:val="18"/>
                <w:szCs w:val="18"/>
                <w:color w:val="auto"/>
              </w:rPr>
              <w:t>_______________________</w:t>
            </w:r>
          </w:p>
        </w:tc>
        <w:tc>
          <w:tcPr>
            <w:tcW w:w="10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1"/>
        </w:trPr>
        <w:tc>
          <w:tcPr>
            <w:tcW w:w="4700" w:type="dxa"/>
            <w:vAlign w:val="bottom"/>
            <w:vMerge w:val="continue"/>
          </w:tcPr>
          <w:p>
            <w:pPr>
              <w:spacing w:after="0"/>
              <w:rPr>
                <w:sz w:val="17"/>
                <w:szCs w:val="17"/>
                <w:color w:val="auto"/>
              </w:rPr>
            </w:pPr>
          </w:p>
        </w:tc>
        <w:tc>
          <w:tcPr>
            <w:tcW w:w="10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86" w:lineRule="exact"/>
        <w:rPr>
          <w:sz w:val="20"/>
          <w:szCs w:val="20"/>
          <w:color w:val="auto"/>
        </w:rPr>
      </w:pPr>
    </w:p>
    <w:p>
      <w:pPr>
        <w:ind w:left="340" w:hanging="332"/>
        <w:spacing w:after="0"/>
        <w:tabs>
          <w:tab w:leader="none" w:pos="340" w:val="left"/>
        </w:tabs>
        <w:numPr>
          <w:ilvl w:val="0"/>
          <w:numId w:val="17"/>
        </w:numPr>
        <w:rPr>
          <w:rFonts w:ascii="Arial" w:cs="Arial" w:eastAsia="Arial" w:hAnsi="Arial"/>
          <w:sz w:val="16"/>
          <w:szCs w:val="16"/>
          <w:color w:val="auto"/>
        </w:rPr>
      </w:pPr>
      <w:r>
        <w:rPr>
          <w:rFonts w:ascii="Arial" w:cs="Arial" w:eastAsia="Arial" w:hAnsi="Arial"/>
          <w:sz w:val="16"/>
          <w:szCs w:val="16"/>
          <w:color w:val="auto"/>
        </w:rPr>
        <w:t>Represents premium revenue minus medical care costs.</w:t>
      </w:r>
    </w:p>
    <w:p>
      <w:pPr>
        <w:spacing w:after="0" w:line="25" w:lineRule="exact"/>
        <w:rPr>
          <w:rFonts w:ascii="Arial" w:cs="Arial" w:eastAsia="Arial" w:hAnsi="Arial"/>
          <w:sz w:val="16"/>
          <w:szCs w:val="16"/>
          <w:color w:val="auto"/>
        </w:rPr>
      </w:pPr>
    </w:p>
    <w:p>
      <w:pPr>
        <w:ind w:left="340" w:hanging="332"/>
        <w:spacing w:after="0"/>
        <w:tabs>
          <w:tab w:leader="none" w:pos="340" w:val="left"/>
        </w:tabs>
        <w:numPr>
          <w:ilvl w:val="0"/>
          <w:numId w:val="17"/>
        </w:numPr>
        <w:rPr>
          <w:rFonts w:ascii="Arial" w:cs="Arial" w:eastAsia="Arial" w:hAnsi="Arial"/>
          <w:sz w:val="16"/>
          <w:szCs w:val="16"/>
          <w:color w:val="auto"/>
        </w:rPr>
      </w:pPr>
      <w:r>
        <w:rPr>
          <w:rFonts w:ascii="Arial" w:cs="Arial" w:eastAsia="Arial" w:hAnsi="Arial"/>
          <w:sz w:val="16"/>
          <w:szCs w:val="16"/>
          <w:color w:val="auto"/>
        </w:rPr>
        <w:t>Represents service revenue minus cost of service revenue.</w:t>
      </w:r>
    </w:p>
    <w:p>
      <w:pPr>
        <w:spacing w:after="0" w:line="5" w:lineRule="exact"/>
        <w:rPr>
          <w:rFonts w:ascii="Arial" w:cs="Arial" w:eastAsia="Arial" w:hAnsi="Arial"/>
          <w:sz w:val="16"/>
          <w:szCs w:val="16"/>
          <w:color w:val="auto"/>
        </w:rPr>
      </w:pPr>
    </w:p>
    <w:p>
      <w:pPr>
        <w:ind w:left="340" w:hanging="332"/>
        <w:spacing w:after="0"/>
        <w:tabs>
          <w:tab w:leader="none" w:pos="340" w:val="left"/>
        </w:tabs>
        <w:numPr>
          <w:ilvl w:val="0"/>
          <w:numId w:val="17"/>
        </w:numPr>
        <w:rPr>
          <w:rFonts w:ascii="Arial" w:cs="Arial" w:eastAsia="Arial" w:hAnsi="Arial"/>
          <w:sz w:val="16"/>
          <w:szCs w:val="16"/>
          <w:color w:val="auto"/>
        </w:rPr>
      </w:pPr>
      <w:r>
        <w:rPr>
          <w:rFonts w:ascii="Arial" w:cs="Arial" w:eastAsia="Arial" w:hAnsi="Arial"/>
          <w:sz w:val="16"/>
          <w:szCs w:val="16"/>
          <w:color w:val="auto"/>
        </w:rPr>
        <w:t>Other operating revenues include premium tax revenue, health insurer fee revenue, investment income and other revenue.</w:t>
      </w:r>
    </w:p>
    <w:p>
      <w:pPr>
        <w:spacing w:after="0" w:line="5" w:lineRule="exact"/>
        <w:rPr>
          <w:rFonts w:ascii="Arial" w:cs="Arial" w:eastAsia="Arial" w:hAnsi="Arial"/>
          <w:sz w:val="16"/>
          <w:szCs w:val="16"/>
          <w:color w:val="auto"/>
        </w:rPr>
      </w:pPr>
    </w:p>
    <w:p>
      <w:pPr>
        <w:ind w:left="340" w:right="900" w:hanging="332"/>
        <w:spacing w:after="0" w:line="265" w:lineRule="auto"/>
        <w:tabs>
          <w:tab w:leader="none" w:pos="340" w:val="left"/>
        </w:tabs>
        <w:numPr>
          <w:ilvl w:val="0"/>
          <w:numId w:val="17"/>
        </w:numPr>
        <w:rPr>
          <w:rFonts w:ascii="Arial" w:cs="Arial" w:eastAsia="Arial" w:hAnsi="Arial"/>
          <w:sz w:val="16"/>
          <w:szCs w:val="16"/>
          <w:color w:val="auto"/>
        </w:rPr>
      </w:pPr>
      <w:r>
        <w:rPr>
          <w:rFonts w:ascii="Arial" w:cs="Arial" w:eastAsia="Arial" w:hAnsi="Arial"/>
          <w:sz w:val="16"/>
          <w:szCs w:val="16"/>
          <w:color w:val="auto"/>
        </w:rPr>
        <w:t>Other operating expenses include general and administrative expenses, premium tax expenses, health insurer fee expenses, depreciation and amortization, impairment losses, and restructuring and separation costs.</w:t>
      </w:r>
    </w:p>
    <w:p>
      <w:pPr>
        <w:spacing w:after="0" w:line="256" w:lineRule="exact"/>
        <w:rPr>
          <w:sz w:val="20"/>
          <w:szCs w:val="20"/>
          <w:color w:val="auto"/>
        </w:rPr>
      </w:pPr>
    </w:p>
    <w:p>
      <w:pPr>
        <w:spacing w:after="0"/>
        <w:rPr>
          <w:sz w:val="20"/>
          <w:szCs w:val="20"/>
          <w:color w:val="auto"/>
        </w:rPr>
      </w:pPr>
      <w:r>
        <w:rPr>
          <w:rFonts w:ascii="Arial" w:cs="Arial" w:eastAsia="Arial" w:hAnsi="Arial"/>
          <w:sz w:val="36"/>
          <w:szCs w:val="36"/>
          <w:b w:val="1"/>
          <w:bCs w:val="1"/>
          <w:color w:val="0F7C7F"/>
        </w:rPr>
        <w:t>HEALTH PLANS</w:t>
      </w:r>
    </w:p>
    <w:p>
      <w:pPr>
        <w:spacing w:after="0" w:line="250"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The Health Plans segment consists of health plans operating in 12 states and the Commonwealth of Puerto Rico. As of September 30, 2017, these health plans served approximately 4.5 million members eligible for Medicaid, Medicare, and other government-sponsored health care programs for low-income families and individuals. This membership includes Affordable Care Act Marketplace (Marketplace) members, most of whom receive government premium subsidies.</w:t>
      </w:r>
    </w:p>
    <w:p>
      <w:pPr>
        <w:spacing w:after="0" w:line="150" w:lineRule="exact"/>
        <w:rPr>
          <w:sz w:val="20"/>
          <w:szCs w:val="20"/>
          <w:color w:val="auto"/>
        </w:rPr>
      </w:pPr>
    </w:p>
    <w:p>
      <w:pPr>
        <w:spacing w:after="0"/>
        <w:rPr>
          <w:sz w:val="20"/>
          <w:szCs w:val="20"/>
          <w:color w:val="auto"/>
        </w:rPr>
      </w:pPr>
      <w:r>
        <w:rPr>
          <w:rFonts w:ascii="Arial" w:cs="Arial" w:eastAsia="Arial" w:hAnsi="Arial"/>
          <w:sz w:val="32"/>
          <w:szCs w:val="32"/>
          <w:b w:val="1"/>
          <w:bCs w:val="1"/>
          <w:color w:val="ACACAC"/>
        </w:rPr>
        <w:t>BUSINESS OVERVIEW</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Developments — Health Plans Segment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Refer to Notes to Consolidated Financial Statements, Note 1, “Basis of Presentation.”</w:t>
      </w:r>
    </w:p>
    <w:p>
      <w:pPr>
        <w:spacing w:after="0" w:line="36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Molina Healthcare, Inc. 2017 Form 10-Q | 45</w:t>
      </w:r>
    </w:p>
    <w:p>
      <w:pPr>
        <w:sectPr>
          <w:pgSz w:w="11900" w:h="16838" w:orient="portrait"/>
          <w:cols w:equalWidth="0" w:num="1">
            <w:col w:w="11420"/>
          </w:cols>
          <w:pgMar w:left="240" w:top="115" w:right="239" w:bottom="1440" w:gutter="0" w:footer="0" w:header="0"/>
        </w:sectPr>
      </w:pPr>
    </w:p>
    <w:bookmarkStart w:id="45" w:name="page46"/>
    <w:bookmarkEnd w:id="4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Health Plans Membership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tables set forth our Health Plans membership as of the dates indicated:</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740" w:type="dxa"/>
            <w:vAlign w:val="bottom"/>
          </w:tcPr>
          <w:p>
            <w:pPr>
              <w:spacing w:after="0"/>
              <w:rPr>
                <w:sz w:val="14"/>
                <w:szCs w:val="14"/>
                <w:color w:val="auto"/>
              </w:rPr>
            </w:pPr>
          </w:p>
        </w:tc>
        <w:tc>
          <w:tcPr>
            <w:tcW w:w="1620" w:type="dxa"/>
            <w:vAlign w:val="bottom"/>
            <w:gridSpan w:val="2"/>
          </w:tcPr>
          <w:p>
            <w:pPr>
              <w:ind w:left="240"/>
              <w:spacing w:after="0"/>
              <w:rPr>
                <w:sz w:val="20"/>
                <w:szCs w:val="20"/>
                <w:color w:val="auto"/>
              </w:rPr>
            </w:pPr>
            <w:r>
              <w:rPr>
                <w:rFonts w:ascii="Arial" w:cs="Arial" w:eastAsia="Arial" w:hAnsi="Arial"/>
                <w:sz w:val="14"/>
                <w:szCs w:val="14"/>
                <w:b w:val="1"/>
                <w:bCs w:val="1"/>
                <w:color w:val="auto"/>
              </w:rPr>
              <w:t>September 30,</w:t>
            </w:r>
          </w:p>
        </w:tc>
        <w:tc>
          <w:tcPr>
            <w:tcW w:w="1580" w:type="dxa"/>
            <w:vAlign w:val="bottom"/>
            <w:gridSpan w:val="2"/>
          </w:tcPr>
          <w:p>
            <w:pPr>
              <w:ind w:left="280"/>
              <w:spacing w:after="0"/>
              <w:rPr>
                <w:sz w:val="20"/>
                <w:szCs w:val="20"/>
                <w:color w:val="auto"/>
              </w:rPr>
            </w:pPr>
            <w:r>
              <w:rPr>
                <w:rFonts w:ascii="Arial" w:cs="Arial" w:eastAsia="Arial" w:hAnsi="Arial"/>
                <w:sz w:val="14"/>
                <w:szCs w:val="14"/>
                <w:b w:val="1"/>
                <w:bCs w:val="1"/>
                <w:color w:val="auto"/>
              </w:rPr>
              <w:t>December 31,</w:t>
            </w:r>
          </w:p>
        </w:tc>
        <w:tc>
          <w:tcPr>
            <w:tcW w:w="1480" w:type="dxa"/>
            <w:vAlign w:val="bottom"/>
          </w:tcPr>
          <w:p>
            <w:pPr>
              <w:jc w:val="right"/>
              <w:ind w:right="180"/>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203"/>
        </w:trPr>
        <w:tc>
          <w:tcPr>
            <w:tcW w:w="6740" w:type="dxa"/>
            <w:vAlign w:val="bottom"/>
            <w:tcBorders>
              <w:bottom w:val="single" w:sz="8" w:color="CCEEFF"/>
            </w:tcBorders>
          </w:tcPr>
          <w:p>
            <w:pPr>
              <w:spacing w:after="0"/>
              <w:rPr>
                <w:sz w:val="17"/>
                <w:szCs w:val="17"/>
                <w:color w:val="auto"/>
              </w:rPr>
            </w:pPr>
          </w:p>
        </w:tc>
        <w:tc>
          <w:tcPr>
            <w:tcW w:w="1500" w:type="dxa"/>
            <w:vAlign w:val="bottom"/>
            <w:tcBorders>
              <w:bottom w:val="single" w:sz="8" w:color="auto"/>
            </w:tcBorders>
          </w:tcPr>
          <w:p>
            <w:pPr>
              <w:jc w:val="right"/>
              <w:ind w:right="500"/>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CEEFF"/>
            </w:tcBorders>
          </w:tcPr>
          <w:p>
            <w:pPr>
              <w:spacing w:after="0"/>
              <w:rPr>
                <w:sz w:val="17"/>
                <w:szCs w:val="17"/>
                <w:color w:val="auto"/>
              </w:rPr>
            </w:pPr>
          </w:p>
        </w:tc>
        <w:tc>
          <w:tcPr>
            <w:tcW w:w="1480" w:type="dxa"/>
            <w:vAlign w:val="bottom"/>
            <w:tcBorders>
              <w:bottom w:val="single" w:sz="8" w:color="auto"/>
            </w:tcBorders>
          </w:tcPr>
          <w:p>
            <w:pPr>
              <w:jc w:val="right"/>
              <w:ind w:right="500"/>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17"/>
                <w:szCs w:val="17"/>
                <w:color w:val="auto"/>
              </w:rPr>
            </w:pPr>
          </w:p>
        </w:tc>
        <w:tc>
          <w:tcPr>
            <w:tcW w:w="1480" w:type="dxa"/>
            <w:vAlign w:val="bottom"/>
            <w:tcBorders>
              <w:bottom w:val="single" w:sz="8" w:color="auto"/>
            </w:tcBorders>
          </w:tcPr>
          <w:p>
            <w:pPr>
              <w:jc w:val="right"/>
              <w:ind w:right="500"/>
              <w:spacing w:after="0"/>
              <w:rPr>
                <w:sz w:val="20"/>
                <w:szCs w:val="20"/>
                <w:color w:val="auto"/>
              </w:rPr>
            </w:pPr>
            <w:r>
              <w:rPr>
                <w:rFonts w:ascii="Arial" w:cs="Arial" w:eastAsia="Arial" w:hAnsi="Arial"/>
                <w:sz w:val="14"/>
                <w:szCs w:val="14"/>
                <w:b w:val="1"/>
                <w:bCs w:val="1"/>
                <w:color w:val="auto"/>
              </w:rPr>
              <w:t>2016</w:t>
            </w:r>
          </w:p>
        </w:tc>
        <w:tc>
          <w:tcPr>
            <w:tcW w:w="0" w:type="dxa"/>
            <w:vAlign w:val="bottom"/>
          </w:tcPr>
          <w:p>
            <w:pPr>
              <w:spacing w:after="0"/>
              <w:rPr>
                <w:sz w:val="1"/>
                <w:szCs w:val="1"/>
                <w:color w:val="auto"/>
              </w:rPr>
            </w:pPr>
          </w:p>
        </w:tc>
      </w:tr>
      <w:tr>
        <w:trPr>
          <w:trHeight w:val="325"/>
        </w:trPr>
        <w:tc>
          <w:tcPr>
            <w:tcW w:w="6740" w:type="dxa"/>
            <w:vAlign w:val="bottom"/>
            <w:shd w:val="clear" w:color="auto" w:fill="CCEEFF"/>
          </w:tcPr>
          <w:p>
            <w:pPr>
              <w:ind w:left="40"/>
              <w:spacing w:after="0"/>
              <w:rPr>
                <w:sz w:val="20"/>
                <w:szCs w:val="20"/>
                <w:color w:val="auto"/>
              </w:rPr>
            </w:pPr>
            <w:r>
              <w:rPr>
                <w:rFonts w:ascii="Arial" w:cs="Arial" w:eastAsia="Arial" w:hAnsi="Arial"/>
                <w:sz w:val="16"/>
                <w:szCs w:val="16"/>
                <w:b w:val="1"/>
                <w:bCs w:val="1"/>
                <w:color w:val="auto"/>
              </w:rPr>
              <w:t>Ending Membership by Program:</w:t>
            </w:r>
          </w:p>
        </w:tc>
        <w:tc>
          <w:tcPr>
            <w:tcW w:w="15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8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116"/>
        </w:trPr>
        <w:tc>
          <w:tcPr>
            <w:tcW w:w="6740" w:type="dxa"/>
            <w:vAlign w:val="bottom"/>
            <w:shd w:val="clear" w:color="auto" w:fill="CCEEFF"/>
          </w:tcPr>
          <w:p>
            <w:pPr>
              <w:spacing w:after="0"/>
              <w:rPr>
                <w:sz w:val="10"/>
                <w:szCs w:val="10"/>
                <w:color w:val="auto"/>
              </w:rPr>
            </w:pPr>
          </w:p>
        </w:tc>
        <w:tc>
          <w:tcPr>
            <w:tcW w:w="15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4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4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98"/>
        </w:trPr>
        <w:tc>
          <w:tcPr>
            <w:tcW w:w="6740" w:type="dxa"/>
            <w:vAlign w:val="bottom"/>
          </w:tcPr>
          <w:p>
            <w:pPr>
              <w:ind w:left="40"/>
              <w:spacing w:after="0"/>
              <w:rPr>
                <w:sz w:val="20"/>
                <w:szCs w:val="20"/>
                <w:color w:val="auto"/>
              </w:rPr>
            </w:pPr>
            <w:r>
              <w:rPr>
                <w:rFonts w:ascii="Arial" w:cs="Arial" w:eastAsia="Arial" w:hAnsi="Arial"/>
                <w:sz w:val="16"/>
                <w:szCs w:val="16"/>
                <w:color w:val="auto"/>
              </w:rPr>
              <w:t>Temporary Assistance for Needy Families (TANF) and Children’s Health Insurance Program</w:t>
            </w:r>
          </w:p>
        </w:tc>
        <w:tc>
          <w:tcPr>
            <w:tcW w:w="1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6"/>
        </w:trPr>
        <w:tc>
          <w:tcPr>
            <w:tcW w:w="6740" w:type="dxa"/>
            <w:vAlign w:val="bottom"/>
          </w:tcPr>
          <w:p>
            <w:pPr>
              <w:ind w:left="200"/>
              <w:spacing w:after="0"/>
              <w:rPr>
                <w:sz w:val="20"/>
                <w:szCs w:val="20"/>
                <w:color w:val="auto"/>
              </w:rPr>
            </w:pPr>
            <w:r>
              <w:rPr>
                <w:rFonts w:ascii="Arial" w:cs="Arial" w:eastAsia="Arial" w:hAnsi="Arial"/>
                <w:sz w:val="16"/>
                <w:szCs w:val="16"/>
                <w:color w:val="auto"/>
              </w:rPr>
              <w:t>(CHIP)</w:t>
            </w:r>
          </w:p>
        </w:tc>
        <w:tc>
          <w:tcPr>
            <w:tcW w:w="1500" w:type="dxa"/>
            <w:vAlign w:val="bottom"/>
          </w:tcPr>
          <w:p>
            <w:pPr>
              <w:jc w:val="right"/>
              <w:ind w:right="40"/>
              <w:spacing w:after="0"/>
              <w:rPr>
                <w:sz w:val="20"/>
                <w:szCs w:val="20"/>
                <w:color w:val="auto"/>
              </w:rPr>
            </w:pPr>
            <w:r>
              <w:rPr>
                <w:rFonts w:ascii="Arial" w:cs="Arial" w:eastAsia="Arial" w:hAnsi="Arial"/>
                <w:sz w:val="16"/>
                <w:szCs w:val="16"/>
                <w:color w:val="auto"/>
              </w:rPr>
              <w:t>2,451,000</w:t>
            </w:r>
          </w:p>
        </w:tc>
        <w:tc>
          <w:tcPr>
            <w:tcW w:w="120" w:type="dxa"/>
            <w:vAlign w:val="bottom"/>
          </w:tcPr>
          <w:p>
            <w:pPr>
              <w:spacing w:after="0"/>
              <w:rPr>
                <w:sz w:val="19"/>
                <w:szCs w:val="19"/>
                <w:color w:val="auto"/>
              </w:rPr>
            </w:pPr>
          </w:p>
        </w:tc>
        <w:tc>
          <w:tcPr>
            <w:tcW w:w="1480" w:type="dxa"/>
            <w:vAlign w:val="bottom"/>
          </w:tcPr>
          <w:p>
            <w:pPr>
              <w:jc w:val="right"/>
              <w:ind w:right="20"/>
              <w:spacing w:after="0"/>
              <w:rPr>
                <w:sz w:val="20"/>
                <w:szCs w:val="20"/>
                <w:color w:val="auto"/>
              </w:rPr>
            </w:pPr>
            <w:r>
              <w:rPr>
                <w:rFonts w:ascii="Arial" w:cs="Arial" w:eastAsia="Arial" w:hAnsi="Arial"/>
                <w:sz w:val="16"/>
                <w:szCs w:val="16"/>
                <w:color w:val="auto"/>
              </w:rPr>
              <w:t>2,536,000</w:t>
            </w:r>
          </w:p>
        </w:tc>
        <w:tc>
          <w:tcPr>
            <w:tcW w:w="100" w:type="dxa"/>
            <w:vAlign w:val="bottom"/>
          </w:tcPr>
          <w:p>
            <w:pPr>
              <w:spacing w:after="0"/>
              <w:rPr>
                <w:sz w:val="19"/>
                <w:szCs w:val="19"/>
                <w:color w:val="auto"/>
              </w:rPr>
            </w:pPr>
          </w:p>
        </w:tc>
        <w:tc>
          <w:tcPr>
            <w:tcW w:w="1480" w:type="dxa"/>
            <w:vAlign w:val="bottom"/>
          </w:tcPr>
          <w:p>
            <w:pPr>
              <w:jc w:val="right"/>
              <w:ind w:right="20"/>
              <w:spacing w:after="0"/>
              <w:rPr>
                <w:sz w:val="20"/>
                <w:szCs w:val="20"/>
                <w:color w:val="auto"/>
              </w:rPr>
            </w:pPr>
            <w:r>
              <w:rPr>
                <w:rFonts w:ascii="Arial" w:cs="Arial" w:eastAsia="Arial" w:hAnsi="Arial"/>
                <w:sz w:val="16"/>
                <w:szCs w:val="16"/>
                <w:color w:val="auto"/>
              </w:rPr>
              <w:t>2,529,000</w:t>
            </w:r>
          </w:p>
        </w:tc>
        <w:tc>
          <w:tcPr>
            <w:tcW w:w="0" w:type="dxa"/>
            <w:vAlign w:val="bottom"/>
          </w:tcPr>
          <w:p>
            <w:pPr>
              <w:spacing w:after="0"/>
              <w:rPr>
                <w:sz w:val="1"/>
                <w:szCs w:val="1"/>
                <w:color w:val="auto"/>
              </w:rPr>
            </w:pPr>
          </w:p>
        </w:tc>
      </w:tr>
      <w:tr>
        <w:trPr>
          <w:trHeight w:val="278"/>
        </w:trPr>
        <w:tc>
          <w:tcPr>
            <w:tcW w:w="6740" w:type="dxa"/>
            <w:vAlign w:val="bottom"/>
            <w:shd w:val="clear" w:color="auto" w:fill="CCEEFF"/>
          </w:tcPr>
          <w:p>
            <w:pPr>
              <w:ind w:left="40"/>
              <w:spacing w:after="0"/>
              <w:rPr>
                <w:sz w:val="20"/>
                <w:szCs w:val="20"/>
                <w:color w:val="auto"/>
              </w:rPr>
            </w:pPr>
            <w:r>
              <w:rPr>
                <w:rFonts w:ascii="Arial" w:cs="Arial" w:eastAsia="Arial" w:hAnsi="Arial"/>
                <w:sz w:val="16"/>
                <w:szCs w:val="16"/>
                <w:color w:val="auto"/>
              </w:rPr>
              <w:t>Marketplace</w:t>
            </w:r>
          </w:p>
        </w:tc>
        <w:tc>
          <w:tcPr>
            <w:tcW w:w="150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877,000</w:t>
            </w:r>
          </w:p>
        </w:tc>
        <w:tc>
          <w:tcPr>
            <w:tcW w:w="120" w:type="dxa"/>
            <w:vAlign w:val="bottom"/>
            <w:shd w:val="clear" w:color="auto" w:fill="CCEEFF"/>
          </w:tcPr>
          <w:p>
            <w:pPr>
              <w:spacing w:after="0"/>
              <w:rPr>
                <w:sz w:val="24"/>
                <w:szCs w:val="24"/>
                <w:color w:val="auto"/>
              </w:rPr>
            </w:pPr>
          </w:p>
        </w:tc>
        <w:tc>
          <w:tcPr>
            <w:tcW w:w="148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526,000</w:t>
            </w:r>
          </w:p>
        </w:tc>
        <w:tc>
          <w:tcPr>
            <w:tcW w:w="100" w:type="dxa"/>
            <w:vAlign w:val="bottom"/>
            <w:shd w:val="clear" w:color="auto" w:fill="CCEEFF"/>
          </w:tcPr>
          <w:p>
            <w:pPr>
              <w:spacing w:after="0"/>
              <w:rPr>
                <w:sz w:val="24"/>
                <w:szCs w:val="24"/>
                <w:color w:val="auto"/>
              </w:rPr>
            </w:pPr>
          </w:p>
        </w:tc>
        <w:tc>
          <w:tcPr>
            <w:tcW w:w="148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568,000</w:t>
            </w:r>
          </w:p>
        </w:tc>
        <w:tc>
          <w:tcPr>
            <w:tcW w:w="0" w:type="dxa"/>
            <w:vAlign w:val="bottom"/>
          </w:tcPr>
          <w:p>
            <w:pPr>
              <w:spacing w:after="0"/>
              <w:rPr>
                <w:sz w:val="1"/>
                <w:szCs w:val="1"/>
                <w:color w:val="auto"/>
              </w:rPr>
            </w:pPr>
          </w:p>
        </w:tc>
      </w:tr>
      <w:tr>
        <w:trPr>
          <w:trHeight w:val="262"/>
        </w:trPr>
        <w:tc>
          <w:tcPr>
            <w:tcW w:w="6740" w:type="dxa"/>
            <w:vAlign w:val="bottom"/>
          </w:tcPr>
          <w:p>
            <w:pPr>
              <w:ind w:left="40"/>
              <w:spacing w:after="0"/>
              <w:rPr>
                <w:sz w:val="20"/>
                <w:szCs w:val="20"/>
                <w:color w:val="auto"/>
              </w:rPr>
            </w:pPr>
            <w:r>
              <w:rPr>
                <w:rFonts w:ascii="Arial" w:cs="Arial" w:eastAsia="Arial" w:hAnsi="Arial"/>
                <w:sz w:val="16"/>
                <w:szCs w:val="16"/>
                <w:color w:val="auto"/>
              </w:rPr>
              <w:t>Medicaid Expansion</w:t>
            </w:r>
          </w:p>
        </w:tc>
        <w:tc>
          <w:tcPr>
            <w:tcW w:w="1500" w:type="dxa"/>
            <w:vAlign w:val="bottom"/>
          </w:tcPr>
          <w:p>
            <w:pPr>
              <w:jc w:val="right"/>
              <w:ind w:right="40"/>
              <w:spacing w:after="0"/>
              <w:rPr>
                <w:sz w:val="20"/>
                <w:szCs w:val="20"/>
                <w:color w:val="auto"/>
              </w:rPr>
            </w:pPr>
            <w:r>
              <w:rPr>
                <w:rFonts w:ascii="Arial" w:cs="Arial" w:eastAsia="Arial" w:hAnsi="Arial"/>
                <w:sz w:val="16"/>
                <w:szCs w:val="16"/>
                <w:color w:val="auto"/>
              </w:rPr>
              <w:t>662,000</w:t>
            </w:r>
          </w:p>
        </w:tc>
        <w:tc>
          <w:tcPr>
            <w:tcW w:w="120" w:type="dxa"/>
            <w:vAlign w:val="bottom"/>
          </w:tcPr>
          <w:p>
            <w:pPr>
              <w:spacing w:after="0"/>
              <w:rPr>
                <w:sz w:val="22"/>
                <w:szCs w:val="22"/>
                <w:color w:val="auto"/>
              </w:rPr>
            </w:pPr>
          </w:p>
        </w:tc>
        <w:tc>
          <w:tcPr>
            <w:tcW w:w="1480" w:type="dxa"/>
            <w:vAlign w:val="bottom"/>
          </w:tcPr>
          <w:p>
            <w:pPr>
              <w:jc w:val="right"/>
              <w:ind w:right="20"/>
              <w:spacing w:after="0"/>
              <w:rPr>
                <w:sz w:val="20"/>
                <w:szCs w:val="20"/>
                <w:color w:val="auto"/>
              </w:rPr>
            </w:pPr>
            <w:r>
              <w:rPr>
                <w:rFonts w:ascii="Arial" w:cs="Arial" w:eastAsia="Arial" w:hAnsi="Arial"/>
                <w:sz w:val="16"/>
                <w:szCs w:val="16"/>
                <w:color w:val="auto"/>
              </w:rPr>
              <w:t>673,000</w:t>
            </w:r>
          </w:p>
        </w:tc>
        <w:tc>
          <w:tcPr>
            <w:tcW w:w="100" w:type="dxa"/>
            <w:vAlign w:val="bottom"/>
          </w:tcPr>
          <w:p>
            <w:pPr>
              <w:spacing w:after="0"/>
              <w:rPr>
                <w:sz w:val="22"/>
                <w:szCs w:val="22"/>
                <w:color w:val="auto"/>
              </w:rPr>
            </w:pPr>
          </w:p>
        </w:tc>
        <w:tc>
          <w:tcPr>
            <w:tcW w:w="1480" w:type="dxa"/>
            <w:vAlign w:val="bottom"/>
          </w:tcPr>
          <w:p>
            <w:pPr>
              <w:jc w:val="right"/>
              <w:ind w:right="20"/>
              <w:spacing w:after="0"/>
              <w:rPr>
                <w:sz w:val="20"/>
                <w:szCs w:val="20"/>
                <w:color w:val="auto"/>
              </w:rPr>
            </w:pPr>
            <w:r>
              <w:rPr>
                <w:rFonts w:ascii="Arial" w:cs="Arial" w:eastAsia="Arial" w:hAnsi="Arial"/>
                <w:sz w:val="16"/>
                <w:szCs w:val="16"/>
                <w:color w:val="auto"/>
              </w:rPr>
              <w:t>658,000</w:t>
            </w:r>
          </w:p>
        </w:tc>
        <w:tc>
          <w:tcPr>
            <w:tcW w:w="0" w:type="dxa"/>
            <w:vAlign w:val="bottom"/>
          </w:tcPr>
          <w:p>
            <w:pPr>
              <w:spacing w:after="0"/>
              <w:rPr>
                <w:sz w:val="1"/>
                <w:szCs w:val="1"/>
                <w:color w:val="auto"/>
              </w:rPr>
            </w:pPr>
          </w:p>
        </w:tc>
      </w:tr>
      <w:tr>
        <w:trPr>
          <w:trHeight w:val="278"/>
        </w:trPr>
        <w:tc>
          <w:tcPr>
            <w:tcW w:w="6740" w:type="dxa"/>
            <w:vAlign w:val="bottom"/>
            <w:shd w:val="clear" w:color="auto" w:fill="CCEEFF"/>
          </w:tcPr>
          <w:p>
            <w:pPr>
              <w:ind w:left="40"/>
              <w:spacing w:after="0"/>
              <w:rPr>
                <w:sz w:val="20"/>
                <w:szCs w:val="20"/>
                <w:color w:val="auto"/>
              </w:rPr>
            </w:pPr>
            <w:r>
              <w:rPr>
                <w:rFonts w:ascii="Arial" w:cs="Arial" w:eastAsia="Arial" w:hAnsi="Arial"/>
                <w:sz w:val="16"/>
                <w:szCs w:val="16"/>
                <w:color w:val="auto"/>
              </w:rPr>
              <w:t>Aged, Blind or Disabled (ABD)</w:t>
            </w:r>
          </w:p>
        </w:tc>
        <w:tc>
          <w:tcPr>
            <w:tcW w:w="150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411,000</w:t>
            </w:r>
          </w:p>
        </w:tc>
        <w:tc>
          <w:tcPr>
            <w:tcW w:w="120" w:type="dxa"/>
            <w:vAlign w:val="bottom"/>
            <w:shd w:val="clear" w:color="auto" w:fill="CCEEFF"/>
          </w:tcPr>
          <w:p>
            <w:pPr>
              <w:spacing w:after="0"/>
              <w:rPr>
                <w:sz w:val="24"/>
                <w:szCs w:val="24"/>
                <w:color w:val="auto"/>
              </w:rPr>
            </w:pPr>
          </w:p>
        </w:tc>
        <w:tc>
          <w:tcPr>
            <w:tcW w:w="148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396,000</w:t>
            </w:r>
          </w:p>
        </w:tc>
        <w:tc>
          <w:tcPr>
            <w:tcW w:w="100" w:type="dxa"/>
            <w:vAlign w:val="bottom"/>
            <w:shd w:val="clear" w:color="auto" w:fill="CCEEFF"/>
          </w:tcPr>
          <w:p>
            <w:pPr>
              <w:spacing w:after="0"/>
              <w:rPr>
                <w:sz w:val="24"/>
                <w:szCs w:val="24"/>
                <w:color w:val="auto"/>
              </w:rPr>
            </w:pPr>
          </w:p>
        </w:tc>
        <w:tc>
          <w:tcPr>
            <w:tcW w:w="148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395,000</w:t>
            </w:r>
          </w:p>
        </w:tc>
        <w:tc>
          <w:tcPr>
            <w:tcW w:w="0" w:type="dxa"/>
            <w:vAlign w:val="bottom"/>
          </w:tcPr>
          <w:p>
            <w:pPr>
              <w:spacing w:after="0"/>
              <w:rPr>
                <w:sz w:val="1"/>
                <w:szCs w:val="1"/>
                <w:color w:val="auto"/>
              </w:rPr>
            </w:pPr>
          </w:p>
        </w:tc>
      </w:tr>
      <w:tr>
        <w:trPr>
          <w:trHeight w:val="270"/>
        </w:trPr>
        <w:tc>
          <w:tcPr>
            <w:tcW w:w="6740" w:type="dxa"/>
            <w:vAlign w:val="bottom"/>
          </w:tcPr>
          <w:p>
            <w:pPr>
              <w:ind w:left="40"/>
              <w:spacing w:after="0"/>
              <w:rPr>
                <w:sz w:val="20"/>
                <w:szCs w:val="20"/>
                <w:color w:val="auto"/>
              </w:rPr>
            </w:pPr>
            <w:r>
              <w:rPr>
                <w:rFonts w:ascii="Arial" w:cs="Arial" w:eastAsia="Arial" w:hAnsi="Arial"/>
                <w:sz w:val="16"/>
                <w:szCs w:val="16"/>
                <w:color w:val="auto"/>
              </w:rPr>
              <w:t xml:space="preserve">Medicare-Medicaid Plan (MMP) – Integrated </w:t>
            </w:r>
            <w:r>
              <w:rPr>
                <w:rFonts w:ascii="Arial" w:cs="Arial" w:eastAsia="Arial" w:hAnsi="Arial"/>
                <w:sz w:val="21"/>
                <w:szCs w:val="21"/>
                <w:color w:val="auto"/>
                <w:vertAlign w:val="superscript"/>
              </w:rPr>
              <w:t>(1)</w:t>
            </w:r>
          </w:p>
        </w:tc>
        <w:tc>
          <w:tcPr>
            <w:tcW w:w="1500" w:type="dxa"/>
            <w:vAlign w:val="bottom"/>
          </w:tcPr>
          <w:p>
            <w:pPr>
              <w:jc w:val="right"/>
              <w:ind w:right="40"/>
              <w:spacing w:after="0"/>
              <w:rPr>
                <w:sz w:val="20"/>
                <w:szCs w:val="20"/>
                <w:color w:val="auto"/>
              </w:rPr>
            </w:pPr>
            <w:r>
              <w:rPr>
                <w:rFonts w:ascii="Arial" w:cs="Arial" w:eastAsia="Arial" w:hAnsi="Arial"/>
                <w:sz w:val="16"/>
                <w:szCs w:val="16"/>
                <w:color w:val="auto"/>
              </w:rPr>
              <w:t>58,000</w:t>
            </w:r>
          </w:p>
        </w:tc>
        <w:tc>
          <w:tcPr>
            <w:tcW w:w="120" w:type="dxa"/>
            <w:vAlign w:val="bottom"/>
          </w:tcPr>
          <w:p>
            <w:pPr>
              <w:spacing w:after="0"/>
              <w:rPr>
                <w:sz w:val="23"/>
                <w:szCs w:val="23"/>
                <w:color w:val="auto"/>
              </w:rPr>
            </w:pPr>
          </w:p>
        </w:tc>
        <w:tc>
          <w:tcPr>
            <w:tcW w:w="1480" w:type="dxa"/>
            <w:vAlign w:val="bottom"/>
          </w:tcPr>
          <w:p>
            <w:pPr>
              <w:jc w:val="right"/>
              <w:ind w:right="20"/>
              <w:spacing w:after="0"/>
              <w:rPr>
                <w:sz w:val="20"/>
                <w:szCs w:val="20"/>
                <w:color w:val="auto"/>
              </w:rPr>
            </w:pPr>
            <w:r>
              <w:rPr>
                <w:rFonts w:ascii="Arial" w:cs="Arial" w:eastAsia="Arial" w:hAnsi="Arial"/>
                <w:sz w:val="16"/>
                <w:szCs w:val="16"/>
                <w:color w:val="auto"/>
              </w:rPr>
              <w:t>51,000</w:t>
            </w:r>
          </w:p>
        </w:tc>
        <w:tc>
          <w:tcPr>
            <w:tcW w:w="100" w:type="dxa"/>
            <w:vAlign w:val="bottom"/>
          </w:tcPr>
          <w:p>
            <w:pPr>
              <w:spacing w:after="0"/>
              <w:rPr>
                <w:sz w:val="23"/>
                <w:szCs w:val="23"/>
                <w:color w:val="auto"/>
              </w:rPr>
            </w:pPr>
          </w:p>
        </w:tc>
        <w:tc>
          <w:tcPr>
            <w:tcW w:w="1480" w:type="dxa"/>
            <w:vAlign w:val="bottom"/>
          </w:tcPr>
          <w:p>
            <w:pPr>
              <w:jc w:val="right"/>
              <w:ind w:right="20"/>
              <w:spacing w:after="0"/>
              <w:rPr>
                <w:sz w:val="20"/>
                <w:szCs w:val="20"/>
                <w:color w:val="auto"/>
              </w:rPr>
            </w:pPr>
            <w:r>
              <w:rPr>
                <w:rFonts w:ascii="Arial" w:cs="Arial" w:eastAsia="Arial" w:hAnsi="Arial"/>
                <w:sz w:val="16"/>
                <w:szCs w:val="16"/>
                <w:color w:val="auto"/>
              </w:rPr>
              <w:t>51,000</w:t>
            </w:r>
          </w:p>
        </w:tc>
        <w:tc>
          <w:tcPr>
            <w:tcW w:w="0" w:type="dxa"/>
            <w:vAlign w:val="bottom"/>
          </w:tcPr>
          <w:p>
            <w:pPr>
              <w:spacing w:after="0"/>
              <w:rPr>
                <w:sz w:val="1"/>
                <w:szCs w:val="1"/>
                <w:color w:val="auto"/>
              </w:rPr>
            </w:pPr>
          </w:p>
        </w:tc>
      </w:tr>
      <w:tr>
        <w:trPr>
          <w:trHeight w:val="264"/>
        </w:trPr>
        <w:tc>
          <w:tcPr>
            <w:tcW w:w="6740" w:type="dxa"/>
            <w:vAlign w:val="bottom"/>
            <w:shd w:val="clear" w:color="auto" w:fill="CCEEFF"/>
          </w:tcPr>
          <w:p>
            <w:pPr>
              <w:ind w:left="40"/>
              <w:spacing w:after="0"/>
              <w:rPr>
                <w:sz w:val="20"/>
                <w:szCs w:val="20"/>
                <w:color w:val="auto"/>
              </w:rPr>
            </w:pPr>
            <w:r>
              <w:rPr>
                <w:rFonts w:ascii="Arial" w:cs="Arial" w:eastAsia="Arial" w:hAnsi="Arial"/>
                <w:sz w:val="16"/>
                <w:szCs w:val="16"/>
                <w:color w:val="auto"/>
              </w:rPr>
              <w:t>Medicare Special Needs Plans (Medicare)</w:t>
            </w:r>
          </w:p>
        </w:tc>
        <w:tc>
          <w:tcPr>
            <w:tcW w:w="150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44,000</w:t>
            </w:r>
          </w:p>
        </w:tc>
        <w:tc>
          <w:tcPr>
            <w:tcW w:w="120" w:type="dxa"/>
            <w:vAlign w:val="bottom"/>
            <w:shd w:val="clear" w:color="auto" w:fill="CCEEFF"/>
          </w:tcPr>
          <w:p>
            <w:pPr>
              <w:spacing w:after="0"/>
              <w:rPr>
                <w:sz w:val="22"/>
                <w:szCs w:val="22"/>
                <w:color w:val="auto"/>
              </w:rPr>
            </w:pPr>
          </w:p>
        </w:tc>
        <w:tc>
          <w:tcPr>
            <w:tcW w:w="148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45,000</w:t>
            </w:r>
          </w:p>
        </w:tc>
        <w:tc>
          <w:tcPr>
            <w:tcW w:w="100" w:type="dxa"/>
            <w:vAlign w:val="bottom"/>
            <w:shd w:val="clear" w:color="auto" w:fill="CCEEFF"/>
          </w:tcPr>
          <w:p>
            <w:pPr>
              <w:spacing w:after="0"/>
              <w:rPr>
                <w:sz w:val="22"/>
                <w:szCs w:val="22"/>
                <w:color w:val="auto"/>
              </w:rPr>
            </w:pPr>
          </w:p>
        </w:tc>
        <w:tc>
          <w:tcPr>
            <w:tcW w:w="148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45,000</w:t>
            </w:r>
          </w:p>
        </w:tc>
        <w:tc>
          <w:tcPr>
            <w:tcW w:w="0" w:type="dxa"/>
            <w:vAlign w:val="bottom"/>
          </w:tcPr>
          <w:p>
            <w:pPr>
              <w:spacing w:after="0"/>
              <w:rPr>
                <w:sz w:val="1"/>
                <w:szCs w:val="1"/>
                <w:color w:val="auto"/>
              </w:rPr>
            </w:pPr>
          </w:p>
        </w:tc>
      </w:tr>
      <w:tr>
        <w:trPr>
          <w:trHeight w:val="277"/>
        </w:trPr>
        <w:tc>
          <w:tcPr>
            <w:tcW w:w="6740" w:type="dxa"/>
            <w:vAlign w:val="bottom"/>
            <w:tcBorders>
              <w:bottom w:val="single" w:sz="8" w:color="CCEEFF"/>
            </w:tcBorders>
          </w:tcPr>
          <w:p>
            <w:pPr>
              <w:spacing w:after="0"/>
              <w:rPr>
                <w:sz w:val="24"/>
                <w:szCs w:val="24"/>
                <w:color w:val="auto"/>
              </w:rPr>
            </w:pPr>
          </w:p>
        </w:tc>
        <w:tc>
          <w:tcPr>
            <w:tcW w:w="150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4,503,000</w:t>
            </w:r>
          </w:p>
        </w:tc>
        <w:tc>
          <w:tcPr>
            <w:tcW w:w="120" w:type="dxa"/>
            <w:vAlign w:val="bottom"/>
            <w:tcBorders>
              <w:bottom w:val="single" w:sz="8" w:color="CCEEFF"/>
            </w:tcBorders>
          </w:tcPr>
          <w:p>
            <w:pPr>
              <w:spacing w:after="0"/>
              <w:rPr>
                <w:sz w:val="24"/>
                <w:szCs w:val="24"/>
                <w:color w:val="auto"/>
              </w:rPr>
            </w:pPr>
          </w:p>
        </w:tc>
        <w:tc>
          <w:tcPr>
            <w:tcW w:w="148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4,227,000</w:t>
            </w:r>
          </w:p>
        </w:tc>
        <w:tc>
          <w:tcPr>
            <w:tcW w:w="100" w:type="dxa"/>
            <w:vAlign w:val="bottom"/>
            <w:tcBorders>
              <w:bottom w:val="single" w:sz="8" w:color="CCEEFF"/>
            </w:tcBorders>
          </w:tcPr>
          <w:p>
            <w:pPr>
              <w:spacing w:after="0"/>
              <w:rPr>
                <w:sz w:val="24"/>
                <w:szCs w:val="24"/>
                <w:color w:val="auto"/>
              </w:rPr>
            </w:pPr>
          </w:p>
        </w:tc>
        <w:tc>
          <w:tcPr>
            <w:tcW w:w="148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4,246,000</w:t>
            </w:r>
          </w:p>
        </w:tc>
        <w:tc>
          <w:tcPr>
            <w:tcW w:w="0" w:type="dxa"/>
            <w:vAlign w:val="bottom"/>
          </w:tcPr>
          <w:p>
            <w:pPr>
              <w:spacing w:after="0"/>
              <w:rPr>
                <w:sz w:val="1"/>
                <w:szCs w:val="1"/>
                <w:color w:val="auto"/>
              </w:rPr>
            </w:pPr>
          </w:p>
        </w:tc>
      </w:tr>
      <w:tr>
        <w:trPr>
          <w:trHeight w:val="257"/>
        </w:trPr>
        <w:tc>
          <w:tcPr>
            <w:tcW w:w="6740" w:type="dxa"/>
            <w:vAlign w:val="bottom"/>
            <w:shd w:val="clear" w:color="auto" w:fill="CCEEFF"/>
          </w:tcPr>
          <w:p>
            <w:pPr>
              <w:ind w:left="40"/>
              <w:spacing w:after="0"/>
              <w:rPr>
                <w:sz w:val="20"/>
                <w:szCs w:val="20"/>
                <w:color w:val="auto"/>
              </w:rPr>
            </w:pPr>
            <w:r>
              <w:rPr>
                <w:rFonts w:ascii="Arial" w:cs="Arial" w:eastAsia="Arial" w:hAnsi="Arial"/>
                <w:sz w:val="16"/>
                <w:szCs w:val="16"/>
                <w:b w:val="1"/>
                <w:bCs w:val="1"/>
                <w:color w:val="auto"/>
              </w:rPr>
              <w:t>Ending Membership by Health Plan:</w:t>
            </w:r>
          </w:p>
        </w:tc>
        <w:tc>
          <w:tcPr>
            <w:tcW w:w="15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4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8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62"/>
        </w:trPr>
        <w:tc>
          <w:tcPr>
            <w:tcW w:w="6740" w:type="dxa"/>
            <w:vAlign w:val="bottom"/>
          </w:tcPr>
          <w:p>
            <w:pPr>
              <w:ind w:left="40"/>
              <w:spacing w:after="0"/>
              <w:rPr>
                <w:sz w:val="20"/>
                <w:szCs w:val="20"/>
                <w:color w:val="auto"/>
              </w:rPr>
            </w:pPr>
            <w:r>
              <w:rPr>
                <w:rFonts w:ascii="Arial" w:cs="Arial" w:eastAsia="Arial" w:hAnsi="Arial"/>
                <w:sz w:val="16"/>
                <w:szCs w:val="16"/>
                <w:color w:val="auto"/>
              </w:rPr>
              <w:t>California</w:t>
            </w:r>
          </w:p>
        </w:tc>
        <w:tc>
          <w:tcPr>
            <w:tcW w:w="1500" w:type="dxa"/>
            <w:vAlign w:val="bottom"/>
          </w:tcPr>
          <w:p>
            <w:pPr>
              <w:jc w:val="right"/>
              <w:ind w:right="40"/>
              <w:spacing w:after="0"/>
              <w:rPr>
                <w:sz w:val="20"/>
                <w:szCs w:val="20"/>
                <w:color w:val="auto"/>
              </w:rPr>
            </w:pPr>
            <w:r>
              <w:rPr>
                <w:rFonts w:ascii="Arial" w:cs="Arial" w:eastAsia="Arial" w:hAnsi="Arial"/>
                <w:sz w:val="16"/>
                <w:szCs w:val="16"/>
                <w:color w:val="auto"/>
              </w:rPr>
              <w:t>751,000</w:t>
            </w:r>
          </w:p>
        </w:tc>
        <w:tc>
          <w:tcPr>
            <w:tcW w:w="120" w:type="dxa"/>
            <w:vAlign w:val="bottom"/>
          </w:tcPr>
          <w:p>
            <w:pPr>
              <w:spacing w:after="0"/>
              <w:rPr>
                <w:sz w:val="22"/>
                <w:szCs w:val="22"/>
                <w:color w:val="auto"/>
              </w:rPr>
            </w:pPr>
          </w:p>
        </w:tc>
        <w:tc>
          <w:tcPr>
            <w:tcW w:w="1480" w:type="dxa"/>
            <w:vAlign w:val="bottom"/>
          </w:tcPr>
          <w:p>
            <w:pPr>
              <w:jc w:val="right"/>
              <w:ind w:right="20"/>
              <w:spacing w:after="0"/>
              <w:rPr>
                <w:sz w:val="20"/>
                <w:szCs w:val="20"/>
                <w:color w:val="auto"/>
              </w:rPr>
            </w:pPr>
            <w:r>
              <w:rPr>
                <w:rFonts w:ascii="Arial" w:cs="Arial" w:eastAsia="Arial" w:hAnsi="Arial"/>
                <w:sz w:val="16"/>
                <w:szCs w:val="16"/>
                <w:color w:val="auto"/>
              </w:rPr>
              <w:t>683,000</w:t>
            </w:r>
          </w:p>
        </w:tc>
        <w:tc>
          <w:tcPr>
            <w:tcW w:w="100" w:type="dxa"/>
            <w:vAlign w:val="bottom"/>
          </w:tcPr>
          <w:p>
            <w:pPr>
              <w:spacing w:after="0"/>
              <w:rPr>
                <w:sz w:val="22"/>
                <w:szCs w:val="22"/>
                <w:color w:val="auto"/>
              </w:rPr>
            </w:pPr>
          </w:p>
        </w:tc>
        <w:tc>
          <w:tcPr>
            <w:tcW w:w="1480" w:type="dxa"/>
            <w:vAlign w:val="bottom"/>
          </w:tcPr>
          <w:p>
            <w:pPr>
              <w:jc w:val="right"/>
              <w:ind w:right="20"/>
              <w:spacing w:after="0"/>
              <w:rPr>
                <w:sz w:val="20"/>
                <w:szCs w:val="20"/>
                <w:color w:val="auto"/>
              </w:rPr>
            </w:pPr>
            <w:r>
              <w:rPr>
                <w:rFonts w:ascii="Arial" w:cs="Arial" w:eastAsia="Arial" w:hAnsi="Arial"/>
                <w:sz w:val="16"/>
                <w:szCs w:val="16"/>
                <w:color w:val="auto"/>
              </w:rPr>
              <w:t>683,000</w:t>
            </w:r>
          </w:p>
        </w:tc>
        <w:tc>
          <w:tcPr>
            <w:tcW w:w="0" w:type="dxa"/>
            <w:vAlign w:val="bottom"/>
          </w:tcPr>
          <w:p>
            <w:pPr>
              <w:spacing w:after="0"/>
              <w:rPr>
                <w:sz w:val="1"/>
                <w:szCs w:val="1"/>
                <w:color w:val="auto"/>
              </w:rPr>
            </w:pPr>
          </w:p>
        </w:tc>
      </w:tr>
      <w:tr>
        <w:trPr>
          <w:trHeight w:val="278"/>
        </w:trPr>
        <w:tc>
          <w:tcPr>
            <w:tcW w:w="6740" w:type="dxa"/>
            <w:vAlign w:val="bottom"/>
            <w:shd w:val="clear" w:color="auto" w:fill="CCEEFF"/>
          </w:tcPr>
          <w:p>
            <w:pPr>
              <w:ind w:left="40"/>
              <w:spacing w:after="0"/>
              <w:rPr>
                <w:sz w:val="20"/>
                <w:szCs w:val="20"/>
                <w:color w:val="auto"/>
              </w:rPr>
            </w:pPr>
            <w:r>
              <w:rPr>
                <w:rFonts w:ascii="Arial" w:cs="Arial" w:eastAsia="Arial" w:hAnsi="Arial"/>
                <w:sz w:val="16"/>
                <w:szCs w:val="16"/>
                <w:color w:val="auto"/>
              </w:rPr>
              <w:t>Florida</w:t>
            </w:r>
          </w:p>
        </w:tc>
        <w:tc>
          <w:tcPr>
            <w:tcW w:w="150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641,000</w:t>
            </w:r>
          </w:p>
        </w:tc>
        <w:tc>
          <w:tcPr>
            <w:tcW w:w="120" w:type="dxa"/>
            <w:vAlign w:val="bottom"/>
            <w:shd w:val="clear" w:color="auto" w:fill="CCEEFF"/>
          </w:tcPr>
          <w:p>
            <w:pPr>
              <w:spacing w:after="0"/>
              <w:rPr>
                <w:sz w:val="24"/>
                <w:szCs w:val="24"/>
                <w:color w:val="auto"/>
              </w:rPr>
            </w:pPr>
          </w:p>
        </w:tc>
        <w:tc>
          <w:tcPr>
            <w:tcW w:w="148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553,000</w:t>
            </w:r>
          </w:p>
        </w:tc>
        <w:tc>
          <w:tcPr>
            <w:tcW w:w="100" w:type="dxa"/>
            <w:vAlign w:val="bottom"/>
            <w:shd w:val="clear" w:color="auto" w:fill="CCEEFF"/>
          </w:tcPr>
          <w:p>
            <w:pPr>
              <w:spacing w:after="0"/>
              <w:rPr>
                <w:sz w:val="24"/>
                <w:szCs w:val="24"/>
                <w:color w:val="auto"/>
              </w:rPr>
            </w:pPr>
          </w:p>
        </w:tc>
        <w:tc>
          <w:tcPr>
            <w:tcW w:w="148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563,000</w:t>
            </w:r>
          </w:p>
        </w:tc>
        <w:tc>
          <w:tcPr>
            <w:tcW w:w="0" w:type="dxa"/>
            <w:vAlign w:val="bottom"/>
          </w:tcPr>
          <w:p>
            <w:pPr>
              <w:spacing w:after="0"/>
              <w:rPr>
                <w:sz w:val="1"/>
                <w:szCs w:val="1"/>
                <w:color w:val="auto"/>
              </w:rPr>
            </w:pPr>
          </w:p>
        </w:tc>
      </w:tr>
      <w:tr>
        <w:trPr>
          <w:trHeight w:val="262"/>
        </w:trPr>
        <w:tc>
          <w:tcPr>
            <w:tcW w:w="6740" w:type="dxa"/>
            <w:vAlign w:val="bottom"/>
          </w:tcPr>
          <w:p>
            <w:pPr>
              <w:ind w:left="40"/>
              <w:spacing w:after="0"/>
              <w:rPr>
                <w:sz w:val="20"/>
                <w:szCs w:val="20"/>
                <w:color w:val="auto"/>
              </w:rPr>
            </w:pPr>
            <w:r>
              <w:rPr>
                <w:rFonts w:ascii="Arial" w:cs="Arial" w:eastAsia="Arial" w:hAnsi="Arial"/>
                <w:sz w:val="16"/>
                <w:szCs w:val="16"/>
                <w:color w:val="auto"/>
              </w:rPr>
              <w:t>Illinois</w:t>
            </w:r>
          </w:p>
        </w:tc>
        <w:tc>
          <w:tcPr>
            <w:tcW w:w="1500" w:type="dxa"/>
            <w:vAlign w:val="bottom"/>
          </w:tcPr>
          <w:p>
            <w:pPr>
              <w:jc w:val="right"/>
              <w:ind w:right="40"/>
              <w:spacing w:after="0"/>
              <w:rPr>
                <w:sz w:val="20"/>
                <w:szCs w:val="20"/>
                <w:color w:val="auto"/>
              </w:rPr>
            </w:pPr>
            <w:r>
              <w:rPr>
                <w:rFonts w:ascii="Arial" w:cs="Arial" w:eastAsia="Arial" w:hAnsi="Arial"/>
                <w:sz w:val="16"/>
                <w:szCs w:val="16"/>
                <w:color w:val="auto"/>
              </w:rPr>
              <w:t>163,000</w:t>
            </w:r>
          </w:p>
        </w:tc>
        <w:tc>
          <w:tcPr>
            <w:tcW w:w="120" w:type="dxa"/>
            <w:vAlign w:val="bottom"/>
          </w:tcPr>
          <w:p>
            <w:pPr>
              <w:spacing w:after="0"/>
              <w:rPr>
                <w:sz w:val="22"/>
                <w:szCs w:val="22"/>
                <w:color w:val="auto"/>
              </w:rPr>
            </w:pPr>
          </w:p>
        </w:tc>
        <w:tc>
          <w:tcPr>
            <w:tcW w:w="1480" w:type="dxa"/>
            <w:vAlign w:val="bottom"/>
          </w:tcPr>
          <w:p>
            <w:pPr>
              <w:jc w:val="right"/>
              <w:ind w:right="20"/>
              <w:spacing w:after="0"/>
              <w:rPr>
                <w:sz w:val="20"/>
                <w:szCs w:val="20"/>
                <w:color w:val="auto"/>
              </w:rPr>
            </w:pPr>
            <w:r>
              <w:rPr>
                <w:rFonts w:ascii="Arial" w:cs="Arial" w:eastAsia="Arial" w:hAnsi="Arial"/>
                <w:sz w:val="16"/>
                <w:szCs w:val="16"/>
                <w:color w:val="auto"/>
              </w:rPr>
              <w:t>195,000</w:t>
            </w:r>
          </w:p>
        </w:tc>
        <w:tc>
          <w:tcPr>
            <w:tcW w:w="100" w:type="dxa"/>
            <w:vAlign w:val="bottom"/>
          </w:tcPr>
          <w:p>
            <w:pPr>
              <w:spacing w:after="0"/>
              <w:rPr>
                <w:sz w:val="22"/>
                <w:szCs w:val="22"/>
                <w:color w:val="auto"/>
              </w:rPr>
            </w:pPr>
          </w:p>
        </w:tc>
        <w:tc>
          <w:tcPr>
            <w:tcW w:w="1480" w:type="dxa"/>
            <w:vAlign w:val="bottom"/>
          </w:tcPr>
          <w:p>
            <w:pPr>
              <w:jc w:val="right"/>
              <w:ind w:right="20"/>
              <w:spacing w:after="0"/>
              <w:rPr>
                <w:sz w:val="20"/>
                <w:szCs w:val="20"/>
                <w:color w:val="auto"/>
              </w:rPr>
            </w:pPr>
            <w:r>
              <w:rPr>
                <w:rFonts w:ascii="Arial" w:cs="Arial" w:eastAsia="Arial" w:hAnsi="Arial"/>
                <w:sz w:val="16"/>
                <w:szCs w:val="16"/>
                <w:color w:val="auto"/>
              </w:rPr>
              <w:t>195,000</w:t>
            </w:r>
          </w:p>
        </w:tc>
        <w:tc>
          <w:tcPr>
            <w:tcW w:w="0" w:type="dxa"/>
            <w:vAlign w:val="bottom"/>
          </w:tcPr>
          <w:p>
            <w:pPr>
              <w:spacing w:after="0"/>
              <w:rPr>
                <w:sz w:val="1"/>
                <w:szCs w:val="1"/>
                <w:color w:val="auto"/>
              </w:rPr>
            </w:pPr>
          </w:p>
        </w:tc>
      </w:tr>
      <w:tr>
        <w:trPr>
          <w:trHeight w:val="278"/>
        </w:trPr>
        <w:tc>
          <w:tcPr>
            <w:tcW w:w="6740" w:type="dxa"/>
            <w:vAlign w:val="bottom"/>
            <w:shd w:val="clear" w:color="auto" w:fill="CCEEFF"/>
          </w:tcPr>
          <w:p>
            <w:pPr>
              <w:ind w:left="40"/>
              <w:spacing w:after="0"/>
              <w:rPr>
                <w:sz w:val="20"/>
                <w:szCs w:val="20"/>
                <w:color w:val="auto"/>
              </w:rPr>
            </w:pPr>
            <w:r>
              <w:rPr>
                <w:rFonts w:ascii="Arial" w:cs="Arial" w:eastAsia="Arial" w:hAnsi="Arial"/>
                <w:sz w:val="16"/>
                <w:szCs w:val="16"/>
                <w:color w:val="auto"/>
              </w:rPr>
              <w:t>Michigan</w:t>
            </w:r>
          </w:p>
        </w:tc>
        <w:tc>
          <w:tcPr>
            <w:tcW w:w="150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399,000</w:t>
            </w:r>
          </w:p>
        </w:tc>
        <w:tc>
          <w:tcPr>
            <w:tcW w:w="120" w:type="dxa"/>
            <w:vAlign w:val="bottom"/>
            <w:shd w:val="clear" w:color="auto" w:fill="CCEEFF"/>
          </w:tcPr>
          <w:p>
            <w:pPr>
              <w:spacing w:after="0"/>
              <w:rPr>
                <w:sz w:val="24"/>
                <w:szCs w:val="24"/>
                <w:color w:val="auto"/>
              </w:rPr>
            </w:pPr>
          </w:p>
        </w:tc>
        <w:tc>
          <w:tcPr>
            <w:tcW w:w="148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391,000</w:t>
            </w:r>
          </w:p>
        </w:tc>
        <w:tc>
          <w:tcPr>
            <w:tcW w:w="100" w:type="dxa"/>
            <w:vAlign w:val="bottom"/>
            <w:shd w:val="clear" w:color="auto" w:fill="CCEEFF"/>
          </w:tcPr>
          <w:p>
            <w:pPr>
              <w:spacing w:after="0"/>
              <w:rPr>
                <w:sz w:val="24"/>
                <w:szCs w:val="24"/>
                <w:color w:val="auto"/>
              </w:rPr>
            </w:pPr>
          </w:p>
        </w:tc>
        <w:tc>
          <w:tcPr>
            <w:tcW w:w="148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387,000</w:t>
            </w:r>
          </w:p>
        </w:tc>
        <w:tc>
          <w:tcPr>
            <w:tcW w:w="0" w:type="dxa"/>
            <w:vAlign w:val="bottom"/>
          </w:tcPr>
          <w:p>
            <w:pPr>
              <w:spacing w:after="0"/>
              <w:rPr>
                <w:sz w:val="1"/>
                <w:szCs w:val="1"/>
                <w:color w:val="auto"/>
              </w:rPr>
            </w:pPr>
          </w:p>
        </w:tc>
      </w:tr>
      <w:tr>
        <w:trPr>
          <w:trHeight w:val="262"/>
        </w:trPr>
        <w:tc>
          <w:tcPr>
            <w:tcW w:w="6740" w:type="dxa"/>
            <w:vAlign w:val="bottom"/>
          </w:tcPr>
          <w:p>
            <w:pPr>
              <w:ind w:left="40"/>
              <w:spacing w:after="0"/>
              <w:rPr>
                <w:sz w:val="20"/>
                <w:szCs w:val="20"/>
                <w:color w:val="auto"/>
              </w:rPr>
            </w:pPr>
            <w:r>
              <w:rPr>
                <w:rFonts w:ascii="Arial" w:cs="Arial" w:eastAsia="Arial" w:hAnsi="Arial"/>
                <w:sz w:val="16"/>
                <w:szCs w:val="16"/>
                <w:color w:val="auto"/>
              </w:rPr>
              <w:t>New Mexico</w:t>
            </w:r>
          </w:p>
        </w:tc>
        <w:tc>
          <w:tcPr>
            <w:tcW w:w="1500" w:type="dxa"/>
            <w:vAlign w:val="bottom"/>
          </w:tcPr>
          <w:p>
            <w:pPr>
              <w:jc w:val="right"/>
              <w:ind w:right="40"/>
              <w:spacing w:after="0"/>
              <w:rPr>
                <w:sz w:val="20"/>
                <w:szCs w:val="20"/>
                <w:color w:val="auto"/>
              </w:rPr>
            </w:pPr>
            <w:r>
              <w:rPr>
                <w:rFonts w:ascii="Arial" w:cs="Arial" w:eastAsia="Arial" w:hAnsi="Arial"/>
                <w:sz w:val="16"/>
                <w:szCs w:val="16"/>
                <w:color w:val="auto"/>
              </w:rPr>
              <w:t>256,000</w:t>
            </w:r>
          </w:p>
        </w:tc>
        <w:tc>
          <w:tcPr>
            <w:tcW w:w="120" w:type="dxa"/>
            <w:vAlign w:val="bottom"/>
          </w:tcPr>
          <w:p>
            <w:pPr>
              <w:spacing w:after="0"/>
              <w:rPr>
                <w:sz w:val="22"/>
                <w:szCs w:val="22"/>
                <w:color w:val="auto"/>
              </w:rPr>
            </w:pPr>
          </w:p>
        </w:tc>
        <w:tc>
          <w:tcPr>
            <w:tcW w:w="1480" w:type="dxa"/>
            <w:vAlign w:val="bottom"/>
          </w:tcPr>
          <w:p>
            <w:pPr>
              <w:jc w:val="right"/>
              <w:ind w:right="20"/>
              <w:spacing w:after="0"/>
              <w:rPr>
                <w:sz w:val="20"/>
                <w:szCs w:val="20"/>
                <w:color w:val="auto"/>
              </w:rPr>
            </w:pPr>
            <w:r>
              <w:rPr>
                <w:rFonts w:ascii="Arial" w:cs="Arial" w:eastAsia="Arial" w:hAnsi="Arial"/>
                <w:sz w:val="16"/>
                <w:szCs w:val="16"/>
                <w:color w:val="auto"/>
              </w:rPr>
              <w:t>254,000</w:t>
            </w:r>
          </w:p>
        </w:tc>
        <w:tc>
          <w:tcPr>
            <w:tcW w:w="100" w:type="dxa"/>
            <w:vAlign w:val="bottom"/>
          </w:tcPr>
          <w:p>
            <w:pPr>
              <w:spacing w:after="0"/>
              <w:rPr>
                <w:sz w:val="22"/>
                <w:szCs w:val="22"/>
                <w:color w:val="auto"/>
              </w:rPr>
            </w:pPr>
          </w:p>
        </w:tc>
        <w:tc>
          <w:tcPr>
            <w:tcW w:w="1480" w:type="dxa"/>
            <w:vAlign w:val="bottom"/>
          </w:tcPr>
          <w:p>
            <w:pPr>
              <w:jc w:val="right"/>
              <w:ind w:right="20"/>
              <w:spacing w:after="0"/>
              <w:rPr>
                <w:sz w:val="20"/>
                <w:szCs w:val="20"/>
                <w:color w:val="auto"/>
              </w:rPr>
            </w:pPr>
            <w:r>
              <w:rPr>
                <w:rFonts w:ascii="Arial" w:cs="Arial" w:eastAsia="Arial" w:hAnsi="Arial"/>
                <w:sz w:val="16"/>
                <w:szCs w:val="16"/>
                <w:color w:val="auto"/>
              </w:rPr>
              <w:t>253,000</w:t>
            </w:r>
          </w:p>
        </w:tc>
        <w:tc>
          <w:tcPr>
            <w:tcW w:w="0" w:type="dxa"/>
            <w:vAlign w:val="bottom"/>
          </w:tcPr>
          <w:p>
            <w:pPr>
              <w:spacing w:after="0"/>
              <w:rPr>
                <w:sz w:val="1"/>
                <w:szCs w:val="1"/>
                <w:color w:val="auto"/>
              </w:rPr>
            </w:pPr>
          </w:p>
        </w:tc>
      </w:tr>
      <w:tr>
        <w:trPr>
          <w:trHeight w:val="278"/>
        </w:trPr>
        <w:tc>
          <w:tcPr>
            <w:tcW w:w="6740" w:type="dxa"/>
            <w:vAlign w:val="bottom"/>
            <w:shd w:val="clear" w:color="auto" w:fill="CCEEFF"/>
          </w:tcPr>
          <w:p>
            <w:pPr>
              <w:ind w:left="40"/>
              <w:spacing w:after="0"/>
              <w:rPr>
                <w:sz w:val="20"/>
                <w:szCs w:val="20"/>
                <w:color w:val="auto"/>
              </w:rPr>
            </w:pPr>
            <w:r>
              <w:rPr>
                <w:rFonts w:ascii="Arial" w:cs="Arial" w:eastAsia="Arial" w:hAnsi="Arial"/>
                <w:sz w:val="16"/>
                <w:szCs w:val="16"/>
                <w:color w:val="auto"/>
              </w:rPr>
              <w:t>New York</w:t>
            </w:r>
          </w:p>
        </w:tc>
        <w:tc>
          <w:tcPr>
            <w:tcW w:w="150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33,000</w:t>
            </w:r>
          </w:p>
        </w:tc>
        <w:tc>
          <w:tcPr>
            <w:tcW w:w="120" w:type="dxa"/>
            <w:vAlign w:val="bottom"/>
            <w:shd w:val="clear" w:color="auto" w:fill="CCEEFF"/>
          </w:tcPr>
          <w:p>
            <w:pPr>
              <w:spacing w:after="0"/>
              <w:rPr>
                <w:sz w:val="24"/>
                <w:szCs w:val="24"/>
                <w:color w:val="auto"/>
              </w:rPr>
            </w:pPr>
          </w:p>
        </w:tc>
        <w:tc>
          <w:tcPr>
            <w:tcW w:w="148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35,000</w:t>
            </w:r>
          </w:p>
        </w:tc>
        <w:tc>
          <w:tcPr>
            <w:tcW w:w="100" w:type="dxa"/>
            <w:vAlign w:val="bottom"/>
            <w:shd w:val="clear" w:color="auto" w:fill="CCEEFF"/>
          </w:tcPr>
          <w:p>
            <w:pPr>
              <w:spacing w:after="0"/>
              <w:rPr>
                <w:sz w:val="24"/>
                <w:szCs w:val="24"/>
                <w:color w:val="auto"/>
              </w:rPr>
            </w:pPr>
          </w:p>
        </w:tc>
        <w:tc>
          <w:tcPr>
            <w:tcW w:w="148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37,000</w:t>
            </w:r>
          </w:p>
        </w:tc>
        <w:tc>
          <w:tcPr>
            <w:tcW w:w="0" w:type="dxa"/>
            <w:vAlign w:val="bottom"/>
          </w:tcPr>
          <w:p>
            <w:pPr>
              <w:spacing w:after="0"/>
              <w:rPr>
                <w:sz w:val="1"/>
                <w:szCs w:val="1"/>
                <w:color w:val="auto"/>
              </w:rPr>
            </w:pPr>
          </w:p>
        </w:tc>
      </w:tr>
      <w:tr>
        <w:trPr>
          <w:trHeight w:val="262"/>
        </w:trPr>
        <w:tc>
          <w:tcPr>
            <w:tcW w:w="6740" w:type="dxa"/>
            <w:vAlign w:val="bottom"/>
          </w:tcPr>
          <w:p>
            <w:pPr>
              <w:ind w:left="40"/>
              <w:spacing w:after="0"/>
              <w:rPr>
                <w:sz w:val="20"/>
                <w:szCs w:val="20"/>
                <w:color w:val="auto"/>
              </w:rPr>
            </w:pPr>
            <w:r>
              <w:rPr>
                <w:rFonts w:ascii="Arial" w:cs="Arial" w:eastAsia="Arial" w:hAnsi="Arial"/>
                <w:sz w:val="16"/>
                <w:szCs w:val="16"/>
                <w:color w:val="auto"/>
              </w:rPr>
              <w:t>Ohio</w:t>
            </w:r>
          </w:p>
        </w:tc>
        <w:tc>
          <w:tcPr>
            <w:tcW w:w="1500" w:type="dxa"/>
            <w:vAlign w:val="bottom"/>
          </w:tcPr>
          <w:p>
            <w:pPr>
              <w:jc w:val="right"/>
              <w:ind w:right="40"/>
              <w:spacing w:after="0"/>
              <w:rPr>
                <w:sz w:val="20"/>
                <w:szCs w:val="20"/>
                <w:color w:val="auto"/>
              </w:rPr>
            </w:pPr>
            <w:r>
              <w:rPr>
                <w:rFonts w:ascii="Arial" w:cs="Arial" w:eastAsia="Arial" w:hAnsi="Arial"/>
                <w:sz w:val="16"/>
                <w:szCs w:val="16"/>
                <w:color w:val="auto"/>
              </w:rPr>
              <w:t>343,000</w:t>
            </w:r>
          </w:p>
        </w:tc>
        <w:tc>
          <w:tcPr>
            <w:tcW w:w="120" w:type="dxa"/>
            <w:vAlign w:val="bottom"/>
          </w:tcPr>
          <w:p>
            <w:pPr>
              <w:spacing w:after="0"/>
              <w:rPr>
                <w:sz w:val="22"/>
                <w:szCs w:val="22"/>
                <w:color w:val="auto"/>
              </w:rPr>
            </w:pPr>
          </w:p>
        </w:tc>
        <w:tc>
          <w:tcPr>
            <w:tcW w:w="1480" w:type="dxa"/>
            <w:vAlign w:val="bottom"/>
          </w:tcPr>
          <w:p>
            <w:pPr>
              <w:jc w:val="right"/>
              <w:ind w:right="20"/>
              <w:spacing w:after="0"/>
              <w:rPr>
                <w:sz w:val="20"/>
                <w:szCs w:val="20"/>
                <w:color w:val="auto"/>
              </w:rPr>
            </w:pPr>
            <w:r>
              <w:rPr>
                <w:rFonts w:ascii="Arial" w:cs="Arial" w:eastAsia="Arial" w:hAnsi="Arial"/>
                <w:sz w:val="16"/>
                <w:szCs w:val="16"/>
                <w:color w:val="auto"/>
              </w:rPr>
              <w:t>332,000</w:t>
            </w:r>
          </w:p>
        </w:tc>
        <w:tc>
          <w:tcPr>
            <w:tcW w:w="100" w:type="dxa"/>
            <w:vAlign w:val="bottom"/>
          </w:tcPr>
          <w:p>
            <w:pPr>
              <w:spacing w:after="0"/>
              <w:rPr>
                <w:sz w:val="22"/>
                <w:szCs w:val="22"/>
                <w:color w:val="auto"/>
              </w:rPr>
            </w:pPr>
          </w:p>
        </w:tc>
        <w:tc>
          <w:tcPr>
            <w:tcW w:w="1480" w:type="dxa"/>
            <w:vAlign w:val="bottom"/>
          </w:tcPr>
          <w:p>
            <w:pPr>
              <w:jc w:val="right"/>
              <w:ind w:right="20"/>
              <w:spacing w:after="0"/>
              <w:rPr>
                <w:sz w:val="20"/>
                <w:szCs w:val="20"/>
                <w:color w:val="auto"/>
              </w:rPr>
            </w:pPr>
            <w:r>
              <w:rPr>
                <w:rFonts w:ascii="Arial" w:cs="Arial" w:eastAsia="Arial" w:hAnsi="Arial"/>
                <w:sz w:val="16"/>
                <w:szCs w:val="16"/>
                <w:color w:val="auto"/>
              </w:rPr>
              <w:t>339,000</w:t>
            </w:r>
          </w:p>
        </w:tc>
        <w:tc>
          <w:tcPr>
            <w:tcW w:w="0" w:type="dxa"/>
            <w:vAlign w:val="bottom"/>
          </w:tcPr>
          <w:p>
            <w:pPr>
              <w:spacing w:after="0"/>
              <w:rPr>
                <w:sz w:val="1"/>
                <w:szCs w:val="1"/>
                <w:color w:val="auto"/>
              </w:rPr>
            </w:pPr>
          </w:p>
        </w:tc>
      </w:tr>
      <w:tr>
        <w:trPr>
          <w:trHeight w:val="278"/>
        </w:trPr>
        <w:tc>
          <w:tcPr>
            <w:tcW w:w="6740" w:type="dxa"/>
            <w:vAlign w:val="bottom"/>
            <w:shd w:val="clear" w:color="auto" w:fill="CCEEFF"/>
          </w:tcPr>
          <w:p>
            <w:pPr>
              <w:ind w:left="40"/>
              <w:spacing w:after="0"/>
              <w:rPr>
                <w:sz w:val="20"/>
                <w:szCs w:val="20"/>
                <w:color w:val="auto"/>
              </w:rPr>
            </w:pPr>
            <w:r>
              <w:rPr>
                <w:rFonts w:ascii="Arial" w:cs="Arial" w:eastAsia="Arial" w:hAnsi="Arial"/>
                <w:sz w:val="16"/>
                <w:szCs w:val="16"/>
                <w:color w:val="auto"/>
              </w:rPr>
              <w:t>Puerto Rico</w:t>
            </w:r>
          </w:p>
        </w:tc>
        <w:tc>
          <w:tcPr>
            <w:tcW w:w="150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306,000</w:t>
            </w:r>
          </w:p>
        </w:tc>
        <w:tc>
          <w:tcPr>
            <w:tcW w:w="120" w:type="dxa"/>
            <w:vAlign w:val="bottom"/>
            <w:shd w:val="clear" w:color="auto" w:fill="CCEEFF"/>
          </w:tcPr>
          <w:p>
            <w:pPr>
              <w:spacing w:after="0"/>
              <w:rPr>
                <w:sz w:val="24"/>
                <w:szCs w:val="24"/>
                <w:color w:val="auto"/>
              </w:rPr>
            </w:pPr>
          </w:p>
        </w:tc>
        <w:tc>
          <w:tcPr>
            <w:tcW w:w="148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330,000</w:t>
            </w:r>
          </w:p>
        </w:tc>
        <w:tc>
          <w:tcPr>
            <w:tcW w:w="100" w:type="dxa"/>
            <w:vAlign w:val="bottom"/>
            <w:shd w:val="clear" w:color="auto" w:fill="CCEEFF"/>
          </w:tcPr>
          <w:p>
            <w:pPr>
              <w:spacing w:after="0"/>
              <w:rPr>
                <w:sz w:val="24"/>
                <w:szCs w:val="24"/>
                <w:color w:val="auto"/>
              </w:rPr>
            </w:pPr>
          </w:p>
        </w:tc>
        <w:tc>
          <w:tcPr>
            <w:tcW w:w="148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331,000</w:t>
            </w:r>
          </w:p>
        </w:tc>
        <w:tc>
          <w:tcPr>
            <w:tcW w:w="0" w:type="dxa"/>
            <w:vAlign w:val="bottom"/>
          </w:tcPr>
          <w:p>
            <w:pPr>
              <w:spacing w:after="0"/>
              <w:rPr>
                <w:sz w:val="1"/>
                <w:szCs w:val="1"/>
                <w:color w:val="auto"/>
              </w:rPr>
            </w:pPr>
          </w:p>
        </w:tc>
      </w:tr>
      <w:tr>
        <w:trPr>
          <w:trHeight w:val="262"/>
        </w:trPr>
        <w:tc>
          <w:tcPr>
            <w:tcW w:w="6740" w:type="dxa"/>
            <w:vAlign w:val="bottom"/>
          </w:tcPr>
          <w:p>
            <w:pPr>
              <w:ind w:left="40"/>
              <w:spacing w:after="0"/>
              <w:rPr>
                <w:sz w:val="20"/>
                <w:szCs w:val="20"/>
                <w:color w:val="auto"/>
              </w:rPr>
            </w:pPr>
            <w:r>
              <w:rPr>
                <w:rFonts w:ascii="Arial" w:cs="Arial" w:eastAsia="Arial" w:hAnsi="Arial"/>
                <w:sz w:val="16"/>
                <w:szCs w:val="16"/>
                <w:color w:val="auto"/>
              </w:rPr>
              <w:t>South Carolina</w:t>
            </w:r>
          </w:p>
        </w:tc>
        <w:tc>
          <w:tcPr>
            <w:tcW w:w="1500" w:type="dxa"/>
            <w:vAlign w:val="bottom"/>
          </w:tcPr>
          <w:p>
            <w:pPr>
              <w:jc w:val="right"/>
              <w:ind w:right="40"/>
              <w:spacing w:after="0"/>
              <w:rPr>
                <w:sz w:val="20"/>
                <w:szCs w:val="20"/>
                <w:color w:val="auto"/>
              </w:rPr>
            </w:pPr>
            <w:r>
              <w:rPr>
                <w:rFonts w:ascii="Arial" w:cs="Arial" w:eastAsia="Arial" w:hAnsi="Arial"/>
                <w:sz w:val="16"/>
                <w:szCs w:val="16"/>
                <w:color w:val="auto"/>
              </w:rPr>
              <w:t>113,000</w:t>
            </w:r>
          </w:p>
        </w:tc>
        <w:tc>
          <w:tcPr>
            <w:tcW w:w="120" w:type="dxa"/>
            <w:vAlign w:val="bottom"/>
          </w:tcPr>
          <w:p>
            <w:pPr>
              <w:spacing w:after="0"/>
              <w:rPr>
                <w:sz w:val="22"/>
                <w:szCs w:val="22"/>
                <w:color w:val="auto"/>
              </w:rPr>
            </w:pPr>
          </w:p>
        </w:tc>
        <w:tc>
          <w:tcPr>
            <w:tcW w:w="1480" w:type="dxa"/>
            <w:vAlign w:val="bottom"/>
          </w:tcPr>
          <w:p>
            <w:pPr>
              <w:jc w:val="right"/>
              <w:ind w:right="20"/>
              <w:spacing w:after="0"/>
              <w:rPr>
                <w:sz w:val="20"/>
                <w:szCs w:val="20"/>
                <w:color w:val="auto"/>
              </w:rPr>
            </w:pPr>
            <w:r>
              <w:rPr>
                <w:rFonts w:ascii="Arial" w:cs="Arial" w:eastAsia="Arial" w:hAnsi="Arial"/>
                <w:sz w:val="16"/>
                <w:szCs w:val="16"/>
                <w:color w:val="auto"/>
              </w:rPr>
              <w:t>109,000</w:t>
            </w:r>
          </w:p>
        </w:tc>
        <w:tc>
          <w:tcPr>
            <w:tcW w:w="100" w:type="dxa"/>
            <w:vAlign w:val="bottom"/>
          </w:tcPr>
          <w:p>
            <w:pPr>
              <w:spacing w:after="0"/>
              <w:rPr>
                <w:sz w:val="22"/>
                <w:szCs w:val="22"/>
                <w:color w:val="auto"/>
              </w:rPr>
            </w:pPr>
          </w:p>
        </w:tc>
        <w:tc>
          <w:tcPr>
            <w:tcW w:w="1480" w:type="dxa"/>
            <w:vAlign w:val="bottom"/>
          </w:tcPr>
          <w:p>
            <w:pPr>
              <w:jc w:val="right"/>
              <w:ind w:right="20"/>
              <w:spacing w:after="0"/>
              <w:rPr>
                <w:sz w:val="20"/>
                <w:szCs w:val="20"/>
                <w:color w:val="auto"/>
              </w:rPr>
            </w:pPr>
            <w:r>
              <w:rPr>
                <w:rFonts w:ascii="Arial" w:cs="Arial" w:eastAsia="Arial" w:hAnsi="Arial"/>
                <w:sz w:val="16"/>
                <w:szCs w:val="16"/>
                <w:color w:val="auto"/>
              </w:rPr>
              <w:t>109,000</w:t>
            </w:r>
          </w:p>
        </w:tc>
        <w:tc>
          <w:tcPr>
            <w:tcW w:w="0" w:type="dxa"/>
            <w:vAlign w:val="bottom"/>
          </w:tcPr>
          <w:p>
            <w:pPr>
              <w:spacing w:after="0"/>
              <w:rPr>
                <w:sz w:val="1"/>
                <w:szCs w:val="1"/>
                <w:color w:val="auto"/>
              </w:rPr>
            </w:pPr>
          </w:p>
        </w:tc>
      </w:tr>
      <w:tr>
        <w:trPr>
          <w:trHeight w:val="278"/>
        </w:trPr>
        <w:tc>
          <w:tcPr>
            <w:tcW w:w="6740" w:type="dxa"/>
            <w:vAlign w:val="bottom"/>
            <w:shd w:val="clear" w:color="auto" w:fill="CCEEFF"/>
          </w:tcPr>
          <w:p>
            <w:pPr>
              <w:ind w:left="40"/>
              <w:spacing w:after="0"/>
              <w:rPr>
                <w:sz w:val="20"/>
                <w:szCs w:val="20"/>
                <w:color w:val="auto"/>
              </w:rPr>
            </w:pPr>
            <w:r>
              <w:rPr>
                <w:rFonts w:ascii="Arial" w:cs="Arial" w:eastAsia="Arial" w:hAnsi="Arial"/>
                <w:sz w:val="16"/>
                <w:szCs w:val="16"/>
                <w:color w:val="auto"/>
              </w:rPr>
              <w:t>Texas</w:t>
            </w:r>
          </w:p>
        </w:tc>
        <w:tc>
          <w:tcPr>
            <w:tcW w:w="150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444,000</w:t>
            </w:r>
          </w:p>
        </w:tc>
        <w:tc>
          <w:tcPr>
            <w:tcW w:w="120" w:type="dxa"/>
            <w:vAlign w:val="bottom"/>
            <w:shd w:val="clear" w:color="auto" w:fill="CCEEFF"/>
          </w:tcPr>
          <w:p>
            <w:pPr>
              <w:spacing w:after="0"/>
              <w:rPr>
                <w:sz w:val="24"/>
                <w:szCs w:val="24"/>
                <w:color w:val="auto"/>
              </w:rPr>
            </w:pPr>
          </w:p>
        </w:tc>
        <w:tc>
          <w:tcPr>
            <w:tcW w:w="148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337,000</w:t>
            </w:r>
          </w:p>
        </w:tc>
        <w:tc>
          <w:tcPr>
            <w:tcW w:w="100" w:type="dxa"/>
            <w:vAlign w:val="bottom"/>
            <w:shd w:val="clear" w:color="auto" w:fill="CCEEFF"/>
          </w:tcPr>
          <w:p>
            <w:pPr>
              <w:spacing w:after="0"/>
              <w:rPr>
                <w:sz w:val="24"/>
                <w:szCs w:val="24"/>
                <w:color w:val="auto"/>
              </w:rPr>
            </w:pPr>
          </w:p>
        </w:tc>
        <w:tc>
          <w:tcPr>
            <w:tcW w:w="148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352,000</w:t>
            </w:r>
          </w:p>
        </w:tc>
        <w:tc>
          <w:tcPr>
            <w:tcW w:w="0" w:type="dxa"/>
            <w:vAlign w:val="bottom"/>
          </w:tcPr>
          <w:p>
            <w:pPr>
              <w:spacing w:after="0"/>
              <w:rPr>
                <w:sz w:val="1"/>
                <w:szCs w:val="1"/>
                <w:color w:val="auto"/>
              </w:rPr>
            </w:pPr>
          </w:p>
        </w:tc>
      </w:tr>
      <w:tr>
        <w:trPr>
          <w:trHeight w:val="262"/>
        </w:trPr>
        <w:tc>
          <w:tcPr>
            <w:tcW w:w="6740" w:type="dxa"/>
            <w:vAlign w:val="bottom"/>
          </w:tcPr>
          <w:p>
            <w:pPr>
              <w:ind w:left="40"/>
              <w:spacing w:after="0"/>
              <w:rPr>
                <w:sz w:val="20"/>
                <w:szCs w:val="20"/>
                <w:color w:val="auto"/>
              </w:rPr>
            </w:pPr>
            <w:r>
              <w:rPr>
                <w:rFonts w:ascii="Arial" w:cs="Arial" w:eastAsia="Arial" w:hAnsi="Arial"/>
                <w:sz w:val="16"/>
                <w:szCs w:val="16"/>
                <w:color w:val="auto"/>
              </w:rPr>
              <w:t>Utah</w:t>
            </w:r>
          </w:p>
        </w:tc>
        <w:tc>
          <w:tcPr>
            <w:tcW w:w="1500" w:type="dxa"/>
            <w:vAlign w:val="bottom"/>
          </w:tcPr>
          <w:p>
            <w:pPr>
              <w:jc w:val="right"/>
              <w:ind w:right="40"/>
              <w:spacing w:after="0"/>
              <w:rPr>
                <w:sz w:val="20"/>
                <w:szCs w:val="20"/>
                <w:color w:val="auto"/>
              </w:rPr>
            </w:pPr>
            <w:r>
              <w:rPr>
                <w:rFonts w:ascii="Arial" w:cs="Arial" w:eastAsia="Arial" w:hAnsi="Arial"/>
                <w:sz w:val="16"/>
                <w:szCs w:val="16"/>
                <w:color w:val="auto"/>
              </w:rPr>
              <w:t>160,000</w:t>
            </w:r>
          </w:p>
        </w:tc>
        <w:tc>
          <w:tcPr>
            <w:tcW w:w="120" w:type="dxa"/>
            <w:vAlign w:val="bottom"/>
          </w:tcPr>
          <w:p>
            <w:pPr>
              <w:spacing w:after="0"/>
              <w:rPr>
                <w:sz w:val="22"/>
                <w:szCs w:val="22"/>
                <w:color w:val="auto"/>
              </w:rPr>
            </w:pPr>
          </w:p>
        </w:tc>
        <w:tc>
          <w:tcPr>
            <w:tcW w:w="1480" w:type="dxa"/>
            <w:vAlign w:val="bottom"/>
          </w:tcPr>
          <w:p>
            <w:pPr>
              <w:jc w:val="right"/>
              <w:ind w:right="20"/>
              <w:spacing w:after="0"/>
              <w:rPr>
                <w:sz w:val="20"/>
                <w:szCs w:val="20"/>
                <w:color w:val="auto"/>
              </w:rPr>
            </w:pPr>
            <w:r>
              <w:rPr>
                <w:rFonts w:ascii="Arial" w:cs="Arial" w:eastAsia="Arial" w:hAnsi="Arial"/>
                <w:sz w:val="16"/>
                <w:szCs w:val="16"/>
                <w:color w:val="auto"/>
              </w:rPr>
              <w:t>146,000</w:t>
            </w:r>
          </w:p>
        </w:tc>
        <w:tc>
          <w:tcPr>
            <w:tcW w:w="100" w:type="dxa"/>
            <w:vAlign w:val="bottom"/>
          </w:tcPr>
          <w:p>
            <w:pPr>
              <w:spacing w:after="0"/>
              <w:rPr>
                <w:sz w:val="22"/>
                <w:szCs w:val="22"/>
                <w:color w:val="auto"/>
              </w:rPr>
            </w:pPr>
          </w:p>
        </w:tc>
        <w:tc>
          <w:tcPr>
            <w:tcW w:w="1480" w:type="dxa"/>
            <w:vAlign w:val="bottom"/>
          </w:tcPr>
          <w:p>
            <w:pPr>
              <w:jc w:val="right"/>
              <w:ind w:right="20"/>
              <w:spacing w:after="0"/>
              <w:rPr>
                <w:sz w:val="20"/>
                <w:szCs w:val="20"/>
                <w:color w:val="auto"/>
              </w:rPr>
            </w:pPr>
            <w:r>
              <w:rPr>
                <w:rFonts w:ascii="Arial" w:cs="Arial" w:eastAsia="Arial" w:hAnsi="Arial"/>
                <w:sz w:val="16"/>
                <w:szCs w:val="16"/>
                <w:color w:val="auto"/>
              </w:rPr>
              <w:t>150,000</w:t>
            </w:r>
          </w:p>
        </w:tc>
        <w:tc>
          <w:tcPr>
            <w:tcW w:w="0" w:type="dxa"/>
            <w:vAlign w:val="bottom"/>
          </w:tcPr>
          <w:p>
            <w:pPr>
              <w:spacing w:after="0"/>
              <w:rPr>
                <w:sz w:val="1"/>
                <w:szCs w:val="1"/>
                <w:color w:val="auto"/>
              </w:rPr>
            </w:pPr>
          </w:p>
        </w:tc>
      </w:tr>
      <w:tr>
        <w:trPr>
          <w:trHeight w:val="278"/>
        </w:trPr>
        <w:tc>
          <w:tcPr>
            <w:tcW w:w="6740" w:type="dxa"/>
            <w:vAlign w:val="bottom"/>
            <w:shd w:val="clear" w:color="auto" w:fill="CCEEFF"/>
          </w:tcPr>
          <w:p>
            <w:pPr>
              <w:ind w:left="40"/>
              <w:spacing w:after="0"/>
              <w:rPr>
                <w:sz w:val="20"/>
                <w:szCs w:val="20"/>
                <w:color w:val="auto"/>
              </w:rPr>
            </w:pPr>
            <w:r>
              <w:rPr>
                <w:rFonts w:ascii="Arial" w:cs="Arial" w:eastAsia="Arial" w:hAnsi="Arial"/>
                <w:sz w:val="16"/>
                <w:szCs w:val="16"/>
                <w:color w:val="auto"/>
              </w:rPr>
              <w:t>Washington</w:t>
            </w:r>
          </w:p>
        </w:tc>
        <w:tc>
          <w:tcPr>
            <w:tcW w:w="150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770,000</w:t>
            </w:r>
          </w:p>
        </w:tc>
        <w:tc>
          <w:tcPr>
            <w:tcW w:w="120" w:type="dxa"/>
            <w:vAlign w:val="bottom"/>
            <w:shd w:val="clear" w:color="auto" w:fill="CCEEFF"/>
          </w:tcPr>
          <w:p>
            <w:pPr>
              <w:spacing w:after="0"/>
              <w:rPr>
                <w:sz w:val="24"/>
                <w:szCs w:val="24"/>
                <w:color w:val="auto"/>
              </w:rPr>
            </w:pPr>
          </w:p>
        </w:tc>
        <w:tc>
          <w:tcPr>
            <w:tcW w:w="148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736,000</w:t>
            </w:r>
          </w:p>
        </w:tc>
        <w:tc>
          <w:tcPr>
            <w:tcW w:w="100" w:type="dxa"/>
            <w:vAlign w:val="bottom"/>
            <w:shd w:val="clear" w:color="auto" w:fill="CCEEFF"/>
          </w:tcPr>
          <w:p>
            <w:pPr>
              <w:spacing w:after="0"/>
              <w:rPr>
                <w:sz w:val="24"/>
                <w:szCs w:val="24"/>
                <w:color w:val="auto"/>
              </w:rPr>
            </w:pPr>
          </w:p>
        </w:tc>
        <w:tc>
          <w:tcPr>
            <w:tcW w:w="148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716,000</w:t>
            </w:r>
          </w:p>
        </w:tc>
        <w:tc>
          <w:tcPr>
            <w:tcW w:w="0" w:type="dxa"/>
            <w:vAlign w:val="bottom"/>
          </w:tcPr>
          <w:p>
            <w:pPr>
              <w:spacing w:after="0"/>
              <w:rPr>
                <w:sz w:val="1"/>
                <w:szCs w:val="1"/>
                <w:color w:val="auto"/>
              </w:rPr>
            </w:pPr>
          </w:p>
        </w:tc>
      </w:tr>
      <w:tr>
        <w:trPr>
          <w:trHeight w:val="264"/>
        </w:trPr>
        <w:tc>
          <w:tcPr>
            <w:tcW w:w="674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Wisconsin</w:t>
            </w:r>
          </w:p>
        </w:tc>
        <w:tc>
          <w:tcPr>
            <w:tcW w:w="150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124,000</w:t>
            </w:r>
          </w:p>
        </w:tc>
        <w:tc>
          <w:tcPr>
            <w:tcW w:w="120" w:type="dxa"/>
            <w:vAlign w:val="bottom"/>
            <w:tcBorders>
              <w:bottom w:val="single" w:sz="8" w:color="CCEEFF"/>
            </w:tcBorders>
          </w:tcPr>
          <w:p>
            <w:pPr>
              <w:spacing w:after="0"/>
              <w:rPr>
                <w:sz w:val="22"/>
                <w:szCs w:val="22"/>
                <w:color w:val="auto"/>
              </w:rPr>
            </w:pPr>
          </w:p>
        </w:tc>
        <w:tc>
          <w:tcPr>
            <w:tcW w:w="148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126,000</w:t>
            </w:r>
          </w:p>
        </w:tc>
        <w:tc>
          <w:tcPr>
            <w:tcW w:w="100" w:type="dxa"/>
            <w:vAlign w:val="bottom"/>
            <w:tcBorders>
              <w:bottom w:val="single" w:sz="8" w:color="CCEEFF"/>
            </w:tcBorders>
          </w:tcPr>
          <w:p>
            <w:pPr>
              <w:spacing w:after="0"/>
              <w:rPr>
                <w:sz w:val="22"/>
                <w:szCs w:val="22"/>
                <w:color w:val="auto"/>
              </w:rPr>
            </w:pPr>
          </w:p>
        </w:tc>
        <w:tc>
          <w:tcPr>
            <w:tcW w:w="148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131,000</w:t>
            </w:r>
          </w:p>
        </w:tc>
        <w:tc>
          <w:tcPr>
            <w:tcW w:w="0" w:type="dxa"/>
            <w:vAlign w:val="bottom"/>
          </w:tcPr>
          <w:p>
            <w:pPr>
              <w:spacing w:after="0"/>
              <w:rPr>
                <w:sz w:val="1"/>
                <w:szCs w:val="1"/>
                <w:color w:val="auto"/>
              </w:rPr>
            </w:pPr>
          </w:p>
        </w:tc>
      </w:tr>
      <w:tr>
        <w:trPr>
          <w:trHeight w:val="237"/>
        </w:trPr>
        <w:tc>
          <w:tcPr>
            <w:tcW w:w="6740" w:type="dxa"/>
            <w:vAlign w:val="bottom"/>
            <w:tcBorders>
              <w:bottom w:val="single" w:sz="8" w:color="CCEEFF"/>
            </w:tcBorders>
            <w:shd w:val="clear" w:color="auto" w:fill="CCEEFF"/>
          </w:tcPr>
          <w:p>
            <w:pPr>
              <w:spacing w:after="0"/>
              <w:rPr>
                <w:sz w:val="20"/>
                <w:szCs w:val="20"/>
                <w:color w:val="auto"/>
              </w:rPr>
            </w:pPr>
          </w:p>
        </w:tc>
        <w:tc>
          <w:tcPr>
            <w:tcW w:w="150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4,503,000</w:t>
            </w:r>
          </w:p>
        </w:tc>
        <w:tc>
          <w:tcPr>
            <w:tcW w:w="120" w:type="dxa"/>
            <w:vAlign w:val="bottom"/>
            <w:tcBorders>
              <w:bottom w:val="single" w:sz="8" w:color="CCEEFF"/>
            </w:tcBorders>
            <w:shd w:val="clear" w:color="auto" w:fill="CCEEFF"/>
          </w:tcPr>
          <w:p>
            <w:pPr>
              <w:spacing w:after="0"/>
              <w:rPr>
                <w:sz w:val="20"/>
                <w:szCs w:val="20"/>
                <w:color w:val="auto"/>
              </w:rPr>
            </w:pPr>
          </w:p>
        </w:tc>
        <w:tc>
          <w:tcPr>
            <w:tcW w:w="148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4,227,000</w:t>
            </w:r>
          </w:p>
        </w:tc>
        <w:tc>
          <w:tcPr>
            <w:tcW w:w="100" w:type="dxa"/>
            <w:vAlign w:val="bottom"/>
            <w:tcBorders>
              <w:bottom w:val="single" w:sz="8" w:color="CCEEFF"/>
            </w:tcBorders>
            <w:shd w:val="clear" w:color="auto" w:fill="CCEEFF"/>
          </w:tcPr>
          <w:p>
            <w:pPr>
              <w:spacing w:after="0"/>
              <w:rPr>
                <w:sz w:val="20"/>
                <w:szCs w:val="20"/>
                <w:color w:val="auto"/>
              </w:rPr>
            </w:pPr>
          </w:p>
        </w:tc>
        <w:tc>
          <w:tcPr>
            <w:tcW w:w="148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4,246,000</w:t>
            </w:r>
          </w:p>
        </w:tc>
        <w:tc>
          <w:tcPr>
            <w:tcW w:w="0" w:type="dxa"/>
            <w:vAlign w:val="bottom"/>
          </w:tcPr>
          <w:p>
            <w:pPr>
              <w:spacing w:after="0"/>
              <w:rPr>
                <w:sz w:val="1"/>
                <w:szCs w:val="1"/>
                <w:color w:val="auto"/>
              </w:rPr>
            </w:pPr>
          </w:p>
        </w:tc>
      </w:tr>
      <w:tr>
        <w:trPr>
          <w:trHeight w:val="20"/>
        </w:trPr>
        <w:tc>
          <w:tcPr>
            <w:tcW w:w="6740" w:type="dxa"/>
            <w:vAlign w:val="bottom"/>
            <w:vMerge w:val="restart"/>
          </w:tcPr>
          <w:p>
            <w:pPr>
              <w:spacing w:after="0"/>
              <w:rPr>
                <w:sz w:val="20"/>
                <w:szCs w:val="20"/>
                <w:color w:val="auto"/>
              </w:rPr>
            </w:pPr>
            <w:r>
              <w:rPr>
                <w:rFonts w:ascii="Arial" w:cs="Arial" w:eastAsia="Arial" w:hAnsi="Arial"/>
                <w:sz w:val="18"/>
                <w:szCs w:val="18"/>
                <w:color w:val="auto"/>
              </w:rPr>
              <w:t>_________________________</w:t>
            </w: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6740" w:type="dxa"/>
            <w:vAlign w:val="bottom"/>
            <w:vMerge w:val="continue"/>
          </w:tcPr>
          <w:p>
            <w:pPr>
              <w:spacing w:after="0"/>
              <w:rPr>
                <w:sz w:val="18"/>
                <w:szCs w:val="18"/>
                <w:color w:val="auto"/>
              </w:rPr>
            </w:pPr>
          </w:p>
        </w:tc>
        <w:tc>
          <w:tcPr>
            <w:tcW w:w="1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(1)  MMP members receive both Medicaid and Medicare coverage from Molina Healthcare.</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Premiums by Program</w:t>
      </w:r>
    </w:p>
    <w:p>
      <w:pPr>
        <w:spacing w:after="0" w:line="117"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The amount of the premiums paid to our health plans may vary substantially between states and among various government programs. The following table sets forth the ranges of premiums paid to our state health plans by program on a per member per month (PMPM) basis, for the nine months ended September 30, 2017. The “Consolidated” column represents the weighted-average amounts for our total membership by program.</w:t>
      </w:r>
    </w:p>
    <w:p>
      <w:pPr>
        <w:spacing w:after="0" w:line="285"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74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4"/>
                <w:szCs w:val="14"/>
                <w:b w:val="1"/>
                <w:bCs w:val="1"/>
                <w:color w:val="auto"/>
              </w:rPr>
              <w:t>PMPM Premiums</w:t>
            </w:r>
          </w:p>
        </w:tc>
        <w:tc>
          <w:tcPr>
            <w:tcW w:w="20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spacing w:after="0"/>
              <w:rPr>
                <w:sz w:val="17"/>
                <w:szCs w:val="17"/>
                <w:color w:val="auto"/>
              </w:rPr>
            </w:pPr>
          </w:p>
        </w:tc>
      </w:tr>
      <w:tr>
        <w:trPr>
          <w:trHeight w:val="264"/>
        </w:trPr>
        <w:tc>
          <w:tcPr>
            <w:tcW w:w="674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40" w:type="dxa"/>
            <w:vAlign w:val="bottom"/>
            <w:gridSpan w:val="2"/>
          </w:tcPr>
          <w:p>
            <w:pPr>
              <w:ind w:left="240"/>
              <w:spacing w:after="0"/>
              <w:rPr>
                <w:sz w:val="20"/>
                <w:szCs w:val="20"/>
                <w:color w:val="auto"/>
              </w:rPr>
            </w:pPr>
            <w:r>
              <w:rPr>
                <w:rFonts w:ascii="Arial" w:cs="Arial" w:eastAsia="Arial" w:hAnsi="Arial"/>
                <w:sz w:val="14"/>
                <w:szCs w:val="14"/>
                <w:b w:val="1"/>
                <w:bCs w:val="1"/>
                <w:color w:val="auto"/>
              </w:rPr>
              <w:t>Low</w:t>
            </w:r>
          </w:p>
        </w:tc>
        <w:tc>
          <w:tcPr>
            <w:tcW w:w="140" w:type="dxa"/>
            <w:vAlign w:val="bottom"/>
          </w:tcPr>
          <w:p>
            <w:pPr>
              <w:spacing w:after="0"/>
              <w:rPr>
                <w:sz w:val="22"/>
                <w:szCs w:val="22"/>
                <w:color w:val="auto"/>
              </w:rPr>
            </w:pPr>
          </w:p>
        </w:tc>
        <w:tc>
          <w:tcPr>
            <w:tcW w:w="14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High</w:t>
            </w:r>
          </w:p>
        </w:tc>
        <w:tc>
          <w:tcPr>
            <w:tcW w:w="200" w:type="dxa"/>
            <w:vAlign w:val="bottom"/>
          </w:tcPr>
          <w:p>
            <w:pPr>
              <w:spacing w:after="0"/>
              <w:rPr>
                <w:sz w:val="22"/>
                <w:szCs w:val="22"/>
                <w:color w:val="auto"/>
              </w:rPr>
            </w:pPr>
          </w:p>
        </w:tc>
        <w:tc>
          <w:tcPr>
            <w:tcW w:w="1280" w:type="dxa"/>
            <w:vAlign w:val="bottom"/>
          </w:tcPr>
          <w:p>
            <w:pPr>
              <w:jc w:val="right"/>
              <w:ind w:right="200"/>
              <w:spacing w:after="0"/>
              <w:rPr>
                <w:sz w:val="20"/>
                <w:szCs w:val="20"/>
                <w:color w:val="auto"/>
              </w:rPr>
            </w:pPr>
            <w:r>
              <w:rPr>
                <w:rFonts w:ascii="Arial" w:cs="Arial" w:eastAsia="Arial" w:hAnsi="Arial"/>
                <w:sz w:val="14"/>
                <w:szCs w:val="14"/>
                <w:b w:val="1"/>
                <w:bCs w:val="1"/>
                <w:color w:val="auto"/>
              </w:rPr>
              <w:t>Consolidated</w:t>
            </w:r>
          </w:p>
        </w:tc>
      </w:tr>
      <w:tr>
        <w:trPr>
          <w:trHeight w:val="251"/>
        </w:trPr>
        <w:tc>
          <w:tcPr>
            <w:tcW w:w="674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TANF and CHIP</w:t>
            </w:r>
          </w:p>
        </w:tc>
        <w:tc>
          <w:tcPr>
            <w:tcW w:w="380" w:type="dxa"/>
            <w:vAlign w:val="bottom"/>
            <w:tcBorders>
              <w:top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140" w:type="dxa"/>
            <w:vAlign w:val="bottom"/>
            <w:tcBorders>
              <w:top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120.00</w:t>
            </w:r>
          </w:p>
        </w:tc>
        <w:tc>
          <w:tcPr>
            <w:tcW w:w="100" w:type="dxa"/>
            <w:vAlign w:val="bottom"/>
            <w:tcBorders>
              <w:top w:val="single" w:sz="8" w:color="CCEEFF"/>
            </w:tcBorders>
            <w:shd w:val="clear" w:color="auto" w:fill="CCEEFF"/>
          </w:tcPr>
          <w:p>
            <w:pPr>
              <w:spacing w:after="0"/>
              <w:rPr>
                <w:sz w:val="21"/>
                <w:szCs w:val="21"/>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40" w:type="dxa"/>
            <w:vAlign w:val="bottom"/>
            <w:tcBorders>
              <w:top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rPr>
              <w:t>310.00</w:t>
            </w:r>
          </w:p>
        </w:tc>
        <w:tc>
          <w:tcPr>
            <w:tcW w:w="100" w:type="dxa"/>
            <w:vAlign w:val="bottom"/>
            <w:tcBorders>
              <w:top w:val="single" w:sz="8" w:color="CCEEFF"/>
            </w:tcBorders>
            <w:shd w:val="clear" w:color="auto" w:fill="CCEEFF"/>
          </w:tcPr>
          <w:p>
            <w:pPr>
              <w:spacing w:after="0"/>
              <w:rPr>
                <w:sz w:val="21"/>
                <w:szCs w:val="21"/>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80" w:type="dxa"/>
            <w:vAlign w:val="bottom"/>
            <w:tcBorders>
              <w:top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180.00</w:t>
            </w:r>
          </w:p>
        </w:tc>
      </w:tr>
      <w:tr>
        <w:trPr>
          <w:trHeight w:val="262"/>
        </w:trPr>
        <w:tc>
          <w:tcPr>
            <w:tcW w:w="6740" w:type="dxa"/>
            <w:vAlign w:val="bottom"/>
          </w:tcPr>
          <w:p>
            <w:pPr>
              <w:ind w:left="40"/>
              <w:spacing w:after="0"/>
              <w:rPr>
                <w:sz w:val="20"/>
                <w:szCs w:val="20"/>
                <w:color w:val="auto"/>
              </w:rPr>
            </w:pPr>
            <w:r>
              <w:rPr>
                <w:rFonts w:ascii="Arial" w:cs="Arial" w:eastAsia="Arial" w:hAnsi="Arial"/>
                <w:sz w:val="16"/>
                <w:szCs w:val="16"/>
                <w:color w:val="auto"/>
              </w:rPr>
              <w:t>Marketplace</w:t>
            </w:r>
          </w:p>
        </w:tc>
        <w:tc>
          <w:tcPr>
            <w:tcW w:w="380" w:type="dxa"/>
            <w:vAlign w:val="bottom"/>
          </w:tcPr>
          <w:p>
            <w:pPr>
              <w:spacing w:after="0"/>
              <w:rPr>
                <w:sz w:val="22"/>
                <w:szCs w:val="22"/>
                <w:color w:val="auto"/>
              </w:rPr>
            </w:pPr>
          </w:p>
        </w:tc>
        <w:tc>
          <w:tcPr>
            <w:tcW w:w="1140" w:type="dxa"/>
            <w:vAlign w:val="bottom"/>
          </w:tcPr>
          <w:p>
            <w:pPr>
              <w:jc w:val="right"/>
              <w:ind w:right="40"/>
              <w:spacing w:after="0"/>
              <w:rPr>
                <w:sz w:val="20"/>
                <w:szCs w:val="20"/>
                <w:color w:val="auto"/>
              </w:rPr>
            </w:pPr>
            <w:r>
              <w:rPr>
                <w:rFonts w:ascii="Arial" w:cs="Arial" w:eastAsia="Arial" w:hAnsi="Arial"/>
                <w:sz w:val="16"/>
                <w:szCs w:val="16"/>
                <w:color w:val="auto"/>
              </w:rPr>
              <w:t>190.00</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340" w:type="dxa"/>
            <w:vAlign w:val="bottom"/>
          </w:tcPr>
          <w:p>
            <w:pPr>
              <w:jc w:val="right"/>
              <w:ind w:right="21"/>
              <w:spacing w:after="0"/>
              <w:rPr>
                <w:sz w:val="20"/>
                <w:szCs w:val="20"/>
                <w:color w:val="auto"/>
              </w:rPr>
            </w:pPr>
            <w:r>
              <w:rPr>
                <w:rFonts w:ascii="Arial" w:cs="Arial" w:eastAsia="Arial" w:hAnsi="Arial"/>
                <w:sz w:val="16"/>
                <w:szCs w:val="16"/>
                <w:color w:val="auto"/>
              </w:rPr>
              <w:t>470.00</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80" w:type="dxa"/>
            <w:vAlign w:val="bottom"/>
          </w:tcPr>
          <w:p>
            <w:pPr>
              <w:jc w:val="right"/>
              <w:ind w:right="20"/>
              <w:spacing w:after="0"/>
              <w:rPr>
                <w:sz w:val="20"/>
                <w:szCs w:val="20"/>
                <w:color w:val="auto"/>
              </w:rPr>
            </w:pPr>
            <w:r>
              <w:rPr>
                <w:rFonts w:ascii="Arial" w:cs="Arial" w:eastAsia="Arial" w:hAnsi="Arial"/>
                <w:sz w:val="16"/>
                <w:szCs w:val="16"/>
                <w:color w:val="auto"/>
              </w:rPr>
              <w:t>280.00</w:t>
            </w:r>
          </w:p>
        </w:tc>
      </w:tr>
      <w:tr>
        <w:trPr>
          <w:trHeight w:val="278"/>
        </w:trPr>
        <w:tc>
          <w:tcPr>
            <w:tcW w:w="6740" w:type="dxa"/>
            <w:vAlign w:val="bottom"/>
            <w:shd w:val="clear" w:color="auto" w:fill="CCEEFF"/>
          </w:tcPr>
          <w:p>
            <w:pPr>
              <w:ind w:left="40"/>
              <w:spacing w:after="0"/>
              <w:rPr>
                <w:sz w:val="20"/>
                <w:szCs w:val="20"/>
                <w:color w:val="auto"/>
              </w:rPr>
            </w:pPr>
            <w:r>
              <w:rPr>
                <w:rFonts w:ascii="Arial" w:cs="Arial" w:eastAsia="Arial" w:hAnsi="Arial"/>
                <w:sz w:val="16"/>
                <w:szCs w:val="16"/>
                <w:color w:val="auto"/>
              </w:rPr>
              <w:t>Medicaid Expansion</w:t>
            </w:r>
          </w:p>
        </w:tc>
        <w:tc>
          <w:tcPr>
            <w:tcW w:w="38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320.00</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34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510.00</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28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390.00</w:t>
            </w:r>
          </w:p>
        </w:tc>
      </w:tr>
      <w:tr>
        <w:trPr>
          <w:trHeight w:val="262"/>
        </w:trPr>
        <w:tc>
          <w:tcPr>
            <w:tcW w:w="6740" w:type="dxa"/>
            <w:vAlign w:val="bottom"/>
          </w:tcPr>
          <w:p>
            <w:pPr>
              <w:ind w:left="40"/>
              <w:spacing w:after="0"/>
              <w:rPr>
                <w:sz w:val="20"/>
                <w:szCs w:val="20"/>
                <w:color w:val="auto"/>
              </w:rPr>
            </w:pPr>
            <w:r>
              <w:rPr>
                <w:rFonts w:ascii="Arial" w:cs="Arial" w:eastAsia="Arial" w:hAnsi="Arial"/>
                <w:sz w:val="16"/>
                <w:szCs w:val="16"/>
                <w:color w:val="auto"/>
              </w:rPr>
              <w:t>ABD</w:t>
            </w:r>
          </w:p>
        </w:tc>
        <w:tc>
          <w:tcPr>
            <w:tcW w:w="380" w:type="dxa"/>
            <w:vAlign w:val="bottom"/>
          </w:tcPr>
          <w:p>
            <w:pPr>
              <w:spacing w:after="0"/>
              <w:rPr>
                <w:sz w:val="22"/>
                <w:szCs w:val="22"/>
                <w:color w:val="auto"/>
              </w:rPr>
            </w:pPr>
          </w:p>
        </w:tc>
        <w:tc>
          <w:tcPr>
            <w:tcW w:w="1140" w:type="dxa"/>
            <w:vAlign w:val="bottom"/>
          </w:tcPr>
          <w:p>
            <w:pPr>
              <w:jc w:val="right"/>
              <w:ind w:right="40"/>
              <w:spacing w:after="0"/>
              <w:rPr>
                <w:sz w:val="20"/>
                <w:szCs w:val="20"/>
                <w:color w:val="auto"/>
              </w:rPr>
            </w:pPr>
            <w:r>
              <w:rPr>
                <w:rFonts w:ascii="Arial" w:cs="Arial" w:eastAsia="Arial" w:hAnsi="Arial"/>
                <w:sz w:val="16"/>
                <w:szCs w:val="16"/>
                <w:color w:val="auto"/>
              </w:rPr>
              <w:t>380.00</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340" w:type="dxa"/>
            <w:vAlign w:val="bottom"/>
          </w:tcPr>
          <w:p>
            <w:pPr>
              <w:jc w:val="right"/>
              <w:ind w:right="21"/>
              <w:spacing w:after="0"/>
              <w:rPr>
                <w:sz w:val="20"/>
                <w:szCs w:val="20"/>
                <w:color w:val="auto"/>
              </w:rPr>
            </w:pPr>
            <w:r>
              <w:rPr>
                <w:rFonts w:ascii="Arial" w:cs="Arial" w:eastAsia="Arial" w:hAnsi="Arial"/>
                <w:sz w:val="16"/>
                <w:szCs w:val="16"/>
                <w:color w:val="auto"/>
              </w:rPr>
              <w:t>1,480.00</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80" w:type="dxa"/>
            <w:vAlign w:val="bottom"/>
          </w:tcPr>
          <w:p>
            <w:pPr>
              <w:jc w:val="right"/>
              <w:ind w:right="20"/>
              <w:spacing w:after="0"/>
              <w:rPr>
                <w:sz w:val="20"/>
                <w:szCs w:val="20"/>
                <w:color w:val="auto"/>
              </w:rPr>
            </w:pPr>
            <w:r>
              <w:rPr>
                <w:rFonts w:ascii="Arial" w:cs="Arial" w:eastAsia="Arial" w:hAnsi="Arial"/>
                <w:sz w:val="16"/>
                <w:szCs w:val="16"/>
                <w:color w:val="auto"/>
              </w:rPr>
              <w:t>1,030.00</w:t>
            </w:r>
          </w:p>
        </w:tc>
      </w:tr>
      <w:tr>
        <w:trPr>
          <w:trHeight w:val="278"/>
        </w:trPr>
        <w:tc>
          <w:tcPr>
            <w:tcW w:w="6740" w:type="dxa"/>
            <w:vAlign w:val="bottom"/>
            <w:shd w:val="clear" w:color="auto" w:fill="CCEEFF"/>
          </w:tcPr>
          <w:p>
            <w:pPr>
              <w:ind w:left="40"/>
              <w:spacing w:after="0"/>
              <w:rPr>
                <w:sz w:val="20"/>
                <w:szCs w:val="20"/>
                <w:color w:val="auto"/>
              </w:rPr>
            </w:pPr>
            <w:r>
              <w:rPr>
                <w:rFonts w:ascii="Arial" w:cs="Arial" w:eastAsia="Arial" w:hAnsi="Arial"/>
                <w:sz w:val="16"/>
                <w:szCs w:val="16"/>
                <w:color w:val="auto"/>
              </w:rPr>
              <w:t>MMP – Integrated</w:t>
            </w:r>
          </w:p>
        </w:tc>
        <w:tc>
          <w:tcPr>
            <w:tcW w:w="38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1,250.00</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34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3,280.00</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28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2,190.00</w:t>
            </w:r>
          </w:p>
        </w:tc>
      </w:tr>
      <w:tr>
        <w:trPr>
          <w:trHeight w:val="255"/>
        </w:trPr>
        <w:tc>
          <w:tcPr>
            <w:tcW w:w="6740" w:type="dxa"/>
            <w:vAlign w:val="bottom"/>
          </w:tcPr>
          <w:p>
            <w:pPr>
              <w:ind w:left="40"/>
              <w:spacing w:after="0"/>
              <w:rPr>
                <w:sz w:val="20"/>
                <w:szCs w:val="20"/>
                <w:color w:val="auto"/>
              </w:rPr>
            </w:pPr>
            <w:r>
              <w:rPr>
                <w:rFonts w:ascii="Arial" w:cs="Arial" w:eastAsia="Arial" w:hAnsi="Arial"/>
                <w:sz w:val="16"/>
                <w:szCs w:val="16"/>
                <w:color w:val="auto"/>
              </w:rPr>
              <w:t>Medicare</w:t>
            </w:r>
          </w:p>
        </w:tc>
        <w:tc>
          <w:tcPr>
            <w:tcW w:w="380" w:type="dxa"/>
            <w:vAlign w:val="bottom"/>
          </w:tcPr>
          <w:p>
            <w:pPr>
              <w:spacing w:after="0"/>
              <w:rPr>
                <w:sz w:val="22"/>
                <w:szCs w:val="22"/>
                <w:color w:val="auto"/>
              </w:rPr>
            </w:pPr>
          </w:p>
        </w:tc>
        <w:tc>
          <w:tcPr>
            <w:tcW w:w="1140" w:type="dxa"/>
            <w:vAlign w:val="bottom"/>
          </w:tcPr>
          <w:p>
            <w:pPr>
              <w:jc w:val="right"/>
              <w:ind w:right="40"/>
              <w:spacing w:after="0"/>
              <w:rPr>
                <w:sz w:val="20"/>
                <w:szCs w:val="20"/>
                <w:color w:val="auto"/>
              </w:rPr>
            </w:pPr>
            <w:r>
              <w:rPr>
                <w:rFonts w:ascii="Arial" w:cs="Arial" w:eastAsia="Arial" w:hAnsi="Arial"/>
                <w:sz w:val="16"/>
                <w:szCs w:val="16"/>
                <w:color w:val="auto"/>
              </w:rPr>
              <w:t>960.00</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340" w:type="dxa"/>
            <w:vAlign w:val="bottom"/>
          </w:tcPr>
          <w:p>
            <w:pPr>
              <w:jc w:val="right"/>
              <w:ind w:right="21"/>
              <w:spacing w:after="0"/>
              <w:rPr>
                <w:sz w:val="20"/>
                <w:szCs w:val="20"/>
                <w:color w:val="auto"/>
              </w:rPr>
            </w:pPr>
            <w:r>
              <w:rPr>
                <w:rFonts w:ascii="Arial" w:cs="Arial" w:eastAsia="Arial" w:hAnsi="Arial"/>
                <w:sz w:val="16"/>
                <w:szCs w:val="16"/>
                <w:color w:val="auto"/>
              </w:rPr>
              <w:t>1,260.00</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80" w:type="dxa"/>
            <w:vAlign w:val="bottom"/>
          </w:tcPr>
          <w:p>
            <w:pPr>
              <w:jc w:val="right"/>
              <w:ind w:right="20"/>
              <w:spacing w:after="0"/>
              <w:rPr>
                <w:sz w:val="20"/>
                <w:szCs w:val="20"/>
                <w:color w:val="auto"/>
              </w:rPr>
            </w:pPr>
            <w:r>
              <w:rPr>
                <w:rFonts w:ascii="Arial" w:cs="Arial" w:eastAsia="Arial" w:hAnsi="Arial"/>
                <w:sz w:val="16"/>
                <w:szCs w:val="16"/>
                <w:color w:val="auto"/>
              </w:rPr>
              <w:t>1,140.00</w:t>
            </w:r>
          </w:p>
        </w:tc>
      </w:tr>
    </w:tbl>
    <w:p>
      <w:pPr>
        <w:spacing w:after="0" w:line="200" w:lineRule="exact"/>
        <w:rPr>
          <w:sz w:val="20"/>
          <w:szCs w:val="20"/>
          <w:color w:val="auto"/>
        </w:rPr>
      </w:pPr>
    </w:p>
    <w:p>
      <w:pPr>
        <w:sectPr>
          <w:pgSz w:w="11900" w:h="16838" w:orient="portrait"/>
          <w:cols w:equalWidth="0" w:num="1">
            <w:col w:w="11420"/>
          </w:cols>
          <w:pgMar w:left="240" w:top="116" w:right="239" w:bottom="1440" w:gutter="0" w:footer="0" w:header="0"/>
        </w:sectPr>
      </w:pPr>
    </w:p>
    <w:p>
      <w:pPr>
        <w:spacing w:after="0" w:line="200" w:lineRule="exact"/>
        <w:rPr>
          <w:sz w:val="20"/>
          <w:szCs w:val="20"/>
          <w:color w:val="auto"/>
        </w:rPr>
      </w:pPr>
    </w:p>
    <w:p>
      <w:pPr>
        <w:spacing w:after="0" w:line="241" w:lineRule="exact"/>
        <w:rPr>
          <w:sz w:val="20"/>
          <w:szCs w:val="20"/>
          <w:color w:val="auto"/>
        </w:rPr>
      </w:pPr>
    </w:p>
    <w:p>
      <w:pPr>
        <w:ind w:left="7860"/>
        <w:spacing w:after="0"/>
        <w:rPr>
          <w:sz w:val="20"/>
          <w:szCs w:val="20"/>
          <w:color w:val="auto"/>
        </w:rPr>
      </w:pPr>
      <w:r>
        <w:rPr>
          <w:rFonts w:ascii="Arial" w:cs="Arial" w:eastAsia="Arial" w:hAnsi="Arial"/>
          <w:sz w:val="18"/>
          <w:szCs w:val="18"/>
          <w:color w:val="auto"/>
        </w:rPr>
        <w:t>Molina Healthcare, Inc. 2017 Form 10-Q | 46</w:t>
      </w:r>
    </w:p>
    <w:p>
      <w:pPr>
        <w:sectPr>
          <w:pgSz w:w="11900" w:h="16838" w:orient="portrait"/>
          <w:cols w:equalWidth="0" w:num="1">
            <w:col w:w="11420"/>
          </w:cols>
          <w:pgMar w:left="240" w:top="116" w:right="239" w:bottom="1440" w:gutter="0" w:footer="0" w:header="0"/>
          <w:type w:val="continuous"/>
        </w:sectPr>
      </w:pPr>
    </w:p>
    <w:bookmarkStart w:id="46" w:name="page47"/>
    <w:bookmarkEnd w:id="4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42" w:lineRule="exact"/>
        <w:rPr>
          <w:sz w:val="20"/>
          <w:szCs w:val="20"/>
          <w:color w:val="auto"/>
        </w:rPr>
      </w:pPr>
    </w:p>
    <w:p>
      <w:pPr>
        <w:spacing w:after="0"/>
        <w:rPr>
          <w:sz w:val="20"/>
          <w:szCs w:val="20"/>
          <w:color w:val="auto"/>
        </w:rPr>
      </w:pPr>
      <w:r>
        <w:rPr>
          <w:rFonts w:ascii="Arial" w:cs="Arial" w:eastAsia="Arial" w:hAnsi="Arial"/>
          <w:sz w:val="32"/>
          <w:szCs w:val="32"/>
          <w:b w:val="1"/>
          <w:bCs w:val="1"/>
          <w:color w:val="ACACAC"/>
        </w:rPr>
        <w:t>FINANCIAL OVERVIEW</w:t>
      </w:r>
    </w:p>
    <w:p>
      <w:pPr>
        <w:spacing w:after="0" w:line="246"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In the third quarter of 2017, premium revenue increased approximately 14%, or $586 million, when compared with the third quarter of 2016. Member months grew 8% while revenue PMPM increased 6%. Medical care costs as a percent of premium revenue decreased to 88.3% in the third quarter of 2017 from 89.4% in the third quarter of 2016. Medical margin increased 26% in the third quarter of 2017 from the third quarter of 2016.</w:t>
      </w:r>
    </w:p>
    <w:p>
      <w:pPr>
        <w:spacing w:after="0" w:line="170" w:lineRule="exact"/>
        <w:rPr>
          <w:sz w:val="20"/>
          <w:szCs w:val="20"/>
          <w:color w:val="auto"/>
        </w:rPr>
      </w:pPr>
    </w:p>
    <w:p>
      <w:pPr>
        <w:ind w:right="240"/>
        <w:spacing w:after="0" w:line="264" w:lineRule="auto"/>
        <w:rPr>
          <w:sz w:val="20"/>
          <w:szCs w:val="20"/>
          <w:color w:val="auto"/>
        </w:rPr>
      </w:pPr>
      <w:r>
        <w:rPr>
          <w:rFonts w:ascii="Arial" w:cs="Arial" w:eastAsia="Arial" w:hAnsi="Arial"/>
          <w:sz w:val="18"/>
          <w:szCs w:val="18"/>
          <w:color w:val="auto"/>
        </w:rPr>
        <w:t>In the nine months ended September 30, 2017, premium revenue increased approximately 16%, or $ 1,950 million, when compared with the nine months ended September 30, 2016. Member months grew 11% while revenue PMPM increased 5%. Medical care costs as a percent of premium revenue increased to 90.5% in the nine months ended September 30, 2017 from 89.5% in the nine months ended September 30, 2016. Medical margin increased 5% in the nine months ended September 30, 2017 from the nine months ended September 30, 2016.</w:t>
      </w:r>
    </w:p>
    <w:p>
      <w:pPr>
        <w:spacing w:after="0" w:line="150" w:lineRule="exact"/>
        <w:rPr>
          <w:sz w:val="20"/>
          <w:szCs w:val="20"/>
          <w:color w:val="auto"/>
        </w:rPr>
      </w:pPr>
    </w:p>
    <w:p>
      <w:pPr>
        <w:spacing w:after="0"/>
        <w:rPr>
          <w:sz w:val="20"/>
          <w:szCs w:val="20"/>
          <w:color w:val="auto"/>
        </w:rPr>
      </w:pPr>
      <w:r>
        <w:rPr>
          <w:rFonts w:ascii="Arial" w:cs="Arial" w:eastAsia="Arial" w:hAnsi="Arial"/>
          <w:sz w:val="32"/>
          <w:szCs w:val="32"/>
          <w:b w:val="1"/>
          <w:bCs w:val="1"/>
          <w:color w:val="ACACAC"/>
        </w:rPr>
        <w:t>FINANCIAL PERFORMANCE BY PROGRAM</w:t>
      </w:r>
    </w:p>
    <w:p>
      <w:pPr>
        <w:spacing w:after="0" w:line="138" w:lineRule="exact"/>
        <w:rPr>
          <w:sz w:val="20"/>
          <w:szCs w:val="20"/>
          <w:color w:val="auto"/>
        </w:rPr>
      </w:pPr>
    </w:p>
    <w:p>
      <w:pPr>
        <w:ind w:right="80"/>
        <w:spacing w:after="0" w:line="292" w:lineRule="auto"/>
        <w:rPr>
          <w:sz w:val="20"/>
          <w:szCs w:val="20"/>
          <w:color w:val="auto"/>
        </w:rPr>
      </w:pPr>
      <w:r>
        <w:rPr>
          <w:rFonts w:ascii="Arial" w:cs="Arial" w:eastAsia="Arial" w:hAnsi="Arial"/>
          <w:sz w:val="18"/>
          <w:szCs w:val="18"/>
          <w:color w:val="auto"/>
        </w:rPr>
        <w:t>The following tables summarize member months, premium revenue, medical care costs, medical care ratio and medical margin by program for the periods indicated (PMPM amounts are in whole dollars; member months and other dollar amounts are in millions):</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1940" w:type="dxa"/>
            <w:vAlign w:val="bottom"/>
          </w:tcPr>
          <w:p>
            <w:pPr>
              <w:spacing w:after="0"/>
              <w:rPr>
                <w:sz w:val="20"/>
                <w:szCs w:val="20"/>
                <w:color w:val="auto"/>
              </w:rPr>
            </w:pPr>
          </w:p>
        </w:tc>
        <w:tc>
          <w:tcPr>
            <w:tcW w:w="12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3740" w:type="dxa"/>
            <w:vAlign w:val="bottom"/>
            <w:tcBorders>
              <w:bottom w:val="single" w:sz="8" w:color="auto"/>
            </w:tcBorders>
            <w:gridSpan w:val="7"/>
          </w:tcPr>
          <w:p>
            <w:pPr>
              <w:jc w:val="right"/>
              <w:ind w:right="279"/>
              <w:spacing w:after="0"/>
              <w:rPr>
                <w:sz w:val="20"/>
                <w:szCs w:val="20"/>
                <w:color w:val="auto"/>
              </w:rPr>
            </w:pPr>
            <w:r>
              <w:rPr>
                <w:rFonts w:ascii="Arial" w:cs="Arial" w:eastAsia="Arial" w:hAnsi="Arial"/>
                <w:sz w:val="16"/>
                <w:szCs w:val="16"/>
                <w:b w:val="1"/>
                <w:bCs w:val="1"/>
                <w:color w:val="auto"/>
              </w:rPr>
              <w:t>Three Months Ended September 30, 2017</w:t>
            </w:r>
          </w:p>
        </w:tc>
        <w:tc>
          <w:tcPr>
            <w:tcW w:w="10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64"/>
        </w:trPr>
        <w:tc>
          <w:tcPr>
            <w:tcW w:w="1940" w:type="dxa"/>
            <w:vAlign w:val="bottom"/>
          </w:tcPr>
          <w:p>
            <w:pPr>
              <w:spacing w:after="0"/>
              <w:rPr>
                <w:sz w:val="22"/>
                <w:szCs w:val="22"/>
                <w:color w:val="auto"/>
              </w:rPr>
            </w:pPr>
          </w:p>
        </w:tc>
        <w:tc>
          <w:tcPr>
            <w:tcW w:w="1340" w:type="dxa"/>
            <w:vAlign w:val="bottom"/>
            <w:gridSpan w:val="2"/>
            <w:vMerge w:val="restart"/>
          </w:tcPr>
          <w:p>
            <w:pPr>
              <w:jc w:val="center"/>
              <w:ind w:right="80"/>
              <w:spacing w:after="0"/>
              <w:rPr>
                <w:sz w:val="20"/>
                <w:szCs w:val="20"/>
                <w:color w:val="auto"/>
              </w:rPr>
            </w:pPr>
            <w:r>
              <w:rPr>
                <w:rFonts w:ascii="Arial" w:cs="Arial" w:eastAsia="Arial" w:hAnsi="Arial"/>
                <w:sz w:val="16"/>
                <w:szCs w:val="16"/>
                <w:b w:val="1"/>
                <w:bCs w:val="1"/>
                <w:color w:val="auto"/>
              </w:rPr>
              <w:t>Member</w:t>
            </w:r>
          </w:p>
        </w:tc>
        <w:tc>
          <w:tcPr>
            <w:tcW w:w="280" w:type="dxa"/>
            <w:vAlign w:val="bottom"/>
          </w:tcPr>
          <w:p>
            <w:pPr>
              <w:spacing w:after="0"/>
              <w:rPr>
                <w:sz w:val="22"/>
                <w:szCs w:val="22"/>
                <w:color w:val="auto"/>
              </w:rPr>
            </w:pPr>
          </w:p>
        </w:tc>
        <w:tc>
          <w:tcPr>
            <w:tcW w:w="2460" w:type="dxa"/>
            <w:vAlign w:val="bottom"/>
            <w:gridSpan w:val="5"/>
          </w:tcPr>
          <w:p>
            <w:pPr>
              <w:ind w:left="340"/>
              <w:spacing w:after="0"/>
              <w:rPr>
                <w:sz w:val="20"/>
                <w:szCs w:val="20"/>
                <w:color w:val="auto"/>
              </w:rPr>
            </w:pPr>
            <w:r>
              <w:rPr>
                <w:rFonts w:ascii="Arial" w:cs="Arial" w:eastAsia="Arial" w:hAnsi="Arial"/>
                <w:sz w:val="16"/>
                <w:szCs w:val="16"/>
                <w:b w:val="1"/>
                <w:bCs w:val="1"/>
                <w:color w:val="auto"/>
              </w:rPr>
              <w:t>Premium Revenue</w:t>
            </w:r>
          </w:p>
        </w:tc>
        <w:tc>
          <w:tcPr>
            <w:tcW w:w="280" w:type="dxa"/>
            <w:vAlign w:val="bottom"/>
          </w:tcPr>
          <w:p>
            <w:pPr>
              <w:spacing w:after="0"/>
              <w:rPr>
                <w:sz w:val="22"/>
                <w:szCs w:val="22"/>
                <w:color w:val="auto"/>
              </w:rPr>
            </w:pPr>
          </w:p>
        </w:tc>
        <w:tc>
          <w:tcPr>
            <w:tcW w:w="2340" w:type="dxa"/>
            <w:vAlign w:val="bottom"/>
            <w:gridSpan w:val="4"/>
          </w:tcPr>
          <w:p>
            <w:pPr>
              <w:jc w:val="right"/>
              <w:ind w:right="479"/>
              <w:spacing w:after="0"/>
              <w:rPr>
                <w:sz w:val="20"/>
                <w:szCs w:val="20"/>
                <w:color w:val="auto"/>
              </w:rPr>
            </w:pPr>
            <w:r>
              <w:rPr>
                <w:rFonts w:ascii="Arial" w:cs="Arial" w:eastAsia="Arial" w:hAnsi="Arial"/>
                <w:sz w:val="16"/>
                <w:szCs w:val="16"/>
                <w:b w:val="1"/>
                <w:bCs w:val="1"/>
                <w:color w:val="auto"/>
              </w:rPr>
              <w:t>Medical Care Costs</w:t>
            </w:r>
          </w:p>
        </w:tc>
        <w:tc>
          <w:tcPr>
            <w:tcW w:w="10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1"/>
        </w:trPr>
        <w:tc>
          <w:tcPr>
            <w:tcW w:w="1940" w:type="dxa"/>
            <w:vAlign w:val="bottom"/>
          </w:tcPr>
          <w:p>
            <w:pPr>
              <w:spacing w:after="0"/>
              <w:rPr>
                <w:sz w:val="2"/>
                <w:szCs w:val="2"/>
                <w:color w:val="auto"/>
              </w:rPr>
            </w:pPr>
          </w:p>
        </w:tc>
        <w:tc>
          <w:tcPr>
            <w:tcW w:w="1340" w:type="dxa"/>
            <w:vAlign w:val="bottom"/>
            <w:gridSpan w:val="2"/>
            <w:vMerge w:val="continue"/>
          </w:tcPr>
          <w:p>
            <w:pPr>
              <w:spacing w:after="0"/>
              <w:rPr>
                <w:sz w:val="2"/>
                <w:szCs w:val="2"/>
                <w:color w:val="auto"/>
              </w:rPr>
            </w:pPr>
          </w:p>
        </w:tc>
        <w:tc>
          <w:tcPr>
            <w:tcW w:w="280" w:type="dxa"/>
            <w:vAlign w:val="bottom"/>
            <w:tcBorders>
              <w:top w:val="single" w:sz="8" w:color="auto"/>
            </w:tcBorders>
          </w:tcPr>
          <w:p>
            <w:pPr>
              <w:spacing w:after="0"/>
              <w:rPr>
                <w:sz w:val="2"/>
                <w:szCs w:val="2"/>
                <w:color w:val="auto"/>
              </w:rPr>
            </w:pPr>
          </w:p>
        </w:tc>
        <w:tc>
          <w:tcPr>
            <w:tcW w:w="980" w:type="dxa"/>
            <w:vAlign w:val="bottom"/>
            <w:tcBorders>
              <w:top w:val="single" w:sz="8" w:color="auto"/>
            </w:tcBorders>
          </w:tcPr>
          <w:p>
            <w:pPr>
              <w:spacing w:after="0"/>
              <w:rPr>
                <w:sz w:val="2"/>
                <w:szCs w:val="2"/>
                <w:color w:val="auto"/>
              </w:rPr>
            </w:pPr>
          </w:p>
        </w:tc>
        <w:tc>
          <w:tcPr>
            <w:tcW w:w="120" w:type="dxa"/>
            <w:vAlign w:val="bottom"/>
            <w:tcBorders>
              <w:top w:val="single" w:sz="8" w:color="auto"/>
            </w:tcBorders>
          </w:tcPr>
          <w:p>
            <w:pPr>
              <w:spacing w:after="0"/>
              <w:rPr>
                <w:sz w:val="2"/>
                <w:szCs w:val="2"/>
                <w:color w:val="auto"/>
              </w:rPr>
            </w:pPr>
          </w:p>
        </w:tc>
        <w:tc>
          <w:tcPr>
            <w:tcW w:w="240" w:type="dxa"/>
            <w:vAlign w:val="bottom"/>
            <w:tcBorders>
              <w:top w:val="single" w:sz="8" w:color="auto"/>
            </w:tcBorders>
          </w:tcPr>
          <w:p>
            <w:pPr>
              <w:spacing w:after="0"/>
              <w:rPr>
                <w:sz w:val="2"/>
                <w:szCs w:val="2"/>
                <w:color w:val="auto"/>
              </w:rPr>
            </w:pPr>
          </w:p>
        </w:tc>
        <w:tc>
          <w:tcPr>
            <w:tcW w:w="1000" w:type="dxa"/>
            <w:vAlign w:val="bottom"/>
            <w:tcBorders>
              <w:top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top w:val="single" w:sz="8" w:color="auto"/>
            </w:tcBorders>
          </w:tcPr>
          <w:p>
            <w:pPr>
              <w:spacing w:after="0"/>
              <w:rPr>
                <w:sz w:val="2"/>
                <w:szCs w:val="2"/>
                <w:color w:val="auto"/>
              </w:rPr>
            </w:pPr>
          </w:p>
        </w:tc>
        <w:tc>
          <w:tcPr>
            <w:tcW w:w="980" w:type="dxa"/>
            <w:vAlign w:val="bottom"/>
            <w:tcBorders>
              <w:top w:val="single" w:sz="8" w:color="auto"/>
            </w:tcBorders>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260" w:type="dxa"/>
            <w:vAlign w:val="bottom"/>
            <w:tcBorders>
              <w:top w:val="single" w:sz="8" w:color="auto"/>
            </w:tcBorders>
          </w:tcPr>
          <w:p>
            <w:pPr>
              <w:spacing w:after="0"/>
              <w:rPr>
                <w:sz w:val="2"/>
                <w:szCs w:val="2"/>
                <w:color w:val="auto"/>
              </w:rPr>
            </w:pPr>
          </w:p>
        </w:tc>
        <w:tc>
          <w:tcPr>
            <w:tcW w:w="100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6"/>
        </w:trPr>
        <w:tc>
          <w:tcPr>
            <w:tcW w:w="1940" w:type="dxa"/>
            <w:vAlign w:val="bottom"/>
            <w:tcBorders>
              <w:bottom w:val="single" w:sz="8" w:color="CCEEFF"/>
            </w:tcBorders>
          </w:tcPr>
          <w:p>
            <w:pPr>
              <w:spacing w:after="0"/>
              <w:rPr>
                <w:sz w:val="20"/>
                <w:szCs w:val="20"/>
                <w:color w:val="auto"/>
              </w:rPr>
            </w:pPr>
          </w:p>
        </w:tc>
        <w:tc>
          <w:tcPr>
            <w:tcW w:w="1240" w:type="dxa"/>
            <w:vAlign w:val="bottom"/>
            <w:tcBorders>
              <w:bottom w:val="single" w:sz="8" w:color="auto"/>
            </w:tcBorders>
          </w:tcPr>
          <w:p>
            <w:pPr>
              <w:jc w:val="center"/>
              <w:spacing w:after="0" w:line="236" w:lineRule="exact"/>
              <w:rPr>
                <w:sz w:val="20"/>
                <w:szCs w:val="20"/>
                <w:color w:val="auto"/>
              </w:rPr>
            </w:pPr>
            <w:r>
              <w:rPr>
                <w:rFonts w:ascii="Arial" w:cs="Arial" w:eastAsia="Arial" w:hAnsi="Arial"/>
                <w:sz w:val="16"/>
                <w:szCs w:val="16"/>
                <w:b w:val="1"/>
                <w:bCs w:val="1"/>
                <w:color w:val="auto"/>
                <w:w w:val="96"/>
              </w:rPr>
              <w:t xml:space="preserve">Months </w:t>
            </w:r>
            <w:r>
              <w:rPr>
                <w:rFonts w:ascii="Arial" w:cs="Arial" w:eastAsia="Arial" w:hAnsi="Arial"/>
                <w:sz w:val="21"/>
                <w:szCs w:val="21"/>
                <w:b w:val="1"/>
                <w:bCs w:val="1"/>
                <w:color w:val="auto"/>
                <w:w w:val="96"/>
                <w:vertAlign w:val="superscript"/>
              </w:rPr>
              <w:t>(1)</w:t>
            </w:r>
          </w:p>
        </w:tc>
        <w:tc>
          <w:tcPr>
            <w:tcW w:w="10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b w:val="1"/>
                <w:bCs w:val="1"/>
                <w:color w:val="auto"/>
              </w:rPr>
              <w:t>Total</w:t>
            </w:r>
          </w:p>
        </w:tc>
        <w:tc>
          <w:tcPr>
            <w:tcW w:w="12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PMPM</w:t>
            </w:r>
          </w:p>
        </w:tc>
        <w:tc>
          <w:tcPr>
            <w:tcW w:w="12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b w:val="1"/>
                <w:bCs w:val="1"/>
                <w:color w:val="auto"/>
              </w:rPr>
              <w:t>Total</w:t>
            </w:r>
          </w:p>
        </w:tc>
        <w:tc>
          <w:tcPr>
            <w:tcW w:w="10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PMPM</w:t>
            </w:r>
          </w:p>
        </w:tc>
        <w:tc>
          <w:tcPr>
            <w:tcW w:w="100" w:type="dxa"/>
            <w:vAlign w:val="bottom"/>
            <w:tcBorders>
              <w:bottom w:val="single" w:sz="8" w:color="CCEEFF"/>
            </w:tcBorders>
          </w:tcPr>
          <w:p>
            <w:pPr>
              <w:spacing w:after="0"/>
              <w:rPr>
                <w:sz w:val="20"/>
                <w:szCs w:val="20"/>
                <w:color w:val="auto"/>
              </w:rPr>
            </w:pPr>
          </w:p>
        </w:tc>
        <w:tc>
          <w:tcPr>
            <w:tcW w:w="1320" w:type="dxa"/>
            <w:vAlign w:val="bottom"/>
            <w:tcBorders>
              <w:bottom w:val="single" w:sz="8" w:color="auto"/>
            </w:tcBorders>
          </w:tcPr>
          <w:p>
            <w:pPr>
              <w:ind w:left="380"/>
              <w:spacing w:after="0" w:line="236" w:lineRule="exact"/>
              <w:rPr>
                <w:sz w:val="20"/>
                <w:szCs w:val="20"/>
                <w:color w:val="auto"/>
              </w:rPr>
            </w:pPr>
            <w:r>
              <w:rPr>
                <w:rFonts w:ascii="Arial" w:cs="Arial" w:eastAsia="Arial" w:hAnsi="Arial"/>
                <w:sz w:val="27"/>
                <w:szCs w:val="27"/>
                <w:b w:val="1"/>
                <w:bCs w:val="1"/>
                <w:color w:val="auto"/>
                <w:vertAlign w:val="subscript"/>
              </w:rPr>
              <w:t>MCR</w:t>
            </w:r>
            <w:r>
              <w:rPr>
                <w:rFonts w:ascii="Arial" w:cs="Arial" w:eastAsia="Arial" w:hAnsi="Arial"/>
                <w:sz w:val="10"/>
                <w:szCs w:val="10"/>
                <w:b w:val="1"/>
                <w:bCs w:val="1"/>
                <w:color w:val="auto"/>
              </w:rPr>
              <w:t xml:space="preserve"> (2)</w:t>
            </w:r>
          </w:p>
        </w:tc>
        <w:tc>
          <w:tcPr>
            <w:tcW w:w="100" w:type="dxa"/>
            <w:vAlign w:val="bottom"/>
            <w:tcBorders>
              <w:bottom w:val="single" w:sz="8" w:color="CCEEFF"/>
            </w:tcBorders>
          </w:tcPr>
          <w:p>
            <w:pPr>
              <w:spacing w:after="0"/>
              <w:rPr>
                <w:sz w:val="20"/>
                <w:szCs w:val="20"/>
                <w:color w:val="auto"/>
              </w:rPr>
            </w:pPr>
          </w:p>
        </w:tc>
        <w:tc>
          <w:tcPr>
            <w:tcW w:w="1260" w:type="dxa"/>
            <w:vAlign w:val="bottom"/>
            <w:tcBorders>
              <w:bottom w:val="single" w:sz="8" w:color="auto"/>
            </w:tcBorders>
            <w:gridSpan w:val="2"/>
          </w:tcPr>
          <w:p>
            <w:pPr>
              <w:ind w:left="40"/>
              <w:spacing w:after="0"/>
              <w:rPr>
                <w:sz w:val="20"/>
                <w:szCs w:val="20"/>
                <w:color w:val="auto"/>
              </w:rPr>
            </w:pPr>
            <w:r>
              <w:rPr>
                <w:rFonts w:ascii="Arial" w:cs="Arial" w:eastAsia="Arial" w:hAnsi="Arial"/>
                <w:sz w:val="16"/>
                <w:szCs w:val="16"/>
                <w:b w:val="1"/>
                <w:bCs w:val="1"/>
                <w:color w:val="auto"/>
              </w:rPr>
              <w:t>Medical Margin</w:t>
            </w:r>
          </w:p>
        </w:tc>
        <w:tc>
          <w:tcPr>
            <w:tcW w:w="0" w:type="dxa"/>
            <w:vAlign w:val="bottom"/>
          </w:tcPr>
          <w:p>
            <w:pPr>
              <w:spacing w:after="0"/>
              <w:rPr>
                <w:sz w:val="1"/>
                <w:szCs w:val="1"/>
                <w:color w:val="auto"/>
              </w:rPr>
            </w:pPr>
          </w:p>
        </w:tc>
      </w:tr>
      <w:tr>
        <w:trPr>
          <w:trHeight w:val="250"/>
        </w:trPr>
        <w:tc>
          <w:tcPr>
            <w:tcW w:w="1940" w:type="dxa"/>
            <w:vAlign w:val="bottom"/>
            <w:shd w:val="clear" w:color="auto" w:fill="CCEEFF"/>
          </w:tcPr>
          <w:p>
            <w:pPr>
              <w:ind w:left="40"/>
              <w:spacing w:after="0"/>
              <w:rPr>
                <w:sz w:val="20"/>
                <w:szCs w:val="20"/>
                <w:color w:val="auto"/>
              </w:rPr>
            </w:pPr>
            <w:r>
              <w:rPr>
                <w:rFonts w:ascii="Arial" w:cs="Arial" w:eastAsia="Arial" w:hAnsi="Arial"/>
                <w:sz w:val="16"/>
                <w:szCs w:val="16"/>
                <w:color w:val="auto"/>
              </w:rPr>
              <w:t>TANF and CHIP</w:t>
            </w:r>
          </w:p>
        </w:tc>
        <w:tc>
          <w:tcPr>
            <w:tcW w:w="12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7.5</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9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1,392</w:t>
            </w:r>
          </w:p>
        </w:tc>
        <w:tc>
          <w:tcPr>
            <w:tcW w:w="3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10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185.95</w:t>
            </w:r>
          </w:p>
        </w:tc>
        <w:tc>
          <w:tcPr>
            <w:tcW w:w="120" w:type="dxa"/>
            <w:vAlign w:val="bottom"/>
            <w:shd w:val="clear" w:color="auto" w:fill="CCEEFF"/>
          </w:tcPr>
          <w:p>
            <w:pPr>
              <w:spacing w:after="0"/>
              <w:rPr>
                <w:sz w:val="21"/>
                <w:szCs w:val="21"/>
                <w:color w:val="auto"/>
              </w:rPr>
            </w:pPr>
          </w:p>
        </w:tc>
        <w:tc>
          <w:tcPr>
            <w:tcW w:w="2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9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1,242</w:t>
            </w:r>
          </w:p>
        </w:tc>
        <w:tc>
          <w:tcPr>
            <w:tcW w:w="36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0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165.76</w:t>
            </w:r>
          </w:p>
        </w:tc>
        <w:tc>
          <w:tcPr>
            <w:tcW w:w="1420" w:type="dxa"/>
            <w:vAlign w:val="bottom"/>
            <w:gridSpan w:val="2"/>
            <w:shd w:val="clear" w:color="auto" w:fill="CCEEFF"/>
          </w:tcPr>
          <w:p>
            <w:pPr>
              <w:ind w:left="920"/>
              <w:spacing w:after="0"/>
              <w:rPr>
                <w:sz w:val="20"/>
                <w:szCs w:val="20"/>
                <w:color w:val="auto"/>
              </w:rPr>
            </w:pPr>
            <w:r>
              <w:rPr>
                <w:rFonts w:ascii="Arial" w:cs="Arial" w:eastAsia="Arial" w:hAnsi="Arial"/>
                <w:sz w:val="16"/>
                <w:szCs w:val="16"/>
                <w:color w:val="auto"/>
              </w:rPr>
              <w:t>89.1%</w:t>
            </w:r>
          </w:p>
        </w:tc>
        <w:tc>
          <w:tcPr>
            <w:tcW w:w="100" w:type="dxa"/>
            <w:vAlign w:val="bottom"/>
            <w:shd w:val="clear" w:color="auto" w:fill="CCEEFF"/>
          </w:tcPr>
          <w:p>
            <w:pPr>
              <w:spacing w:after="0"/>
              <w:rPr>
                <w:sz w:val="21"/>
                <w:szCs w:val="21"/>
                <w:color w:val="auto"/>
              </w:rPr>
            </w:pPr>
          </w:p>
        </w:tc>
        <w:tc>
          <w:tcPr>
            <w:tcW w:w="500" w:type="dxa"/>
            <w:vAlign w:val="bottom"/>
            <w:shd w:val="clear" w:color="auto" w:fill="CCEEFF"/>
          </w:tcPr>
          <w:p>
            <w:pPr>
              <w:ind w:left="40"/>
              <w:spacing w:after="0"/>
              <w:rPr>
                <w:sz w:val="20"/>
                <w:szCs w:val="20"/>
                <w:color w:val="auto"/>
              </w:rPr>
            </w:pPr>
            <w:r>
              <w:rPr>
                <w:rFonts w:ascii="Arial" w:cs="Arial" w:eastAsia="Arial" w:hAnsi="Arial"/>
                <w:sz w:val="16"/>
                <w:szCs w:val="16"/>
                <w:color w:val="auto"/>
              </w:rPr>
              <w:t>$</w:t>
            </w:r>
          </w:p>
        </w:tc>
        <w:tc>
          <w:tcPr>
            <w:tcW w:w="7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150</w:t>
            </w:r>
          </w:p>
        </w:tc>
        <w:tc>
          <w:tcPr>
            <w:tcW w:w="0" w:type="dxa"/>
            <w:vAlign w:val="bottom"/>
          </w:tcPr>
          <w:p>
            <w:pPr>
              <w:spacing w:after="0"/>
              <w:rPr>
                <w:sz w:val="1"/>
                <w:szCs w:val="1"/>
                <w:color w:val="auto"/>
              </w:rPr>
            </w:pPr>
          </w:p>
        </w:tc>
      </w:tr>
      <w:tr>
        <w:trPr>
          <w:trHeight w:val="262"/>
        </w:trPr>
        <w:tc>
          <w:tcPr>
            <w:tcW w:w="1940" w:type="dxa"/>
            <w:vAlign w:val="bottom"/>
          </w:tcPr>
          <w:p>
            <w:pPr>
              <w:ind w:left="40"/>
              <w:spacing w:after="0"/>
              <w:rPr>
                <w:sz w:val="20"/>
                <w:szCs w:val="20"/>
                <w:color w:val="auto"/>
              </w:rPr>
            </w:pPr>
            <w:r>
              <w:rPr>
                <w:rFonts w:ascii="Arial" w:cs="Arial" w:eastAsia="Arial" w:hAnsi="Arial"/>
                <w:sz w:val="16"/>
                <w:szCs w:val="16"/>
                <w:color w:val="auto"/>
              </w:rPr>
              <w:t>Medicaid Expansion</w:t>
            </w:r>
          </w:p>
        </w:tc>
        <w:tc>
          <w:tcPr>
            <w:tcW w:w="1240" w:type="dxa"/>
            <w:vAlign w:val="bottom"/>
          </w:tcPr>
          <w:p>
            <w:pPr>
              <w:jc w:val="right"/>
              <w:ind w:right="19"/>
              <w:spacing w:after="0"/>
              <w:rPr>
                <w:sz w:val="20"/>
                <w:szCs w:val="20"/>
                <w:color w:val="auto"/>
              </w:rPr>
            </w:pPr>
            <w:r>
              <w:rPr>
                <w:rFonts w:ascii="Arial" w:cs="Arial" w:eastAsia="Arial" w:hAnsi="Arial"/>
                <w:sz w:val="16"/>
                <w:szCs w:val="16"/>
                <w:color w:val="auto"/>
              </w:rPr>
              <w:t>2.0</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773</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385.58</w:t>
            </w: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667</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332.99</w:t>
            </w:r>
          </w:p>
        </w:tc>
        <w:tc>
          <w:tcPr>
            <w:tcW w:w="1420" w:type="dxa"/>
            <w:vAlign w:val="bottom"/>
            <w:gridSpan w:val="2"/>
          </w:tcPr>
          <w:p>
            <w:pPr>
              <w:ind w:left="920"/>
              <w:spacing w:after="0"/>
              <w:rPr>
                <w:sz w:val="20"/>
                <w:szCs w:val="20"/>
                <w:color w:val="auto"/>
              </w:rPr>
            </w:pPr>
            <w:r>
              <w:rPr>
                <w:rFonts w:ascii="Arial" w:cs="Arial" w:eastAsia="Arial" w:hAnsi="Arial"/>
                <w:sz w:val="16"/>
                <w:szCs w:val="16"/>
                <w:color w:val="auto"/>
              </w:rPr>
              <w:t>86.4</w:t>
            </w:r>
          </w:p>
        </w:tc>
        <w:tc>
          <w:tcPr>
            <w:tcW w:w="1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760" w:type="dxa"/>
            <w:vAlign w:val="bottom"/>
          </w:tcPr>
          <w:p>
            <w:pPr>
              <w:jc w:val="right"/>
              <w:ind w:right="19"/>
              <w:spacing w:after="0"/>
              <w:rPr>
                <w:sz w:val="20"/>
                <w:szCs w:val="20"/>
                <w:color w:val="auto"/>
              </w:rPr>
            </w:pPr>
            <w:r>
              <w:rPr>
                <w:rFonts w:ascii="Arial" w:cs="Arial" w:eastAsia="Arial" w:hAnsi="Arial"/>
                <w:sz w:val="16"/>
                <w:szCs w:val="16"/>
                <w:color w:val="auto"/>
              </w:rPr>
              <w:t>106</w:t>
            </w:r>
          </w:p>
        </w:tc>
        <w:tc>
          <w:tcPr>
            <w:tcW w:w="0" w:type="dxa"/>
            <w:vAlign w:val="bottom"/>
          </w:tcPr>
          <w:p>
            <w:pPr>
              <w:spacing w:after="0"/>
              <w:rPr>
                <w:sz w:val="1"/>
                <w:szCs w:val="1"/>
                <w:color w:val="auto"/>
              </w:rPr>
            </w:pPr>
          </w:p>
        </w:tc>
      </w:tr>
      <w:tr>
        <w:trPr>
          <w:trHeight w:val="271"/>
        </w:trPr>
        <w:tc>
          <w:tcPr>
            <w:tcW w:w="1940" w:type="dxa"/>
            <w:vAlign w:val="bottom"/>
            <w:shd w:val="clear" w:color="auto" w:fill="CCEEFF"/>
          </w:tcPr>
          <w:p>
            <w:pPr>
              <w:ind w:left="40"/>
              <w:spacing w:after="0"/>
              <w:rPr>
                <w:sz w:val="20"/>
                <w:szCs w:val="20"/>
                <w:color w:val="auto"/>
              </w:rPr>
            </w:pPr>
            <w:r>
              <w:rPr>
                <w:rFonts w:ascii="Arial" w:cs="Arial" w:eastAsia="Arial" w:hAnsi="Arial"/>
                <w:sz w:val="16"/>
                <w:szCs w:val="16"/>
                <w:color w:val="auto"/>
              </w:rPr>
              <w:t>ABD</w:t>
            </w:r>
          </w:p>
        </w:tc>
        <w:tc>
          <w:tcPr>
            <w:tcW w:w="12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1.2</w:t>
            </w:r>
          </w:p>
        </w:tc>
        <w:tc>
          <w:tcPr>
            <w:tcW w:w="100" w:type="dxa"/>
            <w:vAlign w:val="bottom"/>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spacing w:after="0"/>
              <w:rPr>
                <w:sz w:val="23"/>
                <w:szCs w:val="23"/>
                <w:color w:val="auto"/>
              </w:rPr>
            </w:pPr>
          </w:p>
        </w:tc>
        <w:tc>
          <w:tcPr>
            <w:tcW w:w="9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1,288</w:t>
            </w: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1,038.85</w:t>
            </w:r>
          </w:p>
        </w:tc>
        <w:tc>
          <w:tcPr>
            <w:tcW w:w="120" w:type="dxa"/>
            <w:vAlign w:val="bottom"/>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spacing w:after="0"/>
              <w:rPr>
                <w:sz w:val="23"/>
                <w:szCs w:val="23"/>
                <w:color w:val="auto"/>
              </w:rPr>
            </w:pPr>
          </w:p>
        </w:tc>
        <w:tc>
          <w:tcPr>
            <w:tcW w:w="98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1,259</w:t>
            </w: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1,016.06</w:t>
            </w:r>
          </w:p>
        </w:tc>
        <w:tc>
          <w:tcPr>
            <w:tcW w:w="1420" w:type="dxa"/>
            <w:vAlign w:val="bottom"/>
            <w:gridSpan w:val="2"/>
            <w:shd w:val="clear" w:color="auto" w:fill="CCEEFF"/>
          </w:tcPr>
          <w:p>
            <w:pPr>
              <w:ind w:left="920"/>
              <w:spacing w:after="0"/>
              <w:rPr>
                <w:sz w:val="20"/>
                <w:szCs w:val="20"/>
                <w:color w:val="auto"/>
              </w:rPr>
            </w:pPr>
            <w:r>
              <w:rPr>
                <w:rFonts w:ascii="Arial" w:cs="Arial" w:eastAsia="Arial" w:hAnsi="Arial"/>
                <w:sz w:val="16"/>
                <w:szCs w:val="16"/>
                <w:color w:val="auto"/>
              </w:rPr>
              <w:t>97.8</w:t>
            </w:r>
          </w:p>
        </w:tc>
        <w:tc>
          <w:tcPr>
            <w:tcW w:w="100" w:type="dxa"/>
            <w:vAlign w:val="bottom"/>
            <w:shd w:val="clear" w:color="auto" w:fill="CCEEFF"/>
          </w:tcPr>
          <w:p>
            <w:pPr>
              <w:spacing w:after="0"/>
              <w:rPr>
                <w:sz w:val="23"/>
                <w:szCs w:val="23"/>
                <w:color w:val="auto"/>
              </w:rPr>
            </w:pPr>
          </w:p>
        </w:tc>
        <w:tc>
          <w:tcPr>
            <w:tcW w:w="500" w:type="dxa"/>
            <w:vAlign w:val="bottom"/>
            <w:tcBorders>
              <w:bottom w:val="single" w:sz="8" w:color="auto"/>
            </w:tcBorders>
            <w:shd w:val="clear" w:color="auto" w:fill="CCEEFF"/>
          </w:tcPr>
          <w:p>
            <w:pPr>
              <w:spacing w:after="0"/>
              <w:rPr>
                <w:sz w:val="23"/>
                <w:szCs w:val="23"/>
                <w:color w:val="auto"/>
              </w:rPr>
            </w:pPr>
          </w:p>
        </w:tc>
        <w:tc>
          <w:tcPr>
            <w:tcW w:w="7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29</w:t>
            </w:r>
          </w:p>
        </w:tc>
        <w:tc>
          <w:tcPr>
            <w:tcW w:w="0" w:type="dxa"/>
            <w:vAlign w:val="bottom"/>
          </w:tcPr>
          <w:p>
            <w:pPr>
              <w:spacing w:after="0"/>
              <w:rPr>
                <w:sz w:val="1"/>
                <w:szCs w:val="1"/>
                <w:color w:val="auto"/>
              </w:rPr>
            </w:pPr>
          </w:p>
        </w:tc>
      </w:tr>
      <w:tr>
        <w:trPr>
          <w:trHeight w:val="250"/>
        </w:trPr>
        <w:tc>
          <w:tcPr>
            <w:tcW w:w="1940" w:type="dxa"/>
            <w:vAlign w:val="bottom"/>
            <w:tcBorders>
              <w:bottom w:val="single" w:sz="8" w:color="CCEEFF"/>
            </w:tcBorders>
          </w:tcPr>
          <w:p>
            <w:pPr>
              <w:ind w:left="180"/>
              <w:spacing w:after="0"/>
              <w:rPr>
                <w:sz w:val="20"/>
                <w:szCs w:val="20"/>
                <w:color w:val="auto"/>
              </w:rPr>
            </w:pPr>
            <w:r>
              <w:rPr>
                <w:rFonts w:ascii="Arial" w:cs="Arial" w:eastAsia="Arial" w:hAnsi="Arial"/>
                <w:sz w:val="16"/>
                <w:szCs w:val="16"/>
                <w:color w:val="auto"/>
              </w:rPr>
              <w:t>Total Medicaid</w:t>
            </w:r>
          </w:p>
        </w:tc>
        <w:tc>
          <w:tcPr>
            <w:tcW w:w="12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10.7</w:t>
            </w:r>
          </w:p>
        </w:tc>
        <w:tc>
          <w:tcPr>
            <w:tcW w:w="100" w:type="dxa"/>
            <w:vAlign w:val="bottom"/>
            <w:tcBorders>
              <w:bottom w:val="single" w:sz="8" w:color="CCEEFF"/>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3,453</w:t>
            </w:r>
          </w:p>
        </w:tc>
        <w:tc>
          <w:tcPr>
            <w:tcW w:w="120" w:type="dxa"/>
            <w:vAlign w:val="bottom"/>
            <w:tcBorders>
              <w:bottom w:val="single" w:sz="8" w:color="CCEEFF"/>
            </w:tcBorders>
          </w:tcPr>
          <w:p>
            <w:pPr>
              <w:spacing w:after="0"/>
              <w:rPr>
                <w:sz w:val="21"/>
                <w:szCs w:val="21"/>
                <w:color w:val="auto"/>
              </w:rPr>
            </w:pPr>
          </w:p>
        </w:tc>
        <w:tc>
          <w:tcPr>
            <w:tcW w:w="240" w:type="dxa"/>
            <w:vAlign w:val="bottom"/>
            <w:tcBorders>
              <w:bottom w:val="single" w:sz="8" w:color="CCEEFF"/>
            </w:tcBorders>
          </w:tcPr>
          <w:p>
            <w:pPr>
              <w:spacing w:after="0"/>
              <w:rPr>
                <w:sz w:val="21"/>
                <w:szCs w:val="21"/>
                <w:color w:val="auto"/>
              </w:rPr>
            </w:pPr>
          </w:p>
        </w:tc>
        <w:tc>
          <w:tcPr>
            <w:tcW w:w="1000" w:type="dxa"/>
            <w:vAlign w:val="bottom"/>
            <w:tcBorders>
              <w:bottom w:val="single" w:sz="8" w:color="CCEEFF"/>
            </w:tcBorders>
          </w:tcPr>
          <w:p>
            <w:pPr>
              <w:jc w:val="right"/>
              <w:ind w:right="19"/>
              <w:spacing w:after="0"/>
              <w:rPr>
                <w:sz w:val="20"/>
                <w:szCs w:val="20"/>
                <w:color w:val="auto"/>
              </w:rPr>
            </w:pPr>
            <w:r>
              <w:rPr>
                <w:rFonts w:ascii="Arial" w:cs="Arial" w:eastAsia="Arial" w:hAnsi="Arial"/>
                <w:sz w:val="16"/>
                <w:szCs w:val="16"/>
                <w:color w:val="auto"/>
              </w:rPr>
              <w:t>321.77</w:t>
            </w:r>
          </w:p>
        </w:tc>
        <w:tc>
          <w:tcPr>
            <w:tcW w:w="120" w:type="dxa"/>
            <w:vAlign w:val="bottom"/>
            <w:tcBorders>
              <w:bottom w:val="single" w:sz="8" w:color="CCEEFF"/>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3,168</w:t>
            </w:r>
          </w:p>
        </w:tc>
        <w:tc>
          <w:tcPr>
            <w:tcW w:w="100" w:type="dxa"/>
            <w:vAlign w:val="bottom"/>
            <w:tcBorders>
              <w:bottom w:val="single" w:sz="8" w:color="CCEEFF"/>
            </w:tcBorders>
          </w:tcPr>
          <w:p>
            <w:pPr>
              <w:spacing w:after="0"/>
              <w:rPr>
                <w:sz w:val="21"/>
                <w:szCs w:val="21"/>
                <w:color w:val="auto"/>
              </w:rPr>
            </w:pPr>
          </w:p>
        </w:tc>
        <w:tc>
          <w:tcPr>
            <w:tcW w:w="260" w:type="dxa"/>
            <w:vAlign w:val="bottom"/>
            <w:tcBorders>
              <w:bottom w:val="single" w:sz="8" w:color="CCEEFF"/>
            </w:tcBorders>
          </w:tcPr>
          <w:p>
            <w:pPr>
              <w:spacing w:after="0"/>
              <w:rPr>
                <w:sz w:val="21"/>
                <w:szCs w:val="21"/>
                <w:color w:val="auto"/>
              </w:rPr>
            </w:pPr>
          </w:p>
        </w:tc>
        <w:tc>
          <w:tcPr>
            <w:tcW w:w="1000" w:type="dxa"/>
            <w:vAlign w:val="bottom"/>
            <w:tcBorders>
              <w:bottom w:val="single" w:sz="8" w:color="CCEEFF"/>
            </w:tcBorders>
          </w:tcPr>
          <w:p>
            <w:pPr>
              <w:jc w:val="right"/>
              <w:ind w:right="39"/>
              <w:spacing w:after="0"/>
              <w:rPr>
                <w:sz w:val="20"/>
                <w:szCs w:val="20"/>
                <w:color w:val="auto"/>
              </w:rPr>
            </w:pPr>
            <w:r>
              <w:rPr>
                <w:rFonts w:ascii="Arial" w:cs="Arial" w:eastAsia="Arial" w:hAnsi="Arial"/>
                <w:sz w:val="16"/>
                <w:szCs w:val="16"/>
                <w:color w:val="auto"/>
              </w:rPr>
              <w:t>295.23</w:t>
            </w:r>
          </w:p>
        </w:tc>
        <w:tc>
          <w:tcPr>
            <w:tcW w:w="1420" w:type="dxa"/>
            <w:vAlign w:val="bottom"/>
            <w:tcBorders>
              <w:bottom w:val="single" w:sz="8" w:color="CCEEFF"/>
            </w:tcBorders>
            <w:gridSpan w:val="2"/>
          </w:tcPr>
          <w:p>
            <w:pPr>
              <w:ind w:left="920"/>
              <w:spacing w:after="0"/>
              <w:rPr>
                <w:sz w:val="20"/>
                <w:szCs w:val="20"/>
                <w:color w:val="auto"/>
              </w:rPr>
            </w:pPr>
            <w:r>
              <w:rPr>
                <w:rFonts w:ascii="Arial" w:cs="Arial" w:eastAsia="Arial" w:hAnsi="Arial"/>
                <w:sz w:val="16"/>
                <w:szCs w:val="16"/>
                <w:color w:val="auto"/>
              </w:rPr>
              <w:t>91.8</w:t>
            </w:r>
          </w:p>
        </w:tc>
        <w:tc>
          <w:tcPr>
            <w:tcW w:w="100" w:type="dxa"/>
            <w:vAlign w:val="bottom"/>
            <w:tcBorders>
              <w:bottom w:val="single" w:sz="8" w:color="CCEEFF"/>
            </w:tcBorders>
          </w:tcPr>
          <w:p>
            <w:pPr>
              <w:spacing w:after="0"/>
              <w:rPr>
                <w:sz w:val="21"/>
                <w:szCs w:val="21"/>
                <w:color w:val="auto"/>
              </w:rPr>
            </w:pPr>
          </w:p>
        </w:tc>
        <w:tc>
          <w:tcPr>
            <w:tcW w:w="50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285</w:t>
            </w:r>
          </w:p>
        </w:tc>
        <w:tc>
          <w:tcPr>
            <w:tcW w:w="0" w:type="dxa"/>
            <w:vAlign w:val="bottom"/>
          </w:tcPr>
          <w:p>
            <w:pPr>
              <w:spacing w:after="0"/>
              <w:rPr>
                <w:sz w:val="1"/>
                <w:szCs w:val="1"/>
                <w:color w:val="auto"/>
              </w:rPr>
            </w:pPr>
          </w:p>
        </w:tc>
      </w:tr>
      <w:tr>
        <w:trPr>
          <w:trHeight w:val="257"/>
        </w:trPr>
        <w:tc>
          <w:tcPr>
            <w:tcW w:w="1940" w:type="dxa"/>
            <w:vAlign w:val="bottom"/>
            <w:shd w:val="clear" w:color="auto" w:fill="CCEEFF"/>
          </w:tcPr>
          <w:p>
            <w:pPr>
              <w:ind w:left="40"/>
              <w:spacing w:after="0"/>
              <w:rPr>
                <w:sz w:val="20"/>
                <w:szCs w:val="20"/>
                <w:color w:val="auto"/>
              </w:rPr>
            </w:pPr>
            <w:r>
              <w:rPr>
                <w:rFonts w:ascii="Arial" w:cs="Arial" w:eastAsia="Arial" w:hAnsi="Arial"/>
                <w:sz w:val="16"/>
                <w:szCs w:val="16"/>
                <w:color w:val="auto"/>
              </w:rPr>
              <w:t>MMP</w:t>
            </w:r>
          </w:p>
        </w:tc>
        <w:tc>
          <w:tcPr>
            <w:tcW w:w="12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0.2</w:t>
            </w: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9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378</w:t>
            </w:r>
          </w:p>
        </w:tc>
        <w:tc>
          <w:tcPr>
            <w:tcW w:w="12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0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2,263.07</w:t>
            </w:r>
          </w:p>
        </w:tc>
        <w:tc>
          <w:tcPr>
            <w:tcW w:w="12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9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336</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0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2,013.67</w:t>
            </w:r>
          </w:p>
        </w:tc>
        <w:tc>
          <w:tcPr>
            <w:tcW w:w="1420" w:type="dxa"/>
            <w:vAlign w:val="bottom"/>
            <w:gridSpan w:val="2"/>
            <w:shd w:val="clear" w:color="auto" w:fill="CCEEFF"/>
          </w:tcPr>
          <w:p>
            <w:pPr>
              <w:ind w:left="920"/>
              <w:spacing w:after="0"/>
              <w:rPr>
                <w:sz w:val="20"/>
                <w:szCs w:val="20"/>
                <w:color w:val="auto"/>
              </w:rPr>
            </w:pPr>
            <w:r>
              <w:rPr>
                <w:rFonts w:ascii="Arial" w:cs="Arial" w:eastAsia="Arial" w:hAnsi="Arial"/>
                <w:sz w:val="16"/>
                <w:szCs w:val="16"/>
                <w:color w:val="auto"/>
              </w:rPr>
              <w:t>89.0</w:t>
            </w:r>
          </w:p>
        </w:tc>
        <w:tc>
          <w:tcPr>
            <w:tcW w:w="100" w:type="dxa"/>
            <w:vAlign w:val="bottom"/>
            <w:shd w:val="clear" w:color="auto" w:fill="CCEEFF"/>
          </w:tcPr>
          <w:p>
            <w:pPr>
              <w:spacing w:after="0"/>
              <w:rPr>
                <w:sz w:val="22"/>
                <w:szCs w:val="22"/>
                <w:color w:val="auto"/>
              </w:rPr>
            </w:pPr>
          </w:p>
        </w:tc>
        <w:tc>
          <w:tcPr>
            <w:tcW w:w="500" w:type="dxa"/>
            <w:vAlign w:val="bottom"/>
            <w:shd w:val="clear" w:color="auto" w:fill="CCEEFF"/>
          </w:tcPr>
          <w:p>
            <w:pPr>
              <w:spacing w:after="0"/>
              <w:rPr>
                <w:sz w:val="22"/>
                <w:szCs w:val="22"/>
                <w:color w:val="auto"/>
              </w:rPr>
            </w:pPr>
          </w:p>
        </w:tc>
        <w:tc>
          <w:tcPr>
            <w:tcW w:w="7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42</w:t>
            </w:r>
          </w:p>
        </w:tc>
        <w:tc>
          <w:tcPr>
            <w:tcW w:w="0" w:type="dxa"/>
            <w:vAlign w:val="bottom"/>
          </w:tcPr>
          <w:p>
            <w:pPr>
              <w:spacing w:after="0"/>
              <w:rPr>
                <w:sz w:val="1"/>
                <w:szCs w:val="1"/>
                <w:color w:val="auto"/>
              </w:rPr>
            </w:pPr>
          </w:p>
        </w:tc>
      </w:tr>
      <w:tr>
        <w:trPr>
          <w:trHeight w:val="264"/>
        </w:trPr>
        <w:tc>
          <w:tcPr>
            <w:tcW w:w="194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Medicare</w:t>
            </w:r>
          </w:p>
        </w:tc>
        <w:tc>
          <w:tcPr>
            <w:tcW w:w="12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0.1</w:t>
            </w: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163</w:t>
            </w:r>
          </w:p>
        </w:tc>
        <w:tc>
          <w:tcPr>
            <w:tcW w:w="120" w:type="dxa"/>
            <w:vAlign w:val="bottom"/>
            <w:tcBorders>
              <w:bottom w:val="single" w:sz="8" w:color="CCEEFF"/>
            </w:tcBorders>
          </w:tcPr>
          <w:p>
            <w:pPr>
              <w:spacing w:after="0"/>
              <w:rPr>
                <w:sz w:val="22"/>
                <w:szCs w:val="22"/>
                <w:color w:val="auto"/>
              </w:rPr>
            </w:pPr>
          </w:p>
        </w:tc>
        <w:tc>
          <w:tcPr>
            <w:tcW w:w="240" w:type="dxa"/>
            <w:vAlign w:val="bottom"/>
            <w:tcBorders>
              <w:bottom w:val="single" w:sz="8" w:color="CCEEFF"/>
            </w:tcBorders>
          </w:tcPr>
          <w:p>
            <w:pPr>
              <w:spacing w:after="0"/>
              <w:rPr>
                <w:sz w:val="22"/>
                <w:szCs w:val="22"/>
                <w:color w:val="auto"/>
              </w:rPr>
            </w:pPr>
          </w:p>
        </w:tc>
        <w:tc>
          <w:tcPr>
            <w:tcW w:w="1000" w:type="dxa"/>
            <w:vAlign w:val="bottom"/>
            <w:tcBorders>
              <w:bottom w:val="single" w:sz="8" w:color="CCEEFF"/>
            </w:tcBorders>
          </w:tcPr>
          <w:p>
            <w:pPr>
              <w:jc w:val="right"/>
              <w:ind w:right="19"/>
              <w:spacing w:after="0"/>
              <w:rPr>
                <w:sz w:val="20"/>
                <w:szCs w:val="20"/>
                <w:color w:val="auto"/>
              </w:rPr>
            </w:pPr>
            <w:r>
              <w:rPr>
                <w:rFonts w:ascii="Arial" w:cs="Arial" w:eastAsia="Arial" w:hAnsi="Arial"/>
                <w:sz w:val="16"/>
                <w:szCs w:val="16"/>
                <w:color w:val="auto"/>
              </w:rPr>
              <w:t>1,231.61</w:t>
            </w:r>
          </w:p>
        </w:tc>
        <w:tc>
          <w:tcPr>
            <w:tcW w:w="12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126</w:t>
            </w:r>
          </w:p>
        </w:tc>
        <w:tc>
          <w:tcPr>
            <w:tcW w:w="100" w:type="dxa"/>
            <w:vAlign w:val="bottom"/>
            <w:tcBorders>
              <w:bottom w:val="single" w:sz="8" w:color="CCEEFF"/>
            </w:tcBorders>
          </w:tcPr>
          <w:p>
            <w:pPr>
              <w:spacing w:after="0"/>
              <w:rPr>
                <w:sz w:val="22"/>
                <w:szCs w:val="22"/>
                <w:color w:val="auto"/>
              </w:rPr>
            </w:pPr>
          </w:p>
        </w:tc>
        <w:tc>
          <w:tcPr>
            <w:tcW w:w="260" w:type="dxa"/>
            <w:vAlign w:val="bottom"/>
            <w:tcBorders>
              <w:bottom w:val="single" w:sz="8" w:color="CCEEFF"/>
            </w:tcBorders>
          </w:tcPr>
          <w:p>
            <w:pPr>
              <w:spacing w:after="0"/>
              <w:rPr>
                <w:sz w:val="22"/>
                <w:szCs w:val="22"/>
                <w:color w:val="auto"/>
              </w:rPr>
            </w:pPr>
          </w:p>
        </w:tc>
        <w:tc>
          <w:tcPr>
            <w:tcW w:w="1000" w:type="dxa"/>
            <w:vAlign w:val="bottom"/>
            <w:tcBorders>
              <w:bottom w:val="single" w:sz="8" w:color="CCEEFF"/>
            </w:tcBorders>
          </w:tcPr>
          <w:p>
            <w:pPr>
              <w:jc w:val="right"/>
              <w:ind w:right="39"/>
              <w:spacing w:after="0"/>
              <w:rPr>
                <w:sz w:val="20"/>
                <w:szCs w:val="20"/>
                <w:color w:val="auto"/>
              </w:rPr>
            </w:pPr>
            <w:r>
              <w:rPr>
                <w:rFonts w:ascii="Arial" w:cs="Arial" w:eastAsia="Arial" w:hAnsi="Arial"/>
                <w:sz w:val="16"/>
                <w:szCs w:val="16"/>
                <w:color w:val="auto"/>
              </w:rPr>
              <w:t>951.01</w:t>
            </w:r>
          </w:p>
        </w:tc>
        <w:tc>
          <w:tcPr>
            <w:tcW w:w="1420" w:type="dxa"/>
            <w:vAlign w:val="bottom"/>
            <w:tcBorders>
              <w:bottom w:val="single" w:sz="8" w:color="CCEEFF"/>
            </w:tcBorders>
            <w:gridSpan w:val="2"/>
          </w:tcPr>
          <w:p>
            <w:pPr>
              <w:ind w:left="920"/>
              <w:spacing w:after="0"/>
              <w:rPr>
                <w:sz w:val="20"/>
                <w:szCs w:val="20"/>
                <w:color w:val="auto"/>
              </w:rPr>
            </w:pPr>
            <w:r>
              <w:rPr>
                <w:rFonts w:ascii="Arial" w:cs="Arial" w:eastAsia="Arial" w:hAnsi="Arial"/>
                <w:sz w:val="16"/>
                <w:szCs w:val="16"/>
                <w:color w:val="auto"/>
              </w:rPr>
              <w:t>77.2</w:t>
            </w:r>
          </w:p>
        </w:tc>
        <w:tc>
          <w:tcPr>
            <w:tcW w:w="100" w:type="dxa"/>
            <w:vAlign w:val="bottom"/>
            <w:tcBorders>
              <w:bottom w:val="single" w:sz="8" w:color="CCEEFF"/>
            </w:tcBorders>
          </w:tcPr>
          <w:p>
            <w:pPr>
              <w:spacing w:after="0"/>
              <w:rPr>
                <w:sz w:val="22"/>
                <w:szCs w:val="22"/>
                <w:color w:val="auto"/>
              </w:rPr>
            </w:pPr>
          </w:p>
        </w:tc>
        <w:tc>
          <w:tcPr>
            <w:tcW w:w="50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37</w:t>
            </w:r>
          </w:p>
        </w:tc>
        <w:tc>
          <w:tcPr>
            <w:tcW w:w="0" w:type="dxa"/>
            <w:vAlign w:val="bottom"/>
          </w:tcPr>
          <w:p>
            <w:pPr>
              <w:spacing w:after="0"/>
              <w:rPr>
                <w:sz w:val="1"/>
                <w:szCs w:val="1"/>
                <w:color w:val="auto"/>
              </w:rPr>
            </w:pPr>
          </w:p>
        </w:tc>
      </w:tr>
      <w:tr>
        <w:trPr>
          <w:trHeight w:val="250"/>
        </w:trPr>
        <w:tc>
          <w:tcPr>
            <w:tcW w:w="1940" w:type="dxa"/>
            <w:vAlign w:val="bottom"/>
            <w:shd w:val="clear" w:color="auto" w:fill="CCEEFF"/>
          </w:tcPr>
          <w:p>
            <w:pPr>
              <w:ind w:left="180"/>
              <w:spacing w:after="0"/>
              <w:rPr>
                <w:sz w:val="20"/>
                <w:szCs w:val="20"/>
                <w:color w:val="auto"/>
              </w:rPr>
            </w:pPr>
            <w:r>
              <w:rPr>
                <w:rFonts w:ascii="Arial" w:cs="Arial" w:eastAsia="Arial" w:hAnsi="Arial"/>
                <w:sz w:val="16"/>
                <w:szCs w:val="16"/>
                <w:color w:val="auto"/>
              </w:rPr>
              <w:t>Total Medicare</w:t>
            </w:r>
          </w:p>
        </w:tc>
        <w:tc>
          <w:tcPr>
            <w:tcW w:w="12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0.3</w:t>
            </w:r>
          </w:p>
        </w:tc>
        <w:tc>
          <w:tcPr>
            <w:tcW w:w="100" w:type="dxa"/>
            <w:vAlign w:val="bottom"/>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541</w:t>
            </w: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0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1,806.26</w:t>
            </w:r>
          </w:p>
        </w:tc>
        <w:tc>
          <w:tcPr>
            <w:tcW w:w="120" w:type="dxa"/>
            <w:vAlign w:val="bottom"/>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462</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0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1,543.05</w:t>
            </w:r>
          </w:p>
        </w:tc>
        <w:tc>
          <w:tcPr>
            <w:tcW w:w="1420" w:type="dxa"/>
            <w:vAlign w:val="bottom"/>
            <w:gridSpan w:val="2"/>
            <w:shd w:val="clear" w:color="auto" w:fill="CCEEFF"/>
          </w:tcPr>
          <w:p>
            <w:pPr>
              <w:ind w:left="920"/>
              <w:spacing w:after="0"/>
              <w:rPr>
                <w:sz w:val="20"/>
                <w:szCs w:val="20"/>
                <w:color w:val="auto"/>
              </w:rPr>
            </w:pPr>
            <w:r>
              <w:rPr>
                <w:rFonts w:ascii="Arial" w:cs="Arial" w:eastAsia="Arial" w:hAnsi="Arial"/>
                <w:sz w:val="16"/>
                <w:szCs w:val="16"/>
                <w:color w:val="auto"/>
              </w:rPr>
              <w:t>85.4</w:t>
            </w:r>
          </w:p>
        </w:tc>
        <w:tc>
          <w:tcPr>
            <w:tcW w:w="100" w:type="dxa"/>
            <w:vAlign w:val="bottom"/>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spacing w:after="0"/>
              <w:rPr>
                <w:sz w:val="21"/>
                <w:szCs w:val="21"/>
                <w:color w:val="auto"/>
              </w:rPr>
            </w:pPr>
          </w:p>
        </w:tc>
        <w:tc>
          <w:tcPr>
            <w:tcW w:w="7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79</w:t>
            </w:r>
          </w:p>
        </w:tc>
        <w:tc>
          <w:tcPr>
            <w:tcW w:w="0" w:type="dxa"/>
            <w:vAlign w:val="bottom"/>
          </w:tcPr>
          <w:p>
            <w:pPr>
              <w:spacing w:after="0"/>
              <w:rPr>
                <w:sz w:val="1"/>
                <w:szCs w:val="1"/>
                <w:color w:val="auto"/>
              </w:rPr>
            </w:pPr>
          </w:p>
        </w:tc>
      </w:tr>
      <w:tr>
        <w:trPr>
          <w:trHeight w:val="249"/>
        </w:trPr>
        <w:tc>
          <w:tcPr>
            <w:tcW w:w="1940" w:type="dxa"/>
            <w:vAlign w:val="bottom"/>
          </w:tcPr>
          <w:p>
            <w:pPr>
              <w:ind w:left="40"/>
              <w:spacing w:after="0"/>
              <w:rPr>
                <w:sz w:val="20"/>
                <w:szCs w:val="20"/>
                <w:color w:val="auto"/>
              </w:rPr>
            </w:pPr>
            <w:r>
              <w:rPr>
                <w:rFonts w:ascii="Arial" w:cs="Arial" w:eastAsia="Arial" w:hAnsi="Arial"/>
                <w:sz w:val="16"/>
                <w:szCs w:val="16"/>
                <w:color w:val="auto"/>
              </w:rPr>
              <w:t>Excluding Marketplace</w:t>
            </w:r>
          </w:p>
        </w:tc>
        <w:tc>
          <w:tcPr>
            <w:tcW w:w="1240" w:type="dxa"/>
            <w:vAlign w:val="bottom"/>
          </w:tcPr>
          <w:p>
            <w:pPr>
              <w:jc w:val="right"/>
              <w:ind w:right="19"/>
              <w:spacing w:after="0"/>
              <w:rPr>
                <w:sz w:val="20"/>
                <w:szCs w:val="20"/>
                <w:color w:val="auto"/>
              </w:rPr>
            </w:pPr>
            <w:r>
              <w:rPr>
                <w:rFonts w:ascii="Arial" w:cs="Arial" w:eastAsia="Arial" w:hAnsi="Arial"/>
                <w:sz w:val="16"/>
                <w:szCs w:val="16"/>
                <w:color w:val="auto"/>
              </w:rPr>
              <w:t>11.0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3,994</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362.04</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3,630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329.08</w:t>
            </w:r>
          </w:p>
        </w:tc>
        <w:tc>
          <w:tcPr>
            <w:tcW w:w="1420" w:type="dxa"/>
            <w:vAlign w:val="bottom"/>
            <w:gridSpan w:val="2"/>
          </w:tcPr>
          <w:p>
            <w:pPr>
              <w:ind w:left="920"/>
              <w:spacing w:after="0"/>
              <w:rPr>
                <w:sz w:val="20"/>
                <w:szCs w:val="20"/>
                <w:color w:val="auto"/>
              </w:rPr>
            </w:pPr>
            <w:r>
              <w:rPr>
                <w:rFonts w:ascii="Arial" w:cs="Arial" w:eastAsia="Arial" w:hAnsi="Arial"/>
                <w:sz w:val="16"/>
                <w:szCs w:val="16"/>
                <w:color w:val="auto"/>
              </w:rPr>
              <w:t>90.9</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760" w:type="dxa"/>
            <w:vAlign w:val="bottom"/>
          </w:tcPr>
          <w:p>
            <w:pPr>
              <w:jc w:val="right"/>
              <w:ind w:right="19"/>
              <w:spacing w:after="0"/>
              <w:rPr>
                <w:sz w:val="20"/>
                <w:szCs w:val="20"/>
                <w:color w:val="auto"/>
              </w:rPr>
            </w:pPr>
            <w:r>
              <w:rPr>
                <w:rFonts w:ascii="Arial" w:cs="Arial" w:eastAsia="Arial" w:hAnsi="Arial"/>
                <w:sz w:val="16"/>
                <w:szCs w:val="16"/>
                <w:color w:val="auto"/>
              </w:rPr>
              <w:t>364</w:t>
            </w:r>
          </w:p>
        </w:tc>
        <w:tc>
          <w:tcPr>
            <w:tcW w:w="0" w:type="dxa"/>
            <w:vAlign w:val="bottom"/>
          </w:tcPr>
          <w:p>
            <w:pPr>
              <w:spacing w:after="0"/>
              <w:rPr>
                <w:sz w:val="1"/>
                <w:szCs w:val="1"/>
                <w:color w:val="auto"/>
              </w:rPr>
            </w:pPr>
          </w:p>
        </w:tc>
      </w:tr>
      <w:tr>
        <w:trPr>
          <w:trHeight w:val="271"/>
        </w:trPr>
        <w:tc>
          <w:tcPr>
            <w:tcW w:w="1940" w:type="dxa"/>
            <w:vAlign w:val="bottom"/>
            <w:shd w:val="clear" w:color="auto" w:fill="CCEEFF"/>
          </w:tcPr>
          <w:p>
            <w:pPr>
              <w:ind w:left="40"/>
              <w:spacing w:after="0"/>
              <w:rPr>
                <w:sz w:val="20"/>
                <w:szCs w:val="20"/>
                <w:color w:val="auto"/>
              </w:rPr>
            </w:pPr>
            <w:r>
              <w:rPr>
                <w:rFonts w:ascii="Arial" w:cs="Arial" w:eastAsia="Arial" w:hAnsi="Arial"/>
                <w:sz w:val="16"/>
                <w:szCs w:val="16"/>
                <w:color w:val="auto"/>
              </w:rPr>
              <w:t>Marketplace</w:t>
            </w:r>
          </w:p>
        </w:tc>
        <w:tc>
          <w:tcPr>
            <w:tcW w:w="12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2.7</w:t>
            </w:r>
          </w:p>
        </w:tc>
        <w:tc>
          <w:tcPr>
            <w:tcW w:w="100" w:type="dxa"/>
            <w:vAlign w:val="bottom"/>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spacing w:after="0"/>
              <w:rPr>
                <w:sz w:val="23"/>
                <w:szCs w:val="23"/>
                <w:color w:val="auto"/>
              </w:rPr>
            </w:pPr>
          </w:p>
        </w:tc>
        <w:tc>
          <w:tcPr>
            <w:tcW w:w="9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783</w:t>
            </w: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301.72</w:t>
            </w:r>
          </w:p>
        </w:tc>
        <w:tc>
          <w:tcPr>
            <w:tcW w:w="120" w:type="dxa"/>
            <w:vAlign w:val="bottom"/>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spacing w:after="0"/>
              <w:rPr>
                <w:sz w:val="23"/>
                <w:szCs w:val="23"/>
                <w:color w:val="auto"/>
              </w:rPr>
            </w:pPr>
          </w:p>
        </w:tc>
        <w:tc>
          <w:tcPr>
            <w:tcW w:w="98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590</w:t>
            </w: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227.22</w:t>
            </w:r>
          </w:p>
        </w:tc>
        <w:tc>
          <w:tcPr>
            <w:tcW w:w="1420" w:type="dxa"/>
            <w:vAlign w:val="bottom"/>
            <w:gridSpan w:val="2"/>
            <w:shd w:val="clear" w:color="auto" w:fill="CCEEFF"/>
          </w:tcPr>
          <w:p>
            <w:pPr>
              <w:ind w:left="920"/>
              <w:spacing w:after="0"/>
              <w:rPr>
                <w:sz w:val="20"/>
                <w:szCs w:val="20"/>
                <w:color w:val="auto"/>
              </w:rPr>
            </w:pPr>
            <w:r>
              <w:rPr>
                <w:rFonts w:ascii="Arial" w:cs="Arial" w:eastAsia="Arial" w:hAnsi="Arial"/>
                <w:sz w:val="16"/>
                <w:szCs w:val="16"/>
                <w:color w:val="auto"/>
              </w:rPr>
              <w:t>75.3</w:t>
            </w:r>
          </w:p>
        </w:tc>
        <w:tc>
          <w:tcPr>
            <w:tcW w:w="100" w:type="dxa"/>
            <w:vAlign w:val="bottom"/>
            <w:shd w:val="clear" w:color="auto" w:fill="CCEEFF"/>
          </w:tcPr>
          <w:p>
            <w:pPr>
              <w:spacing w:after="0"/>
              <w:rPr>
                <w:sz w:val="23"/>
                <w:szCs w:val="23"/>
                <w:color w:val="auto"/>
              </w:rPr>
            </w:pPr>
          </w:p>
        </w:tc>
        <w:tc>
          <w:tcPr>
            <w:tcW w:w="500" w:type="dxa"/>
            <w:vAlign w:val="bottom"/>
            <w:tcBorders>
              <w:bottom w:val="single" w:sz="8" w:color="auto"/>
            </w:tcBorders>
            <w:shd w:val="clear" w:color="auto" w:fill="CCEEFF"/>
          </w:tcPr>
          <w:p>
            <w:pPr>
              <w:spacing w:after="0"/>
              <w:rPr>
                <w:sz w:val="23"/>
                <w:szCs w:val="23"/>
                <w:color w:val="auto"/>
              </w:rPr>
            </w:pPr>
          </w:p>
        </w:tc>
        <w:tc>
          <w:tcPr>
            <w:tcW w:w="7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193</w:t>
            </w:r>
          </w:p>
        </w:tc>
        <w:tc>
          <w:tcPr>
            <w:tcW w:w="0" w:type="dxa"/>
            <w:vAlign w:val="bottom"/>
          </w:tcPr>
          <w:p>
            <w:pPr>
              <w:spacing w:after="0"/>
              <w:rPr>
                <w:sz w:val="1"/>
                <w:szCs w:val="1"/>
                <w:color w:val="auto"/>
              </w:rPr>
            </w:pPr>
          </w:p>
        </w:tc>
      </w:tr>
      <w:tr>
        <w:trPr>
          <w:trHeight w:val="242"/>
        </w:trPr>
        <w:tc>
          <w:tcPr>
            <w:tcW w:w="1940" w:type="dxa"/>
            <w:vAlign w:val="bottom"/>
          </w:tcPr>
          <w:p>
            <w:pPr>
              <w:spacing w:after="0"/>
              <w:rPr>
                <w:sz w:val="21"/>
                <w:szCs w:val="21"/>
                <w:color w:val="auto"/>
              </w:rPr>
            </w:pPr>
          </w:p>
        </w:tc>
        <w:tc>
          <w:tcPr>
            <w:tcW w:w="12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13.7</w:t>
            </w:r>
          </w:p>
        </w:tc>
        <w:tc>
          <w:tcPr>
            <w:tcW w:w="100" w:type="dxa"/>
            <w:vAlign w:val="bottom"/>
          </w:tcPr>
          <w:p>
            <w:pPr>
              <w:spacing w:after="0"/>
              <w:rPr>
                <w:sz w:val="21"/>
                <w:szCs w:val="21"/>
                <w:color w:val="auto"/>
              </w:rPr>
            </w:pPr>
          </w:p>
        </w:tc>
        <w:tc>
          <w:tcPr>
            <w:tcW w:w="2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4,777</w:t>
            </w:r>
          </w:p>
        </w:tc>
        <w:tc>
          <w:tcPr>
            <w:tcW w:w="36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350.55</w:t>
            </w:r>
          </w:p>
        </w:tc>
        <w:tc>
          <w:tcPr>
            <w:tcW w:w="120" w:type="dxa"/>
            <w:vAlign w:val="bottom"/>
          </w:tcPr>
          <w:p>
            <w:pPr>
              <w:spacing w:after="0"/>
              <w:rPr>
                <w:sz w:val="21"/>
                <w:szCs w:val="21"/>
                <w:color w:val="auto"/>
              </w:rPr>
            </w:pPr>
          </w:p>
        </w:tc>
        <w:tc>
          <w:tcPr>
            <w:tcW w:w="2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4,220</w:t>
            </w:r>
          </w:p>
        </w:tc>
        <w:tc>
          <w:tcPr>
            <w:tcW w:w="36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309.68</w:t>
            </w:r>
          </w:p>
        </w:tc>
        <w:tc>
          <w:tcPr>
            <w:tcW w:w="1420" w:type="dxa"/>
            <w:vAlign w:val="bottom"/>
            <w:gridSpan w:val="2"/>
          </w:tcPr>
          <w:p>
            <w:pPr>
              <w:ind w:left="920"/>
              <w:spacing w:after="0"/>
              <w:rPr>
                <w:sz w:val="20"/>
                <w:szCs w:val="20"/>
                <w:color w:val="auto"/>
              </w:rPr>
            </w:pPr>
            <w:r>
              <w:rPr>
                <w:rFonts w:ascii="Arial" w:cs="Arial" w:eastAsia="Arial" w:hAnsi="Arial"/>
                <w:sz w:val="16"/>
                <w:szCs w:val="16"/>
                <w:color w:val="auto"/>
              </w:rPr>
              <w:t>88.3%</w:t>
            </w:r>
          </w:p>
        </w:tc>
        <w:tc>
          <w:tcPr>
            <w:tcW w:w="100" w:type="dxa"/>
            <w:vAlign w:val="bottom"/>
          </w:tcPr>
          <w:p>
            <w:pPr>
              <w:spacing w:after="0"/>
              <w:rPr>
                <w:sz w:val="21"/>
                <w:szCs w:val="21"/>
                <w:color w:val="auto"/>
              </w:rPr>
            </w:pPr>
          </w:p>
        </w:tc>
        <w:tc>
          <w:tcPr>
            <w:tcW w:w="500" w:type="dxa"/>
            <w:vAlign w:val="bottom"/>
            <w:tcBorders>
              <w:bottom w:val="single" w:sz="8" w:color="auto"/>
            </w:tcBorders>
          </w:tcPr>
          <w:p>
            <w:pPr>
              <w:ind w:left="40"/>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557</w:t>
            </w:r>
          </w:p>
        </w:tc>
        <w:tc>
          <w:tcPr>
            <w:tcW w:w="0" w:type="dxa"/>
            <w:vAlign w:val="bottom"/>
          </w:tcPr>
          <w:p>
            <w:pPr>
              <w:spacing w:after="0"/>
              <w:rPr>
                <w:sz w:val="1"/>
                <w:szCs w:val="1"/>
                <w:color w:val="auto"/>
              </w:rPr>
            </w:pPr>
          </w:p>
        </w:tc>
      </w:tr>
      <w:tr>
        <w:trPr>
          <w:trHeight w:val="20"/>
        </w:trPr>
        <w:tc>
          <w:tcPr>
            <w:tcW w:w="194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99"/>
        </w:trPr>
        <w:tc>
          <w:tcPr>
            <w:tcW w:w="1940" w:type="dxa"/>
            <w:vAlign w:val="bottom"/>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3740" w:type="dxa"/>
            <w:vAlign w:val="bottom"/>
            <w:tcBorders>
              <w:bottom w:val="single" w:sz="8" w:color="auto"/>
            </w:tcBorders>
            <w:gridSpan w:val="7"/>
          </w:tcPr>
          <w:p>
            <w:pPr>
              <w:jc w:val="right"/>
              <w:ind w:right="279"/>
              <w:spacing w:after="0"/>
              <w:rPr>
                <w:sz w:val="20"/>
                <w:szCs w:val="20"/>
                <w:color w:val="auto"/>
              </w:rPr>
            </w:pPr>
            <w:r>
              <w:rPr>
                <w:rFonts w:ascii="Arial" w:cs="Arial" w:eastAsia="Arial" w:hAnsi="Arial"/>
                <w:sz w:val="16"/>
                <w:szCs w:val="16"/>
                <w:b w:val="1"/>
                <w:bCs w:val="1"/>
                <w:color w:val="auto"/>
              </w:rPr>
              <w:t>Three Months Ended September 30, 2016</w:t>
            </w:r>
          </w:p>
        </w:tc>
        <w:tc>
          <w:tcPr>
            <w:tcW w:w="10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1940" w:type="dxa"/>
            <w:vAlign w:val="bottom"/>
          </w:tcPr>
          <w:p>
            <w:pPr>
              <w:spacing w:after="0"/>
              <w:rPr>
                <w:sz w:val="22"/>
                <w:szCs w:val="22"/>
                <w:color w:val="auto"/>
              </w:rPr>
            </w:pPr>
          </w:p>
        </w:tc>
        <w:tc>
          <w:tcPr>
            <w:tcW w:w="1340" w:type="dxa"/>
            <w:vAlign w:val="bottom"/>
            <w:gridSpan w:val="2"/>
            <w:vMerge w:val="restart"/>
          </w:tcPr>
          <w:p>
            <w:pPr>
              <w:jc w:val="center"/>
              <w:ind w:right="80"/>
              <w:spacing w:after="0"/>
              <w:rPr>
                <w:sz w:val="20"/>
                <w:szCs w:val="20"/>
                <w:color w:val="auto"/>
              </w:rPr>
            </w:pPr>
            <w:r>
              <w:rPr>
                <w:rFonts w:ascii="Arial" w:cs="Arial" w:eastAsia="Arial" w:hAnsi="Arial"/>
                <w:sz w:val="16"/>
                <w:szCs w:val="16"/>
                <w:b w:val="1"/>
                <w:bCs w:val="1"/>
                <w:color w:val="auto"/>
              </w:rPr>
              <w:t>Member</w:t>
            </w:r>
          </w:p>
        </w:tc>
        <w:tc>
          <w:tcPr>
            <w:tcW w:w="280" w:type="dxa"/>
            <w:vAlign w:val="bottom"/>
          </w:tcPr>
          <w:p>
            <w:pPr>
              <w:spacing w:after="0"/>
              <w:rPr>
                <w:sz w:val="22"/>
                <w:szCs w:val="22"/>
                <w:color w:val="auto"/>
              </w:rPr>
            </w:pPr>
          </w:p>
        </w:tc>
        <w:tc>
          <w:tcPr>
            <w:tcW w:w="2460" w:type="dxa"/>
            <w:vAlign w:val="bottom"/>
            <w:gridSpan w:val="5"/>
          </w:tcPr>
          <w:p>
            <w:pPr>
              <w:ind w:left="340"/>
              <w:spacing w:after="0"/>
              <w:rPr>
                <w:sz w:val="20"/>
                <w:szCs w:val="20"/>
                <w:color w:val="auto"/>
              </w:rPr>
            </w:pPr>
            <w:r>
              <w:rPr>
                <w:rFonts w:ascii="Arial" w:cs="Arial" w:eastAsia="Arial" w:hAnsi="Arial"/>
                <w:sz w:val="16"/>
                <w:szCs w:val="16"/>
                <w:b w:val="1"/>
                <w:bCs w:val="1"/>
                <w:color w:val="auto"/>
              </w:rPr>
              <w:t>Premium Revenue</w:t>
            </w:r>
          </w:p>
        </w:tc>
        <w:tc>
          <w:tcPr>
            <w:tcW w:w="280" w:type="dxa"/>
            <w:vAlign w:val="bottom"/>
          </w:tcPr>
          <w:p>
            <w:pPr>
              <w:spacing w:after="0"/>
              <w:rPr>
                <w:sz w:val="22"/>
                <w:szCs w:val="22"/>
                <w:color w:val="auto"/>
              </w:rPr>
            </w:pPr>
          </w:p>
        </w:tc>
        <w:tc>
          <w:tcPr>
            <w:tcW w:w="2340" w:type="dxa"/>
            <w:vAlign w:val="bottom"/>
            <w:gridSpan w:val="4"/>
          </w:tcPr>
          <w:p>
            <w:pPr>
              <w:jc w:val="right"/>
              <w:ind w:right="479"/>
              <w:spacing w:after="0"/>
              <w:rPr>
                <w:sz w:val="20"/>
                <w:szCs w:val="20"/>
                <w:color w:val="auto"/>
              </w:rPr>
            </w:pPr>
            <w:r>
              <w:rPr>
                <w:rFonts w:ascii="Arial" w:cs="Arial" w:eastAsia="Arial" w:hAnsi="Arial"/>
                <w:sz w:val="16"/>
                <w:szCs w:val="16"/>
                <w:b w:val="1"/>
                <w:bCs w:val="1"/>
                <w:color w:val="auto"/>
              </w:rPr>
              <w:t>Medical Care Costs</w:t>
            </w:r>
          </w:p>
        </w:tc>
        <w:tc>
          <w:tcPr>
            <w:tcW w:w="10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1"/>
        </w:trPr>
        <w:tc>
          <w:tcPr>
            <w:tcW w:w="1940" w:type="dxa"/>
            <w:vAlign w:val="bottom"/>
          </w:tcPr>
          <w:p>
            <w:pPr>
              <w:spacing w:after="0"/>
              <w:rPr>
                <w:sz w:val="2"/>
                <w:szCs w:val="2"/>
                <w:color w:val="auto"/>
              </w:rPr>
            </w:pPr>
          </w:p>
        </w:tc>
        <w:tc>
          <w:tcPr>
            <w:tcW w:w="1340" w:type="dxa"/>
            <w:vAlign w:val="bottom"/>
            <w:gridSpan w:val="2"/>
            <w:vMerge w:val="continue"/>
          </w:tcPr>
          <w:p>
            <w:pPr>
              <w:spacing w:after="0"/>
              <w:rPr>
                <w:sz w:val="2"/>
                <w:szCs w:val="2"/>
                <w:color w:val="auto"/>
              </w:rPr>
            </w:pPr>
          </w:p>
        </w:tc>
        <w:tc>
          <w:tcPr>
            <w:tcW w:w="280" w:type="dxa"/>
            <w:vAlign w:val="bottom"/>
            <w:tcBorders>
              <w:top w:val="single" w:sz="8" w:color="auto"/>
            </w:tcBorders>
          </w:tcPr>
          <w:p>
            <w:pPr>
              <w:spacing w:after="0"/>
              <w:rPr>
                <w:sz w:val="2"/>
                <w:szCs w:val="2"/>
                <w:color w:val="auto"/>
              </w:rPr>
            </w:pPr>
          </w:p>
        </w:tc>
        <w:tc>
          <w:tcPr>
            <w:tcW w:w="980" w:type="dxa"/>
            <w:vAlign w:val="bottom"/>
            <w:tcBorders>
              <w:top w:val="single" w:sz="8" w:color="auto"/>
            </w:tcBorders>
          </w:tcPr>
          <w:p>
            <w:pPr>
              <w:spacing w:after="0"/>
              <w:rPr>
                <w:sz w:val="2"/>
                <w:szCs w:val="2"/>
                <w:color w:val="auto"/>
              </w:rPr>
            </w:pPr>
          </w:p>
        </w:tc>
        <w:tc>
          <w:tcPr>
            <w:tcW w:w="120" w:type="dxa"/>
            <w:vAlign w:val="bottom"/>
            <w:tcBorders>
              <w:top w:val="single" w:sz="8" w:color="auto"/>
            </w:tcBorders>
          </w:tcPr>
          <w:p>
            <w:pPr>
              <w:spacing w:after="0"/>
              <w:rPr>
                <w:sz w:val="2"/>
                <w:szCs w:val="2"/>
                <w:color w:val="auto"/>
              </w:rPr>
            </w:pPr>
          </w:p>
        </w:tc>
        <w:tc>
          <w:tcPr>
            <w:tcW w:w="240" w:type="dxa"/>
            <w:vAlign w:val="bottom"/>
            <w:tcBorders>
              <w:top w:val="single" w:sz="8" w:color="auto"/>
            </w:tcBorders>
          </w:tcPr>
          <w:p>
            <w:pPr>
              <w:spacing w:after="0"/>
              <w:rPr>
                <w:sz w:val="2"/>
                <w:szCs w:val="2"/>
                <w:color w:val="auto"/>
              </w:rPr>
            </w:pPr>
          </w:p>
        </w:tc>
        <w:tc>
          <w:tcPr>
            <w:tcW w:w="1000" w:type="dxa"/>
            <w:vAlign w:val="bottom"/>
            <w:tcBorders>
              <w:top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top w:val="single" w:sz="8" w:color="auto"/>
            </w:tcBorders>
          </w:tcPr>
          <w:p>
            <w:pPr>
              <w:spacing w:after="0"/>
              <w:rPr>
                <w:sz w:val="2"/>
                <w:szCs w:val="2"/>
                <w:color w:val="auto"/>
              </w:rPr>
            </w:pPr>
          </w:p>
        </w:tc>
        <w:tc>
          <w:tcPr>
            <w:tcW w:w="980" w:type="dxa"/>
            <w:vAlign w:val="bottom"/>
            <w:tcBorders>
              <w:top w:val="single" w:sz="8" w:color="auto"/>
            </w:tcBorders>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260" w:type="dxa"/>
            <w:vAlign w:val="bottom"/>
            <w:tcBorders>
              <w:top w:val="single" w:sz="8" w:color="auto"/>
            </w:tcBorders>
          </w:tcPr>
          <w:p>
            <w:pPr>
              <w:spacing w:after="0"/>
              <w:rPr>
                <w:sz w:val="2"/>
                <w:szCs w:val="2"/>
                <w:color w:val="auto"/>
              </w:rPr>
            </w:pPr>
          </w:p>
        </w:tc>
        <w:tc>
          <w:tcPr>
            <w:tcW w:w="100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6"/>
        </w:trPr>
        <w:tc>
          <w:tcPr>
            <w:tcW w:w="1940" w:type="dxa"/>
            <w:vAlign w:val="bottom"/>
            <w:tcBorders>
              <w:bottom w:val="single" w:sz="8" w:color="CCEEFF"/>
            </w:tcBorders>
          </w:tcPr>
          <w:p>
            <w:pPr>
              <w:spacing w:after="0"/>
              <w:rPr>
                <w:sz w:val="20"/>
                <w:szCs w:val="20"/>
                <w:color w:val="auto"/>
              </w:rPr>
            </w:pPr>
          </w:p>
        </w:tc>
        <w:tc>
          <w:tcPr>
            <w:tcW w:w="1240" w:type="dxa"/>
            <w:vAlign w:val="bottom"/>
            <w:tcBorders>
              <w:bottom w:val="single" w:sz="8" w:color="auto"/>
            </w:tcBorders>
          </w:tcPr>
          <w:p>
            <w:pPr>
              <w:jc w:val="center"/>
              <w:spacing w:after="0" w:line="236" w:lineRule="exact"/>
              <w:rPr>
                <w:sz w:val="20"/>
                <w:szCs w:val="20"/>
                <w:color w:val="auto"/>
              </w:rPr>
            </w:pPr>
            <w:r>
              <w:rPr>
                <w:rFonts w:ascii="Arial" w:cs="Arial" w:eastAsia="Arial" w:hAnsi="Arial"/>
                <w:sz w:val="16"/>
                <w:szCs w:val="16"/>
                <w:b w:val="1"/>
                <w:bCs w:val="1"/>
                <w:color w:val="auto"/>
                <w:w w:val="96"/>
              </w:rPr>
              <w:t xml:space="preserve">Months </w:t>
            </w:r>
            <w:r>
              <w:rPr>
                <w:rFonts w:ascii="Arial" w:cs="Arial" w:eastAsia="Arial" w:hAnsi="Arial"/>
                <w:sz w:val="21"/>
                <w:szCs w:val="21"/>
                <w:b w:val="1"/>
                <w:bCs w:val="1"/>
                <w:color w:val="auto"/>
                <w:w w:val="96"/>
                <w:vertAlign w:val="superscript"/>
              </w:rPr>
              <w:t>(1)</w:t>
            </w:r>
          </w:p>
        </w:tc>
        <w:tc>
          <w:tcPr>
            <w:tcW w:w="10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b w:val="1"/>
                <w:bCs w:val="1"/>
                <w:color w:val="auto"/>
              </w:rPr>
              <w:t>Total</w:t>
            </w:r>
          </w:p>
        </w:tc>
        <w:tc>
          <w:tcPr>
            <w:tcW w:w="12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PMPM</w:t>
            </w:r>
          </w:p>
        </w:tc>
        <w:tc>
          <w:tcPr>
            <w:tcW w:w="12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b w:val="1"/>
                <w:bCs w:val="1"/>
                <w:color w:val="auto"/>
              </w:rPr>
              <w:t>Total</w:t>
            </w:r>
          </w:p>
        </w:tc>
        <w:tc>
          <w:tcPr>
            <w:tcW w:w="10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PMPM</w:t>
            </w:r>
          </w:p>
        </w:tc>
        <w:tc>
          <w:tcPr>
            <w:tcW w:w="100" w:type="dxa"/>
            <w:vAlign w:val="bottom"/>
            <w:tcBorders>
              <w:bottom w:val="single" w:sz="8" w:color="CCEEFF"/>
            </w:tcBorders>
          </w:tcPr>
          <w:p>
            <w:pPr>
              <w:spacing w:after="0"/>
              <w:rPr>
                <w:sz w:val="20"/>
                <w:szCs w:val="20"/>
                <w:color w:val="auto"/>
              </w:rPr>
            </w:pPr>
          </w:p>
        </w:tc>
        <w:tc>
          <w:tcPr>
            <w:tcW w:w="1320" w:type="dxa"/>
            <w:vAlign w:val="bottom"/>
            <w:tcBorders>
              <w:bottom w:val="single" w:sz="8" w:color="auto"/>
            </w:tcBorders>
          </w:tcPr>
          <w:p>
            <w:pPr>
              <w:ind w:left="380"/>
              <w:spacing w:after="0" w:line="236" w:lineRule="exact"/>
              <w:rPr>
                <w:sz w:val="20"/>
                <w:szCs w:val="20"/>
                <w:color w:val="auto"/>
              </w:rPr>
            </w:pPr>
            <w:r>
              <w:rPr>
                <w:rFonts w:ascii="Arial" w:cs="Arial" w:eastAsia="Arial" w:hAnsi="Arial"/>
                <w:sz w:val="27"/>
                <w:szCs w:val="27"/>
                <w:b w:val="1"/>
                <w:bCs w:val="1"/>
                <w:color w:val="auto"/>
                <w:vertAlign w:val="subscript"/>
              </w:rPr>
              <w:t>MCR</w:t>
            </w:r>
            <w:r>
              <w:rPr>
                <w:rFonts w:ascii="Arial" w:cs="Arial" w:eastAsia="Arial" w:hAnsi="Arial"/>
                <w:sz w:val="10"/>
                <w:szCs w:val="10"/>
                <w:b w:val="1"/>
                <w:bCs w:val="1"/>
                <w:color w:val="auto"/>
              </w:rPr>
              <w:t xml:space="preserve"> (2)</w:t>
            </w:r>
          </w:p>
        </w:tc>
        <w:tc>
          <w:tcPr>
            <w:tcW w:w="100" w:type="dxa"/>
            <w:vAlign w:val="bottom"/>
            <w:tcBorders>
              <w:bottom w:val="single" w:sz="8" w:color="CCEEFF"/>
            </w:tcBorders>
          </w:tcPr>
          <w:p>
            <w:pPr>
              <w:spacing w:after="0"/>
              <w:rPr>
                <w:sz w:val="20"/>
                <w:szCs w:val="20"/>
                <w:color w:val="auto"/>
              </w:rPr>
            </w:pPr>
          </w:p>
        </w:tc>
        <w:tc>
          <w:tcPr>
            <w:tcW w:w="1260" w:type="dxa"/>
            <w:vAlign w:val="bottom"/>
            <w:tcBorders>
              <w:bottom w:val="single" w:sz="8" w:color="auto"/>
            </w:tcBorders>
            <w:gridSpan w:val="2"/>
          </w:tcPr>
          <w:p>
            <w:pPr>
              <w:ind w:left="40"/>
              <w:spacing w:after="0"/>
              <w:rPr>
                <w:sz w:val="20"/>
                <w:szCs w:val="20"/>
                <w:color w:val="auto"/>
              </w:rPr>
            </w:pPr>
            <w:r>
              <w:rPr>
                <w:rFonts w:ascii="Arial" w:cs="Arial" w:eastAsia="Arial" w:hAnsi="Arial"/>
                <w:sz w:val="16"/>
                <w:szCs w:val="16"/>
                <w:b w:val="1"/>
                <w:bCs w:val="1"/>
                <w:color w:val="auto"/>
              </w:rPr>
              <w:t>Medical Margin</w:t>
            </w:r>
          </w:p>
        </w:tc>
        <w:tc>
          <w:tcPr>
            <w:tcW w:w="0" w:type="dxa"/>
            <w:vAlign w:val="bottom"/>
          </w:tcPr>
          <w:p>
            <w:pPr>
              <w:spacing w:after="0"/>
              <w:rPr>
                <w:sz w:val="1"/>
                <w:szCs w:val="1"/>
                <w:color w:val="auto"/>
              </w:rPr>
            </w:pPr>
          </w:p>
        </w:tc>
      </w:tr>
      <w:tr>
        <w:trPr>
          <w:trHeight w:val="250"/>
        </w:trPr>
        <w:tc>
          <w:tcPr>
            <w:tcW w:w="1940" w:type="dxa"/>
            <w:vAlign w:val="bottom"/>
            <w:shd w:val="clear" w:color="auto" w:fill="CCEEFF"/>
          </w:tcPr>
          <w:p>
            <w:pPr>
              <w:ind w:left="40"/>
              <w:spacing w:after="0"/>
              <w:rPr>
                <w:sz w:val="20"/>
                <w:szCs w:val="20"/>
                <w:color w:val="auto"/>
              </w:rPr>
            </w:pPr>
            <w:r>
              <w:rPr>
                <w:rFonts w:ascii="Arial" w:cs="Arial" w:eastAsia="Arial" w:hAnsi="Arial"/>
                <w:sz w:val="16"/>
                <w:szCs w:val="16"/>
                <w:color w:val="auto"/>
              </w:rPr>
              <w:t>TANF and CHIP</w:t>
            </w:r>
          </w:p>
        </w:tc>
        <w:tc>
          <w:tcPr>
            <w:tcW w:w="12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7.6</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9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1,373</w:t>
            </w:r>
          </w:p>
        </w:tc>
        <w:tc>
          <w:tcPr>
            <w:tcW w:w="3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10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180.74</w:t>
            </w:r>
          </w:p>
        </w:tc>
        <w:tc>
          <w:tcPr>
            <w:tcW w:w="120" w:type="dxa"/>
            <w:vAlign w:val="bottom"/>
            <w:shd w:val="clear" w:color="auto" w:fill="CCEEFF"/>
          </w:tcPr>
          <w:p>
            <w:pPr>
              <w:spacing w:after="0"/>
              <w:rPr>
                <w:sz w:val="21"/>
                <w:szCs w:val="21"/>
                <w:color w:val="auto"/>
              </w:rPr>
            </w:pPr>
          </w:p>
        </w:tc>
        <w:tc>
          <w:tcPr>
            <w:tcW w:w="2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9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1,246</w:t>
            </w:r>
          </w:p>
        </w:tc>
        <w:tc>
          <w:tcPr>
            <w:tcW w:w="36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0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164.04</w:t>
            </w:r>
          </w:p>
        </w:tc>
        <w:tc>
          <w:tcPr>
            <w:tcW w:w="1420" w:type="dxa"/>
            <w:vAlign w:val="bottom"/>
            <w:gridSpan w:val="2"/>
            <w:shd w:val="clear" w:color="auto" w:fill="CCEEFF"/>
          </w:tcPr>
          <w:p>
            <w:pPr>
              <w:ind w:left="920"/>
              <w:spacing w:after="0"/>
              <w:rPr>
                <w:sz w:val="20"/>
                <w:szCs w:val="20"/>
                <w:color w:val="auto"/>
              </w:rPr>
            </w:pPr>
            <w:r>
              <w:rPr>
                <w:rFonts w:ascii="Arial" w:cs="Arial" w:eastAsia="Arial" w:hAnsi="Arial"/>
                <w:sz w:val="16"/>
                <w:szCs w:val="16"/>
                <w:color w:val="auto"/>
              </w:rPr>
              <w:t>90.8%</w:t>
            </w:r>
          </w:p>
        </w:tc>
        <w:tc>
          <w:tcPr>
            <w:tcW w:w="100" w:type="dxa"/>
            <w:vAlign w:val="bottom"/>
            <w:shd w:val="clear" w:color="auto" w:fill="CCEEFF"/>
          </w:tcPr>
          <w:p>
            <w:pPr>
              <w:spacing w:after="0"/>
              <w:rPr>
                <w:sz w:val="21"/>
                <w:szCs w:val="21"/>
                <w:color w:val="auto"/>
              </w:rPr>
            </w:pPr>
          </w:p>
        </w:tc>
        <w:tc>
          <w:tcPr>
            <w:tcW w:w="500" w:type="dxa"/>
            <w:vAlign w:val="bottom"/>
            <w:shd w:val="clear" w:color="auto" w:fill="CCEEFF"/>
          </w:tcPr>
          <w:p>
            <w:pPr>
              <w:ind w:left="40"/>
              <w:spacing w:after="0"/>
              <w:rPr>
                <w:sz w:val="20"/>
                <w:szCs w:val="20"/>
                <w:color w:val="auto"/>
              </w:rPr>
            </w:pPr>
            <w:r>
              <w:rPr>
                <w:rFonts w:ascii="Arial" w:cs="Arial" w:eastAsia="Arial" w:hAnsi="Arial"/>
                <w:sz w:val="16"/>
                <w:szCs w:val="16"/>
                <w:color w:val="auto"/>
              </w:rPr>
              <w:t>$</w:t>
            </w:r>
          </w:p>
        </w:tc>
        <w:tc>
          <w:tcPr>
            <w:tcW w:w="7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127</w:t>
            </w:r>
          </w:p>
        </w:tc>
        <w:tc>
          <w:tcPr>
            <w:tcW w:w="0" w:type="dxa"/>
            <w:vAlign w:val="bottom"/>
          </w:tcPr>
          <w:p>
            <w:pPr>
              <w:spacing w:after="0"/>
              <w:rPr>
                <w:sz w:val="1"/>
                <w:szCs w:val="1"/>
                <w:color w:val="auto"/>
              </w:rPr>
            </w:pPr>
          </w:p>
        </w:tc>
      </w:tr>
      <w:tr>
        <w:trPr>
          <w:trHeight w:val="262"/>
        </w:trPr>
        <w:tc>
          <w:tcPr>
            <w:tcW w:w="1940" w:type="dxa"/>
            <w:vAlign w:val="bottom"/>
          </w:tcPr>
          <w:p>
            <w:pPr>
              <w:ind w:left="40"/>
              <w:spacing w:after="0"/>
              <w:rPr>
                <w:sz w:val="20"/>
                <w:szCs w:val="20"/>
                <w:color w:val="auto"/>
              </w:rPr>
            </w:pPr>
            <w:r>
              <w:rPr>
                <w:rFonts w:ascii="Arial" w:cs="Arial" w:eastAsia="Arial" w:hAnsi="Arial"/>
                <w:sz w:val="16"/>
                <w:szCs w:val="16"/>
                <w:color w:val="auto"/>
              </w:rPr>
              <w:t>Medicaid Expansion</w:t>
            </w:r>
          </w:p>
        </w:tc>
        <w:tc>
          <w:tcPr>
            <w:tcW w:w="1240" w:type="dxa"/>
            <w:vAlign w:val="bottom"/>
          </w:tcPr>
          <w:p>
            <w:pPr>
              <w:jc w:val="right"/>
              <w:ind w:right="19"/>
              <w:spacing w:after="0"/>
              <w:rPr>
                <w:sz w:val="20"/>
                <w:szCs w:val="20"/>
                <w:color w:val="auto"/>
              </w:rPr>
            </w:pPr>
            <w:r>
              <w:rPr>
                <w:rFonts w:ascii="Arial" w:cs="Arial" w:eastAsia="Arial" w:hAnsi="Arial"/>
                <w:sz w:val="16"/>
                <w:szCs w:val="16"/>
                <w:color w:val="auto"/>
              </w:rPr>
              <w:t>2.0</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763</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386.98</w:t>
            </w: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642</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325.68</w:t>
            </w:r>
          </w:p>
        </w:tc>
        <w:tc>
          <w:tcPr>
            <w:tcW w:w="1420" w:type="dxa"/>
            <w:vAlign w:val="bottom"/>
            <w:gridSpan w:val="2"/>
          </w:tcPr>
          <w:p>
            <w:pPr>
              <w:ind w:left="920"/>
              <w:spacing w:after="0"/>
              <w:rPr>
                <w:sz w:val="20"/>
                <w:szCs w:val="20"/>
                <w:color w:val="auto"/>
              </w:rPr>
            </w:pPr>
            <w:r>
              <w:rPr>
                <w:rFonts w:ascii="Arial" w:cs="Arial" w:eastAsia="Arial" w:hAnsi="Arial"/>
                <w:sz w:val="16"/>
                <w:szCs w:val="16"/>
                <w:color w:val="auto"/>
              </w:rPr>
              <w:t>84.2</w:t>
            </w:r>
          </w:p>
        </w:tc>
        <w:tc>
          <w:tcPr>
            <w:tcW w:w="1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760" w:type="dxa"/>
            <w:vAlign w:val="bottom"/>
          </w:tcPr>
          <w:p>
            <w:pPr>
              <w:jc w:val="right"/>
              <w:ind w:right="19"/>
              <w:spacing w:after="0"/>
              <w:rPr>
                <w:sz w:val="20"/>
                <w:szCs w:val="20"/>
                <w:color w:val="auto"/>
              </w:rPr>
            </w:pPr>
            <w:r>
              <w:rPr>
                <w:rFonts w:ascii="Arial" w:cs="Arial" w:eastAsia="Arial" w:hAnsi="Arial"/>
                <w:sz w:val="16"/>
                <w:szCs w:val="16"/>
                <w:color w:val="auto"/>
              </w:rPr>
              <w:t>121</w:t>
            </w:r>
          </w:p>
        </w:tc>
        <w:tc>
          <w:tcPr>
            <w:tcW w:w="0" w:type="dxa"/>
            <w:vAlign w:val="bottom"/>
          </w:tcPr>
          <w:p>
            <w:pPr>
              <w:spacing w:after="0"/>
              <w:rPr>
                <w:sz w:val="1"/>
                <w:szCs w:val="1"/>
                <w:color w:val="auto"/>
              </w:rPr>
            </w:pPr>
          </w:p>
        </w:tc>
      </w:tr>
      <w:tr>
        <w:trPr>
          <w:trHeight w:val="271"/>
        </w:trPr>
        <w:tc>
          <w:tcPr>
            <w:tcW w:w="1940" w:type="dxa"/>
            <w:vAlign w:val="bottom"/>
            <w:shd w:val="clear" w:color="auto" w:fill="CCEEFF"/>
          </w:tcPr>
          <w:p>
            <w:pPr>
              <w:ind w:left="40"/>
              <w:spacing w:after="0"/>
              <w:rPr>
                <w:sz w:val="20"/>
                <w:szCs w:val="20"/>
                <w:color w:val="auto"/>
              </w:rPr>
            </w:pPr>
            <w:r>
              <w:rPr>
                <w:rFonts w:ascii="Arial" w:cs="Arial" w:eastAsia="Arial" w:hAnsi="Arial"/>
                <w:sz w:val="16"/>
                <w:szCs w:val="16"/>
                <w:color w:val="auto"/>
              </w:rPr>
              <w:t>ABD</w:t>
            </w:r>
          </w:p>
        </w:tc>
        <w:tc>
          <w:tcPr>
            <w:tcW w:w="12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1.1</w:t>
            </w:r>
          </w:p>
        </w:tc>
        <w:tc>
          <w:tcPr>
            <w:tcW w:w="100" w:type="dxa"/>
            <w:vAlign w:val="bottom"/>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spacing w:after="0"/>
              <w:rPr>
                <w:sz w:val="23"/>
                <w:szCs w:val="23"/>
                <w:color w:val="auto"/>
              </w:rPr>
            </w:pPr>
          </w:p>
        </w:tc>
        <w:tc>
          <w:tcPr>
            <w:tcW w:w="9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1,186</w:t>
            </w: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1,008.28</w:t>
            </w:r>
          </w:p>
        </w:tc>
        <w:tc>
          <w:tcPr>
            <w:tcW w:w="120" w:type="dxa"/>
            <w:vAlign w:val="bottom"/>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spacing w:after="0"/>
              <w:rPr>
                <w:sz w:val="23"/>
                <w:szCs w:val="23"/>
                <w:color w:val="auto"/>
              </w:rPr>
            </w:pPr>
          </w:p>
        </w:tc>
        <w:tc>
          <w:tcPr>
            <w:tcW w:w="98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1,094</w:t>
            </w: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929.93</w:t>
            </w:r>
          </w:p>
        </w:tc>
        <w:tc>
          <w:tcPr>
            <w:tcW w:w="1420" w:type="dxa"/>
            <w:vAlign w:val="bottom"/>
            <w:gridSpan w:val="2"/>
            <w:shd w:val="clear" w:color="auto" w:fill="CCEEFF"/>
          </w:tcPr>
          <w:p>
            <w:pPr>
              <w:ind w:left="920"/>
              <w:spacing w:after="0"/>
              <w:rPr>
                <w:sz w:val="20"/>
                <w:szCs w:val="20"/>
                <w:color w:val="auto"/>
              </w:rPr>
            </w:pPr>
            <w:r>
              <w:rPr>
                <w:rFonts w:ascii="Arial" w:cs="Arial" w:eastAsia="Arial" w:hAnsi="Arial"/>
                <w:sz w:val="16"/>
                <w:szCs w:val="16"/>
                <w:color w:val="auto"/>
              </w:rPr>
              <w:t>92.2</w:t>
            </w:r>
          </w:p>
        </w:tc>
        <w:tc>
          <w:tcPr>
            <w:tcW w:w="100" w:type="dxa"/>
            <w:vAlign w:val="bottom"/>
            <w:shd w:val="clear" w:color="auto" w:fill="CCEEFF"/>
          </w:tcPr>
          <w:p>
            <w:pPr>
              <w:spacing w:after="0"/>
              <w:rPr>
                <w:sz w:val="23"/>
                <w:szCs w:val="23"/>
                <w:color w:val="auto"/>
              </w:rPr>
            </w:pPr>
          </w:p>
        </w:tc>
        <w:tc>
          <w:tcPr>
            <w:tcW w:w="500" w:type="dxa"/>
            <w:vAlign w:val="bottom"/>
            <w:tcBorders>
              <w:bottom w:val="single" w:sz="8" w:color="auto"/>
            </w:tcBorders>
            <w:shd w:val="clear" w:color="auto" w:fill="CCEEFF"/>
          </w:tcPr>
          <w:p>
            <w:pPr>
              <w:spacing w:after="0"/>
              <w:rPr>
                <w:sz w:val="23"/>
                <w:szCs w:val="23"/>
                <w:color w:val="auto"/>
              </w:rPr>
            </w:pPr>
          </w:p>
        </w:tc>
        <w:tc>
          <w:tcPr>
            <w:tcW w:w="7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92</w:t>
            </w:r>
          </w:p>
        </w:tc>
        <w:tc>
          <w:tcPr>
            <w:tcW w:w="0" w:type="dxa"/>
            <w:vAlign w:val="bottom"/>
          </w:tcPr>
          <w:p>
            <w:pPr>
              <w:spacing w:after="0"/>
              <w:rPr>
                <w:sz w:val="1"/>
                <w:szCs w:val="1"/>
                <w:color w:val="auto"/>
              </w:rPr>
            </w:pPr>
          </w:p>
        </w:tc>
      </w:tr>
      <w:tr>
        <w:trPr>
          <w:trHeight w:val="250"/>
        </w:trPr>
        <w:tc>
          <w:tcPr>
            <w:tcW w:w="1940" w:type="dxa"/>
            <w:vAlign w:val="bottom"/>
            <w:tcBorders>
              <w:bottom w:val="single" w:sz="8" w:color="CCEEFF"/>
            </w:tcBorders>
          </w:tcPr>
          <w:p>
            <w:pPr>
              <w:ind w:left="180"/>
              <w:spacing w:after="0"/>
              <w:rPr>
                <w:sz w:val="20"/>
                <w:szCs w:val="20"/>
                <w:color w:val="auto"/>
              </w:rPr>
            </w:pPr>
            <w:r>
              <w:rPr>
                <w:rFonts w:ascii="Arial" w:cs="Arial" w:eastAsia="Arial" w:hAnsi="Arial"/>
                <w:sz w:val="16"/>
                <w:szCs w:val="16"/>
                <w:color w:val="auto"/>
              </w:rPr>
              <w:t>Total Medicaid</w:t>
            </w:r>
          </w:p>
        </w:tc>
        <w:tc>
          <w:tcPr>
            <w:tcW w:w="12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10.7</w:t>
            </w:r>
          </w:p>
        </w:tc>
        <w:tc>
          <w:tcPr>
            <w:tcW w:w="100" w:type="dxa"/>
            <w:vAlign w:val="bottom"/>
            <w:tcBorders>
              <w:bottom w:val="single" w:sz="8" w:color="CCEEFF"/>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3,322</w:t>
            </w:r>
          </w:p>
        </w:tc>
        <w:tc>
          <w:tcPr>
            <w:tcW w:w="120" w:type="dxa"/>
            <w:vAlign w:val="bottom"/>
            <w:tcBorders>
              <w:bottom w:val="single" w:sz="8" w:color="CCEEFF"/>
            </w:tcBorders>
          </w:tcPr>
          <w:p>
            <w:pPr>
              <w:spacing w:after="0"/>
              <w:rPr>
                <w:sz w:val="21"/>
                <w:szCs w:val="21"/>
                <w:color w:val="auto"/>
              </w:rPr>
            </w:pPr>
          </w:p>
        </w:tc>
        <w:tc>
          <w:tcPr>
            <w:tcW w:w="240" w:type="dxa"/>
            <w:vAlign w:val="bottom"/>
            <w:tcBorders>
              <w:bottom w:val="single" w:sz="8" w:color="CCEEFF"/>
            </w:tcBorders>
          </w:tcPr>
          <w:p>
            <w:pPr>
              <w:spacing w:after="0"/>
              <w:rPr>
                <w:sz w:val="21"/>
                <w:szCs w:val="21"/>
                <w:color w:val="auto"/>
              </w:rPr>
            </w:pPr>
          </w:p>
        </w:tc>
        <w:tc>
          <w:tcPr>
            <w:tcW w:w="1000" w:type="dxa"/>
            <w:vAlign w:val="bottom"/>
            <w:tcBorders>
              <w:bottom w:val="single" w:sz="8" w:color="CCEEFF"/>
            </w:tcBorders>
          </w:tcPr>
          <w:p>
            <w:pPr>
              <w:jc w:val="right"/>
              <w:ind w:right="19"/>
              <w:spacing w:after="0"/>
              <w:rPr>
                <w:sz w:val="20"/>
                <w:szCs w:val="20"/>
                <w:color w:val="auto"/>
              </w:rPr>
            </w:pPr>
            <w:r>
              <w:rPr>
                <w:rFonts w:ascii="Arial" w:cs="Arial" w:eastAsia="Arial" w:hAnsi="Arial"/>
                <w:sz w:val="16"/>
                <w:szCs w:val="16"/>
                <w:color w:val="auto"/>
              </w:rPr>
              <w:t>309.19</w:t>
            </w:r>
          </w:p>
        </w:tc>
        <w:tc>
          <w:tcPr>
            <w:tcW w:w="120" w:type="dxa"/>
            <w:vAlign w:val="bottom"/>
            <w:tcBorders>
              <w:bottom w:val="single" w:sz="8" w:color="CCEEFF"/>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2,982</w:t>
            </w:r>
          </w:p>
        </w:tc>
        <w:tc>
          <w:tcPr>
            <w:tcW w:w="100" w:type="dxa"/>
            <w:vAlign w:val="bottom"/>
            <w:tcBorders>
              <w:bottom w:val="single" w:sz="8" w:color="CCEEFF"/>
            </w:tcBorders>
          </w:tcPr>
          <w:p>
            <w:pPr>
              <w:spacing w:after="0"/>
              <w:rPr>
                <w:sz w:val="21"/>
                <w:szCs w:val="21"/>
                <w:color w:val="auto"/>
              </w:rPr>
            </w:pPr>
          </w:p>
        </w:tc>
        <w:tc>
          <w:tcPr>
            <w:tcW w:w="260" w:type="dxa"/>
            <w:vAlign w:val="bottom"/>
            <w:tcBorders>
              <w:bottom w:val="single" w:sz="8" w:color="CCEEFF"/>
            </w:tcBorders>
          </w:tcPr>
          <w:p>
            <w:pPr>
              <w:spacing w:after="0"/>
              <w:rPr>
                <w:sz w:val="21"/>
                <w:szCs w:val="21"/>
                <w:color w:val="auto"/>
              </w:rPr>
            </w:pPr>
          </w:p>
        </w:tc>
        <w:tc>
          <w:tcPr>
            <w:tcW w:w="1000" w:type="dxa"/>
            <w:vAlign w:val="bottom"/>
            <w:tcBorders>
              <w:bottom w:val="single" w:sz="8" w:color="CCEEFF"/>
            </w:tcBorders>
          </w:tcPr>
          <w:p>
            <w:pPr>
              <w:jc w:val="right"/>
              <w:ind w:right="39"/>
              <w:spacing w:after="0"/>
              <w:rPr>
                <w:sz w:val="20"/>
                <w:szCs w:val="20"/>
                <w:color w:val="auto"/>
              </w:rPr>
            </w:pPr>
            <w:r>
              <w:rPr>
                <w:rFonts w:ascii="Arial" w:cs="Arial" w:eastAsia="Arial" w:hAnsi="Arial"/>
                <w:sz w:val="16"/>
                <w:szCs w:val="16"/>
                <w:color w:val="auto"/>
              </w:rPr>
              <w:t>277.55</w:t>
            </w:r>
          </w:p>
        </w:tc>
        <w:tc>
          <w:tcPr>
            <w:tcW w:w="1420" w:type="dxa"/>
            <w:vAlign w:val="bottom"/>
            <w:tcBorders>
              <w:bottom w:val="single" w:sz="8" w:color="CCEEFF"/>
            </w:tcBorders>
            <w:gridSpan w:val="2"/>
          </w:tcPr>
          <w:p>
            <w:pPr>
              <w:ind w:left="920"/>
              <w:spacing w:after="0"/>
              <w:rPr>
                <w:sz w:val="20"/>
                <w:szCs w:val="20"/>
                <w:color w:val="auto"/>
              </w:rPr>
            </w:pPr>
            <w:r>
              <w:rPr>
                <w:rFonts w:ascii="Arial" w:cs="Arial" w:eastAsia="Arial" w:hAnsi="Arial"/>
                <w:sz w:val="16"/>
                <w:szCs w:val="16"/>
                <w:color w:val="auto"/>
              </w:rPr>
              <w:t>89.8</w:t>
            </w:r>
          </w:p>
        </w:tc>
        <w:tc>
          <w:tcPr>
            <w:tcW w:w="100" w:type="dxa"/>
            <w:vAlign w:val="bottom"/>
            <w:tcBorders>
              <w:bottom w:val="single" w:sz="8" w:color="CCEEFF"/>
            </w:tcBorders>
          </w:tcPr>
          <w:p>
            <w:pPr>
              <w:spacing w:after="0"/>
              <w:rPr>
                <w:sz w:val="21"/>
                <w:szCs w:val="21"/>
                <w:color w:val="auto"/>
              </w:rPr>
            </w:pPr>
          </w:p>
        </w:tc>
        <w:tc>
          <w:tcPr>
            <w:tcW w:w="50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340</w:t>
            </w:r>
          </w:p>
        </w:tc>
        <w:tc>
          <w:tcPr>
            <w:tcW w:w="0" w:type="dxa"/>
            <w:vAlign w:val="bottom"/>
          </w:tcPr>
          <w:p>
            <w:pPr>
              <w:spacing w:after="0"/>
              <w:rPr>
                <w:sz w:val="1"/>
                <w:szCs w:val="1"/>
                <w:color w:val="auto"/>
              </w:rPr>
            </w:pPr>
          </w:p>
        </w:tc>
      </w:tr>
      <w:tr>
        <w:trPr>
          <w:trHeight w:val="257"/>
        </w:trPr>
        <w:tc>
          <w:tcPr>
            <w:tcW w:w="1940" w:type="dxa"/>
            <w:vAlign w:val="bottom"/>
            <w:shd w:val="clear" w:color="auto" w:fill="CCEEFF"/>
          </w:tcPr>
          <w:p>
            <w:pPr>
              <w:ind w:left="40"/>
              <w:spacing w:after="0"/>
              <w:rPr>
                <w:sz w:val="20"/>
                <w:szCs w:val="20"/>
                <w:color w:val="auto"/>
              </w:rPr>
            </w:pPr>
            <w:r>
              <w:rPr>
                <w:rFonts w:ascii="Arial" w:cs="Arial" w:eastAsia="Arial" w:hAnsi="Arial"/>
                <w:sz w:val="16"/>
                <w:szCs w:val="16"/>
                <w:color w:val="auto"/>
              </w:rPr>
              <w:t>MMP</w:t>
            </w:r>
          </w:p>
        </w:tc>
        <w:tc>
          <w:tcPr>
            <w:tcW w:w="12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0.2</w:t>
            </w: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9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334</w:t>
            </w:r>
          </w:p>
        </w:tc>
        <w:tc>
          <w:tcPr>
            <w:tcW w:w="12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0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2,165.26</w:t>
            </w:r>
          </w:p>
        </w:tc>
        <w:tc>
          <w:tcPr>
            <w:tcW w:w="12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9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280</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0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1,818.75</w:t>
            </w:r>
          </w:p>
        </w:tc>
        <w:tc>
          <w:tcPr>
            <w:tcW w:w="1420" w:type="dxa"/>
            <w:vAlign w:val="bottom"/>
            <w:gridSpan w:val="2"/>
            <w:shd w:val="clear" w:color="auto" w:fill="CCEEFF"/>
          </w:tcPr>
          <w:p>
            <w:pPr>
              <w:ind w:left="920"/>
              <w:spacing w:after="0"/>
              <w:rPr>
                <w:sz w:val="20"/>
                <w:szCs w:val="20"/>
                <w:color w:val="auto"/>
              </w:rPr>
            </w:pPr>
            <w:r>
              <w:rPr>
                <w:rFonts w:ascii="Arial" w:cs="Arial" w:eastAsia="Arial" w:hAnsi="Arial"/>
                <w:sz w:val="16"/>
                <w:szCs w:val="16"/>
                <w:color w:val="auto"/>
              </w:rPr>
              <w:t>84.0</w:t>
            </w:r>
          </w:p>
        </w:tc>
        <w:tc>
          <w:tcPr>
            <w:tcW w:w="100" w:type="dxa"/>
            <w:vAlign w:val="bottom"/>
            <w:shd w:val="clear" w:color="auto" w:fill="CCEEFF"/>
          </w:tcPr>
          <w:p>
            <w:pPr>
              <w:spacing w:after="0"/>
              <w:rPr>
                <w:sz w:val="22"/>
                <w:szCs w:val="22"/>
                <w:color w:val="auto"/>
              </w:rPr>
            </w:pPr>
          </w:p>
        </w:tc>
        <w:tc>
          <w:tcPr>
            <w:tcW w:w="500" w:type="dxa"/>
            <w:vAlign w:val="bottom"/>
            <w:shd w:val="clear" w:color="auto" w:fill="CCEEFF"/>
          </w:tcPr>
          <w:p>
            <w:pPr>
              <w:spacing w:after="0"/>
              <w:rPr>
                <w:sz w:val="22"/>
                <w:szCs w:val="22"/>
                <w:color w:val="auto"/>
              </w:rPr>
            </w:pPr>
          </w:p>
        </w:tc>
        <w:tc>
          <w:tcPr>
            <w:tcW w:w="7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54</w:t>
            </w:r>
          </w:p>
        </w:tc>
        <w:tc>
          <w:tcPr>
            <w:tcW w:w="0" w:type="dxa"/>
            <w:vAlign w:val="bottom"/>
          </w:tcPr>
          <w:p>
            <w:pPr>
              <w:spacing w:after="0"/>
              <w:rPr>
                <w:sz w:val="1"/>
                <w:szCs w:val="1"/>
                <w:color w:val="auto"/>
              </w:rPr>
            </w:pPr>
          </w:p>
        </w:tc>
      </w:tr>
      <w:tr>
        <w:trPr>
          <w:trHeight w:val="264"/>
        </w:trPr>
        <w:tc>
          <w:tcPr>
            <w:tcW w:w="194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Medicare</w:t>
            </w:r>
          </w:p>
        </w:tc>
        <w:tc>
          <w:tcPr>
            <w:tcW w:w="12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0.1</w:t>
            </w: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136</w:t>
            </w:r>
          </w:p>
        </w:tc>
        <w:tc>
          <w:tcPr>
            <w:tcW w:w="120" w:type="dxa"/>
            <w:vAlign w:val="bottom"/>
            <w:tcBorders>
              <w:bottom w:val="single" w:sz="8" w:color="CCEEFF"/>
            </w:tcBorders>
          </w:tcPr>
          <w:p>
            <w:pPr>
              <w:spacing w:after="0"/>
              <w:rPr>
                <w:sz w:val="22"/>
                <w:szCs w:val="22"/>
                <w:color w:val="auto"/>
              </w:rPr>
            </w:pPr>
          </w:p>
        </w:tc>
        <w:tc>
          <w:tcPr>
            <w:tcW w:w="240" w:type="dxa"/>
            <w:vAlign w:val="bottom"/>
            <w:tcBorders>
              <w:bottom w:val="single" w:sz="8" w:color="CCEEFF"/>
            </w:tcBorders>
          </w:tcPr>
          <w:p>
            <w:pPr>
              <w:spacing w:after="0"/>
              <w:rPr>
                <w:sz w:val="22"/>
                <w:szCs w:val="22"/>
                <w:color w:val="auto"/>
              </w:rPr>
            </w:pPr>
          </w:p>
        </w:tc>
        <w:tc>
          <w:tcPr>
            <w:tcW w:w="1000" w:type="dxa"/>
            <w:vAlign w:val="bottom"/>
            <w:tcBorders>
              <w:bottom w:val="single" w:sz="8" w:color="CCEEFF"/>
            </w:tcBorders>
          </w:tcPr>
          <w:p>
            <w:pPr>
              <w:jc w:val="right"/>
              <w:ind w:right="19"/>
              <w:spacing w:after="0"/>
              <w:rPr>
                <w:sz w:val="20"/>
                <w:szCs w:val="20"/>
                <w:color w:val="auto"/>
              </w:rPr>
            </w:pPr>
            <w:r>
              <w:rPr>
                <w:rFonts w:ascii="Arial" w:cs="Arial" w:eastAsia="Arial" w:hAnsi="Arial"/>
                <w:sz w:val="16"/>
                <w:szCs w:val="16"/>
                <w:color w:val="auto"/>
              </w:rPr>
              <w:t>1,019.19</w:t>
            </w:r>
          </w:p>
        </w:tc>
        <w:tc>
          <w:tcPr>
            <w:tcW w:w="12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134</w:t>
            </w:r>
          </w:p>
        </w:tc>
        <w:tc>
          <w:tcPr>
            <w:tcW w:w="100" w:type="dxa"/>
            <w:vAlign w:val="bottom"/>
            <w:tcBorders>
              <w:bottom w:val="single" w:sz="8" w:color="CCEEFF"/>
            </w:tcBorders>
          </w:tcPr>
          <w:p>
            <w:pPr>
              <w:spacing w:after="0"/>
              <w:rPr>
                <w:sz w:val="22"/>
                <w:szCs w:val="22"/>
                <w:color w:val="auto"/>
              </w:rPr>
            </w:pPr>
          </w:p>
        </w:tc>
        <w:tc>
          <w:tcPr>
            <w:tcW w:w="260" w:type="dxa"/>
            <w:vAlign w:val="bottom"/>
            <w:tcBorders>
              <w:bottom w:val="single" w:sz="8" w:color="CCEEFF"/>
            </w:tcBorders>
          </w:tcPr>
          <w:p>
            <w:pPr>
              <w:spacing w:after="0"/>
              <w:rPr>
                <w:sz w:val="22"/>
                <w:szCs w:val="22"/>
                <w:color w:val="auto"/>
              </w:rPr>
            </w:pPr>
          </w:p>
        </w:tc>
        <w:tc>
          <w:tcPr>
            <w:tcW w:w="1000" w:type="dxa"/>
            <w:vAlign w:val="bottom"/>
            <w:tcBorders>
              <w:bottom w:val="single" w:sz="8" w:color="CCEEFF"/>
            </w:tcBorders>
          </w:tcPr>
          <w:p>
            <w:pPr>
              <w:jc w:val="right"/>
              <w:ind w:right="39"/>
              <w:spacing w:after="0"/>
              <w:rPr>
                <w:sz w:val="20"/>
                <w:szCs w:val="20"/>
                <w:color w:val="auto"/>
              </w:rPr>
            </w:pPr>
            <w:r>
              <w:rPr>
                <w:rFonts w:ascii="Arial" w:cs="Arial" w:eastAsia="Arial" w:hAnsi="Arial"/>
                <w:sz w:val="16"/>
                <w:szCs w:val="16"/>
                <w:color w:val="auto"/>
              </w:rPr>
              <w:t>1,003.85</w:t>
            </w:r>
          </w:p>
        </w:tc>
        <w:tc>
          <w:tcPr>
            <w:tcW w:w="1420" w:type="dxa"/>
            <w:vAlign w:val="bottom"/>
            <w:tcBorders>
              <w:bottom w:val="single" w:sz="8" w:color="CCEEFF"/>
            </w:tcBorders>
            <w:gridSpan w:val="2"/>
          </w:tcPr>
          <w:p>
            <w:pPr>
              <w:ind w:left="920"/>
              <w:spacing w:after="0"/>
              <w:rPr>
                <w:sz w:val="20"/>
                <w:szCs w:val="20"/>
                <w:color w:val="auto"/>
              </w:rPr>
            </w:pPr>
            <w:r>
              <w:rPr>
                <w:rFonts w:ascii="Arial" w:cs="Arial" w:eastAsia="Arial" w:hAnsi="Arial"/>
                <w:sz w:val="16"/>
                <w:szCs w:val="16"/>
                <w:color w:val="auto"/>
              </w:rPr>
              <w:t>98.5</w:t>
            </w:r>
          </w:p>
        </w:tc>
        <w:tc>
          <w:tcPr>
            <w:tcW w:w="100" w:type="dxa"/>
            <w:vAlign w:val="bottom"/>
            <w:tcBorders>
              <w:bottom w:val="single" w:sz="8" w:color="CCEEFF"/>
            </w:tcBorders>
          </w:tcPr>
          <w:p>
            <w:pPr>
              <w:spacing w:after="0"/>
              <w:rPr>
                <w:sz w:val="22"/>
                <w:szCs w:val="22"/>
                <w:color w:val="auto"/>
              </w:rPr>
            </w:pPr>
          </w:p>
        </w:tc>
        <w:tc>
          <w:tcPr>
            <w:tcW w:w="50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250"/>
        </w:trPr>
        <w:tc>
          <w:tcPr>
            <w:tcW w:w="1940" w:type="dxa"/>
            <w:vAlign w:val="bottom"/>
            <w:shd w:val="clear" w:color="auto" w:fill="CCEEFF"/>
          </w:tcPr>
          <w:p>
            <w:pPr>
              <w:ind w:left="180"/>
              <w:spacing w:after="0"/>
              <w:rPr>
                <w:sz w:val="20"/>
                <w:szCs w:val="20"/>
                <w:color w:val="auto"/>
              </w:rPr>
            </w:pPr>
            <w:r>
              <w:rPr>
                <w:rFonts w:ascii="Arial" w:cs="Arial" w:eastAsia="Arial" w:hAnsi="Arial"/>
                <w:sz w:val="16"/>
                <w:szCs w:val="16"/>
                <w:color w:val="auto"/>
              </w:rPr>
              <w:t>Total Medicare</w:t>
            </w:r>
          </w:p>
        </w:tc>
        <w:tc>
          <w:tcPr>
            <w:tcW w:w="12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0.3</w:t>
            </w:r>
          </w:p>
        </w:tc>
        <w:tc>
          <w:tcPr>
            <w:tcW w:w="100" w:type="dxa"/>
            <w:vAlign w:val="bottom"/>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470</w:t>
            </w: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0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1,633.62</w:t>
            </w:r>
          </w:p>
        </w:tc>
        <w:tc>
          <w:tcPr>
            <w:tcW w:w="120" w:type="dxa"/>
            <w:vAlign w:val="bottom"/>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414</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0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1,440.73</w:t>
            </w:r>
          </w:p>
        </w:tc>
        <w:tc>
          <w:tcPr>
            <w:tcW w:w="1420" w:type="dxa"/>
            <w:vAlign w:val="bottom"/>
            <w:gridSpan w:val="2"/>
            <w:shd w:val="clear" w:color="auto" w:fill="CCEEFF"/>
          </w:tcPr>
          <w:p>
            <w:pPr>
              <w:ind w:left="920"/>
              <w:spacing w:after="0"/>
              <w:rPr>
                <w:sz w:val="20"/>
                <w:szCs w:val="20"/>
                <w:color w:val="auto"/>
              </w:rPr>
            </w:pPr>
            <w:r>
              <w:rPr>
                <w:rFonts w:ascii="Arial" w:cs="Arial" w:eastAsia="Arial" w:hAnsi="Arial"/>
                <w:sz w:val="16"/>
                <w:szCs w:val="16"/>
                <w:color w:val="auto"/>
              </w:rPr>
              <w:t>88.2</w:t>
            </w:r>
          </w:p>
        </w:tc>
        <w:tc>
          <w:tcPr>
            <w:tcW w:w="100" w:type="dxa"/>
            <w:vAlign w:val="bottom"/>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spacing w:after="0"/>
              <w:rPr>
                <w:sz w:val="21"/>
                <w:szCs w:val="21"/>
                <w:color w:val="auto"/>
              </w:rPr>
            </w:pPr>
          </w:p>
        </w:tc>
        <w:tc>
          <w:tcPr>
            <w:tcW w:w="7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56</w:t>
            </w:r>
          </w:p>
        </w:tc>
        <w:tc>
          <w:tcPr>
            <w:tcW w:w="0" w:type="dxa"/>
            <w:vAlign w:val="bottom"/>
          </w:tcPr>
          <w:p>
            <w:pPr>
              <w:spacing w:after="0"/>
              <w:rPr>
                <w:sz w:val="1"/>
                <w:szCs w:val="1"/>
                <w:color w:val="auto"/>
              </w:rPr>
            </w:pPr>
          </w:p>
        </w:tc>
      </w:tr>
      <w:tr>
        <w:trPr>
          <w:trHeight w:val="249"/>
        </w:trPr>
        <w:tc>
          <w:tcPr>
            <w:tcW w:w="1940" w:type="dxa"/>
            <w:vAlign w:val="bottom"/>
          </w:tcPr>
          <w:p>
            <w:pPr>
              <w:ind w:left="40"/>
              <w:spacing w:after="0"/>
              <w:rPr>
                <w:sz w:val="20"/>
                <w:szCs w:val="20"/>
                <w:color w:val="auto"/>
              </w:rPr>
            </w:pPr>
            <w:r>
              <w:rPr>
                <w:rFonts w:ascii="Arial" w:cs="Arial" w:eastAsia="Arial" w:hAnsi="Arial"/>
                <w:sz w:val="16"/>
                <w:szCs w:val="16"/>
                <w:color w:val="auto"/>
              </w:rPr>
              <w:t>Excluding Marketplace</w:t>
            </w:r>
          </w:p>
        </w:tc>
        <w:tc>
          <w:tcPr>
            <w:tcW w:w="1240" w:type="dxa"/>
            <w:vAlign w:val="bottom"/>
          </w:tcPr>
          <w:p>
            <w:pPr>
              <w:jc w:val="right"/>
              <w:ind w:right="19"/>
              <w:spacing w:after="0"/>
              <w:rPr>
                <w:sz w:val="20"/>
                <w:szCs w:val="20"/>
                <w:color w:val="auto"/>
              </w:rPr>
            </w:pPr>
            <w:r>
              <w:rPr>
                <w:rFonts w:ascii="Arial" w:cs="Arial" w:eastAsia="Arial" w:hAnsi="Arial"/>
                <w:sz w:val="16"/>
                <w:szCs w:val="16"/>
                <w:color w:val="auto"/>
              </w:rPr>
              <w:t>11.0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3,792</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343.68</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3,396</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307.84</w:t>
            </w:r>
          </w:p>
        </w:tc>
        <w:tc>
          <w:tcPr>
            <w:tcW w:w="1420" w:type="dxa"/>
            <w:vAlign w:val="bottom"/>
            <w:gridSpan w:val="2"/>
          </w:tcPr>
          <w:p>
            <w:pPr>
              <w:ind w:left="920"/>
              <w:spacing w:after="0"/>
              <w:rPr>
                <w:sz w:val="20"/>
                <w:szCs w:val="20"/>
                <w:color w:val="auto"/>
              </w:rPr>
            </w:pPr>
            <w:r>
              <w:rPr>
                <w:rFonts w:ascii="Arial" w:cs="Arial" w:eastAsia="Arial" w:hAnsi="Arial"/>
                <w:sz w:val="16"/>
                <w:szCs w:val="16"/>
                <w:color w:val="auto"/>
              </w:rPr>
              <w:t>89.6</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760" w:type="dxa"/>
            <w:vAlign w:val="bottom"/>
          </w:tcPr>
          <w:p>
            <w:pPr>
              <w:jc w:val="right"/>
              <w:ind w:right="19"/>
              <w:spacing w:after="0"/>
              <w:rPr>
                <w:sz w:val="20"/>
                <w:szCs w:val="20"/>
                <w:color w:val="auto"/>
              </w:rPr>
            </w:pPr>
            <w:r>
              <w:rPr>
                <w:rFonts w:ascii="Arial" w:cs="Arial" w:eastAsia="Arial" w:hAnsi="Arial"/>
                <w:sz w:val="16"/>
                <w:szCs w:val="16"/>
                <w:color w:val="auto"/>
              </w:rPr>
              <w:t>396</w:t>
            </w:r>
          </w:p>
        </w:tc>
        <w:tc>
          <w:tcPr>
            <w:tcW w:w="0" w:type="dxa"/>
            <w:vAlign w:val="bottom"/>
          </w:tcPr>
          <w:p>
            <w:pPr>
              <w:spacing w:after="0"/>
              <w:rPr>
                <w:sz w:val="1"/>
                <w:szCs w:val="1"/>
                <w:color w:val="auto"/>
              </w:rPr>
            </w:pPr>
          </w:p>
        </w:tc>
      </w:tr>
      <w:tr>
        <w:trPr>
          <w:trHeight w:val="271"/>
        </w:trPr>
        <w:tc>
          <w:tcPr>
            <w:tcW w:w="1940" w:type="dxa"/>
            <w:vAlign w:val="bottom"/>
            <w:shd w:val="clear" w:color="auto" w:fill="CCEEFF"/>
          </w:tcPr>
          <w:p>
            <w:pPr>
              <w:ind w:left="40"/>
              <w:spacing w:after="0"/>
              <w:rPr>
                <w:sz w:val="20"/>
                <w:szCs w:val="20"/>
                <w:color w:val="auto"/>
              </w:rPr>
            </w:pPr>
            <w:r>
              <w:rPr>
                <w:rFonts w:ascii="Arial" w:cs="Arial" w:eastAsia="Arial" w:hAnsi="Arial"/>
                <w:sz w:val="16"/>
                <w:szCs w:val="16"/>
                <w:color w:val="auto"/>
              </w:rPr>
              <w:t>Marketplace</w:t>
            </w:r>
          </w:p>
        </w:tc>
        <w:tc>
          <w:tcPr>
            <w:tcW w:w="12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1.7</w:t>
            </w:r>
          </w:p>
        </w:tc>
        <w:tc>
          <w:tcPr>
            <w:tcW w:w="100" w:type="dxa"/>
            <w:vAlign w:val="bottom"/>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spacing w:after="0"/>
              <w:rPr>
                <w:sz w:val="23"/>
                <w:szCs w:val="23"/>
                <w:color w:val="auto"/>
              </w:rPr>
            </w:pPr>
          </w:p>
        </w:tc>
        <w:tc>
          <w:tcPr>
            <w:tcW w:w="9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399</w:t>
            </w: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238.86</w:t>
            </w:r>
          </w:p>
        </w:tc>
        <w:tc>
          <w:tcPr>
            <w:tcW w:w="120" w:type="dxa"/>
            <w:vAlign w:val="bottom"/>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spacing w:after="0"/>
              <w:rPr>
                <w:sz w:val="23"/>
                <w:szCs w:val="23"/>
                <w:color w:val="auto"/>
              </w:rPr>
            </w:pPr>
          </w:p>
        </w:tc>
        <w:tc>
          <w:tcPr>
            <w:tcW w:w="98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352</w:t>
            </w: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210.38</w:t>
            </w:r>
          </w:p>
        </w:tc>
        <w:tc>
          <w:tcPr>
            <w:tcW w:w="1420" w:type="dxa"/>
            <w:vAlign w:val="bottom"/>
            <w:gridSpan w:val="2"/>
            <w:shd w:val="clear" w:color="auto" w:fill="CCEEFF"/>
          </w:tcPr>
          <w:p>
            <w:pPr>
              <w:ind w:left="920"/>
              <w:spacing w:after="0"/>
              <w:rPr>
                <w:sz w:val="20"/>
                <w:szCs w:val="20"/>
                <w:color w:val="auto"/>
              </w:rPr>
            </w:pPr>
            <w:r>
              <w:rPr>
                <w:rFonts w:ascii="Arial" w:cs="Arial" w:eastAsia="Arial" w:hAnsi="Arial"/>
                <w:sz w:val="16"/>
                <w:szCs w:val="16"/>
                <w:color w:val="auto"/>
              </w:rPr>
              <w:t>88.1</w:t>
            </w:r>
          </w:p>
        </w:tc>
        <w:tc>
          <w:tcPr>
            <w:tcW w:w="100" w:type="dxa"/>
            <w:vAlign w:val="bottom"/>
            <w:shd w:val="clear" w:color="auto" w:fill="CCEEFF"/>
          </w:tcPr>
          <w:p>
            <w:pPr>
              <w:spacing w:after="0"/>
              <w:rPr>
                <w:sz w:val="23"/>
                <w:szCs w:val="23"/>
                <w:color w:val="auto"/>
              </w:rPr>
            </w:pPr>
          </w:p>
        </w:tc>
        <w:tc>
          <w:tcPr>
            <w:tcW w:w="500" w:type="dxa"/>
            <w:vAlign w:val="bottom"/>
            <w:tcBorders>
              <w:bottom w:val="single" w:sz="8" w:color="auto"/>
            </w:tcBorders>
            <w:shd w:val="clear" w:color="auto" w:fill="CCEEFF"/>
          </w:tcPr>
          <w:p>
            <w:pPr>
              <w:spacing w:after="0"/>
              <w:rPr>
                <w:sz w:val="23"/>
                <w:szCs w:val="23"/>
                <w:color w:val="auto"/>
              </w:rPr>
            </w:pPr>
          </w:p>
        </w:tc>
        <w:tc>
          <w:tcPr>
            <w:tcW w:w="7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47</w:t>
            </w:r>
          </w:p>
        </w:tc>
        <w:tc>
          <w:tcPr>
            <w:tcW w:w="0" w:type="dxa"/>
            <w:vAlign w:val="bottom"/>
          </w:tcPr>
          <w:p>
            <w:pPr>
              <w:spacing w:after="0"/>
              <w:rPr>
                <w:sz w:val="1"/>
                <w:szCs w:val="1"/>
                <w:color w:val="auto"/>
              </w:rPr>
            </w:pPr>
          </w:p>
        </w:tc>
      </w:tr>
      <w:tr>
        <w:trPr>
          <w:trHeight w:val="242"/>
        </w:trPr>
        <w:tc>
          <w:tcPr>
            <w:tcW w:w="1940" w:type="dxa"/>
            <w:vAlign w:val="bottom"/>
          </w:tcPr>
          <w:p>
            <w:pPr>
              <w:spacing w:after="0"/>
              <w:rPr>
                <w:sz w:val="21"/>
                <w:szCs w:val="21"/>
                <w:color w:val="auto"/>
              </w:rPr>
            </w:pPr>
          </w:p>
        </w:tc>
        <w:tc>
          <w:tcPr>
            <w:tcW w:w="12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12.7</w:t>
            </w:r>
          </w:p>
        </w:tc>
        <w:tc>
          <w:tcPr>
            <w:tcW w:w="100" w:type="dxa"/>
            <w:vAlign w:val="bottom"/>
          </w:tcPr>
          <w:p>
            <w:pPr>
              <w:spacing w:after="0"/>
              <w:rPr>
                <w:sz w:val="21"/>
                <w:szCs w:val="21"/>
                <w:color w:val="auto"/>
              </w:rPr>
            </w:pPr>
          </w:p>
        </w:tc>
        <w:tc>
          <w:tcPr>
            <w:tcW w:w="2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4,191</w:t>
            </w:r>
          </w:p>
        </w:tc>
        <w:tc>
          <w:tcPr>
            <w:tcW w:w="36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329.88</w:t>
            </w:r>
          </w:p>
        </w:tc>
        <w:tc>
          <w:tcPr>
            <w:tcW w:w="120" w:type="dxa"/>
            <w:vAlign w:val="bottom"/>
          </w:tcPr>
          <w:p>
            <w:pPr>
              <w:spacing w:after="0"/>
              <w:rPr>
                <w:sz w:val="21"/>
                <w:szCs w:val="21"/>
                <w:color w:val="auto"/>
              </w:rPr>
            </w:pPr>
          </w:p>
        </w:tc>
        <w:tc>
          <w:tcPr>
            <w:tcW w:w="2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3,748</w:t>
            </w:r>
          </w:p>
        </w:tc>
        <w:tc>
          <w:tcPr>
            <w:tcW w:w="36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295.01</w:t>
            </w:r>
          </w:p>
        </w:tc>
        <w:tc>
          <w:tcPr>
            <w:tcW w:w="1420" w:type="dxa"/>
            <w:vAlign w:val="bottom"/>
            <w:gridSpan w:val="2"/>
          </w:tcPr>
          <w:p>
            <w:pPr>
              <w:ind w:left="920"/>
              <w:spacing w:after="0"/>
              <w:rPr>
                <w:sz w:val="20"/>
                <w:szCs w:val="20"/>
                <w:color w:val="auto"/>
              </w:rPr>
            </w:pPr>
            <w:r>
              <w:rPr>
                <w:rFonts w:ascii="Arial" w:cs="Arial" w:eastAsia="Arial" w:hAnsi="Arial"/>
                <w:sz w:val="16"/>
                <w:szCs w:val="16"/>
                <w:color w:val="auto"/>
              </w:rPr>
              <w:t>89.4%</w:t>
            </w:r>
          </w:p>
        </w:tc>
        <w:tc>
          <w:tcPr>
            <w:tcW w:w="100" w:type="dxa"/>
            <w:vAlign w:val="bottom"/>
          </w:tcPr>
          <w:p>
            <w:pPr>
              <w:spacing w:after="0"/>
              <w:rPr>
                <w:sz w:val="21"/>
                <w:szCs w:val="21"/>
                <w:color w:val="auto"/>
              </w:rPr>
            </w:pPr>
          </w:p>
        </w:tc>
        <w:tc>
          <w:tcPr>
            <w:tcW w:w="500" w:type="dxa"/>
            <w:vAlign w:val="bottom"/>
            <w:tcBorders>
              <w:bottom w:val="single" w:sz="8" w:color="auto"/>
            </w:tcBorders>
          </w:tcPr>
          <w:p>
            <w:pPr>
              <w:ind w:left="40"/>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443</w:t>
            </w:r>
          </w:p>
        </w:tc>
        <w:tc>
          <w:tcPr>
            <w:tcW w:w="0" w:type="dxa"/>
            <w:vAlign w:val="bottom"/>
          </w:tcPr>
          <w:p>
            <w:pPr>
              <w:spacing w:after="0"/>
              <w:rPr>
                <w:sz w:val="1"/>
                <w:szCs w:val="1"/>
                <w:color w:val="auto"/>
              </w:rPr>
            </w:pPr>
          </w:p>
        </w:tc>
      </w:tr>
      <w:tr>
        <w:trPr>
          <w:trHeight w:val="20"/>
        </w:trPr>
        <w:tc>
          <w:tcPr>
            <w:tcW w:w="194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0" w:lineRule="exact"/>
        <w:rPr>
          <w:sz w:val="20"/>
          <w:szCs w:val="20"/>
          <w:color w:val="auto"/>
        </w:rPr>
      </w:pPr>
    </w:p>
    <w:p>
      <w:pPr>
        <w:ind w:left="7860"/>
        <w:spacing w:after="0"/>
        <w:rPr>
          <w:sz w:val="20"/>
          <w:szCs w:val="20"/>
          <w:color w:val="auto"/>
        </w:rPr>
      </w:pPr>
      <w:r>
        <w:rPr>
          <w:rFonts w:ascii="Arial" w:cs="Arial" w:eastAsia="Arial" w:hAnsi="Arial"/>
          <w:sz w:val="18"/>
          <w:szCs w:val="18"/>
          <w:color w:val="auto"/>
        </w:rPr>
        <w:t>Molina Healthcare, Inc. 2017 Form 10-Q | 47</w:t>
      </w:r>
    </w:p>
    <w:p>
      <w:pPr>
        <w:sectPr>
          <w:pgSz w:w="11900" w:h="16838" w:orient="portrait"/>
          <w:cols w:equalWidth="0" w:num="1">
            <w:col w:w="11420"/>
          </w:cols>
          <w:pgMar w:left="240" w:top="116" w:right="239" w:bottom="1440" w:gutter="0" w:footer="0" w:header="0"/>
        </w:sectPr>
      </w:pPr>
    </w:p>
    <w:bookmarkStart w:id="47" w:name="page48"/>
    <w:bookmarkEnd w:id="4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1940" w:type="dxa"/>
            <w:vAlign w:val="bottom"/>
          </w:tcPr>
          <w:p>
            <w:pPr>
              <w:spacing w:after="0"/>
              <w:rPr>
                <w:sz w:val="20"/>
                <w:szCs w:val="20"/>
                <w:color w:val="auto"/>
              </w:rPr>
            </w:pPr>
          </w:p>
        </w:tc>
        <w:tc>
          <w:tcPr>
            <w:tcW w:w="12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3740" w:type="dxa"/>
            <w:vAlign w:val="bottom"/>
            <w:tcBorders>
              <w:bottom w:val="single" w:sz="8" w:color="auto"/>
            </w:tcBorders>
            <w:gridSpan w:val="7"/>
          </w:tcPr>
          <w:p>
            <w:pPr>
              <w:jc w:val="right"/>
              <w:ind w:right="339"/>
              <w:spacing w:after="0"/>
              <w:rPr>
                <w:sz w:val="20"/>
                <w:szCs w:val="20"/>
                <w:color w:val="auto"/>
              </w:rPr>
            </w:pPr>
            <w:r>
              <w:rPr>
                <w:rFonts w:ascii="Arial" w:cs="Arial" w:eastAsia="Arial" w:hAnsi="Arial"/>
                <w:sz w:val="16"/>
                <w:szCs w:val="16"/>
                <w:b w:val="1"/>
                <w:bCs w:val="1"/>
                <w:color w:val="auto"/>
              </w:rPr>
              <w:t>Nine Months Ended September 30, 2017</w:t>
            </w:r>
          </w:p>
        </w:tc>
        <w:tc>
          <w:tcPr>
            <w:tcW w:w="10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64"/>
        </w:trPr>
        <w:tc>
          <w:tcPr>
            <w:tcW w:w="1940" w:type="dxa"/>
            <w:vAlign w:val="bottom"/>
          </w:tcPr>
          <w:p>
            <w:pPr>
              <w:spacing w:after="0"/>
              <w:rPr>
                <w:sz w:val="22"/>
                <w:szCs w:val="22"/>
                <w:color w:val="auto"/>
              </w:rPr>
            </w:pPr>
          </w:p>
        </w:tc>
        <w:tc>
          <w:tcPr>
            <w:tcW w:w="1340" w:type="dxa"/>
            <w:vAlign w:val="bottom"/>
            <w:gridSpan w:val="2"/>
            <w:vMerge w:val="restart"/>
          </w:tcPr>
          <w:p>
            <w:pPr>
              <w:jc w:val="center"/>
              <w:ind w:right="80"/>
              <w:spacing w:after="0"/>
              <w:rPr>
                <w:sz w:val="20"/>
                <w:szCs w:val="20"/>
                <w:color w:val="auto"/>
              </w:rPr>
            </w:pPr>
            <w:r>
              <w:rPr>
                <w:rFonts w:ascii="Arial" w:cs="Arial" w:eastAsia="Arial" w:hAnsi="Arial"/>
                <w:sz w:val="16"/>
                <w:szCs w:val="16"/>
                <w:b w:val="1"/>
                <w:bCs w:val="1"/>
                <w:color w:val="auto"/>
              </w:rPr>
              <w:t>Member</w:t>
            </w:r>
          </w:p>
        </w:tc>
        <w:tc>
          <w:tcPr>
            <w:tcW w:w="280" w:type="dxa"/>
            <w:vAlign w:val="bottom"/>
          </w:tcPr>
          <w:p>
            <w:pPr>
              <w:spacing w:after="0"/>
              <w:rPr>
                <w:sz w:val="22"/>
                <w:szCs w:val="22"/>
                <w:color w:val="auto"/>
              </w:rPr>
            </w:pPr>
          </w:p>
        </w:tc>
        <w:tc>
          <w:tcPr>
            <w:tcW w:w="2460" w:type="dxa"/>
            <w:vAlign w:val="bottom"/>
            <w:gridSpan w:val="5"/>
          </w:tcPr>
          <w:p>
            <w:pPr>
              <w:ind w:left="340"/>
              <w:spacing w:after="0"/>
              <w:rPr>
                <w:sz w:val="20"/>
                <w:szCs w:val="20"/>
                <w:color w:val="auto"/>
              </w:rPr>
            </w:pPr>
            <w:r>
              <w:rPr>
                <w:rFonts w:ascii="Arial" w:cs="Arial" w:eastAsia="Arial" w:hAnsi="Arial"/>
                <w:sz w:val="16"/>
                <w:szCs w:val="16"/>
                <w:b w:val="1"/>
                <w:bCs w:val="1"/>
                <w:color w:val="auto"/>
              </w:rPr>
              <w:t>Premium Revenue</w:t>
            </w:r>
          </w:p>
        </w:tc>
        <w:tc>
          <w:tcPr>
            <w:tcW w:w="280" w:type="dxa"/>
            <w:vAlign w:val="bottom"/>
          </w:tcPr>
          <w:p>
            <w:pPr>
              <w:spacing w:after="0"/>
              <w:rPr>
                <w:sz w:val="22"/>
                <w:szCs w:val="22"/>
                <w:color w:val="auto"/>
              </w:rPr>
            </w:pPr>
          </w:p>
        </w:tc>
        <w:tc>
          <w:tcPr>
            <w:tcW w:w="2340" w:type="dxa"/>
            <w:vAlign w:val="bottom"/>
            <w:gridSpan w:val="4"/>
          </w:tcPr>
          <w:p>
            <w:pPr>
              <w:jc w:val="right"/>
              <w:ind w:right="479"/>
              <w:spacing w:after="0"/>
              <w:rPr>
                <w:sz w:val="20"/>
                <w:szCs w:val="20"/>
                <w:color w:val="auto"/>
              </w:rPr>
            </w:pPr>
            <w:r>
              <w:rPr>
                <w:rFonts w:ascii="Arial" w:cs="Arial" w:eastAsia="Arial" w:hAnsi="Arial"/>
                <w:sz w:val="16"/>
                <w:szCs w:val="16"/>
                <w:b w:val="1"/>
                <w:bCs w:val="1"/>
                <w:color w:val="auto"/>
              </w:rPr>
              <w:t>Medical Care Costs</w:t>
            </w:r>
          </w:p>
        </w:tc>
        <w:tc>
          <w:tcPr>
            <w:tcW w:w="10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1"/>
        </w:trPr>
        <w:tc>
          <w:tcPr>
            <w:tcW w:w="1940" w:type="dxa"/>
            <w:vAlign w:val="bottom"/>
          </w:tcPr>
          <w:p>
            <w:pPr>
              <w:spacing w:after="0"/>
              <w:rPr>
                <w:sz w:val="2"/>
                <w:szCs w:val="2"/>
                <w:color w:val="auto"/>
              </w:rPr>
            </w:pPr>
          </w:p>
        </w:tc>
        <w:tc>
          <w:tcPr>
            <w:tcW w:w="1340" w:type="dxa"/>
            <w:vAlign w:val="bottom"/>
            <w:gridSpan w:val="2"/>
            <w:vMerge w:val="continue"/>
          </w:tcPr>
          <w:p>
            <w:pPr>
              <w:spacing w:after="0"/>
              <w:rPr>
                <w:sz w:val="2"/>
                <w:szCs w:val="2"/>
                <w:color w:val="auto"/>
              </w:rPr>
            </w:pPr>
          </w:p>
        </w:tc>
        <w:tc>
          <w:tcPr>
            <w:tcW w:w="280" w:type="dxa"/>
            <w:vAlign w:val="bottom"/>
            <w:tcBorders>
              <w:top w:val="single" w:sz="8" w:color="auto"/>
            </w:tcBorders>
          </w:tcPr>
          <w:p>
            <w:pPr>
              <w:spacing w:after="0"/>
              <w:rPr>
                <w:sz w:val="2"/>
                <w:szCs w:val="2"/>
                <w:color w:val="auto"/>
              </w:rPr>
            </w:pPr>
          </w:p>
        </w:tc>
        <w:tc>
          <w:tcPr>
            <w:tcW w:w="980" w:type="dxa"/>
            <w:vAlign w:val="bottom"/>
            <w:tcBorders>
              <w:top w:val="single" w:sz="8" w:color="auto"/>
            </w:tcBorders>
          </w:tcPr>
          <w:p>
            <w:pPr>
              <w:spacing w:after="0"/>
              <w:rPr>
                <w:sz w:val="2"/>
                <w:szCs w:val="2"/>
                <w:color w:val="auto"/>
              </w:rPr>
            </w:pPr>
          </w:p>
        </w:tc>
        <w:tc>
          <w:tcPr>
            <w:tcW w:w="120" w:type="dxa"/>
            <w:vAlign w:val="bottom"/>
            <w:tcBorders>
              <w:top w:val="single" w:sz="8" w:color="auto"/>
            </w:tcBorders>
          </w:tcPr>
          <w:p>
            <w:pPr>
              <w:spacing w:after="0"/>
              <w:rPr>
                <w:sz w:val="2"/>
                <w:szCs w:val="2"/>
                <w:color w:val="auto"/>
              </w:rPr>
            </w:pPr>
          </w:p>
        </w:tc>
        <w:tc>
          <w:tcPr>
            <w:tcW w:w="240" w:type="dxa"/>
            <w:vAlign w:val="bottom"/>
            <w:tcBorders>
              <w:top w:val="single" w:sz="8" w:color="auto"/>
            </w:tcBorders>
          </w:tcPr>
          <w:p>
            <w:pPr>
              <w:spacing w:after="0"/>
              <w:rPr>
                <w:sz w:val="2"/>
                <w:szCs w:val="2"/>
                <w:color w:val="auto"/>
              </w:rPr>
            </w:pPr>
          </w:p>
        </w:tc>
        <w:tc>
          <w:tcPr>
            <w:tcW w:w="1000" w:type="dxa"/>
            <w:vAlign w:val="bottom"/>
            <w:tcBorders>
              <w:top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top w:val="single" w:sz="8" w:color="auto"/>
            </w:tcBorders>
          </w:tcPr>
          <w:p>
            <w:pPr>
              <w:spacing w:after="0"/>
              <w:rPr>
                <w:sz w:val="2"/>
                <w:szCs w:val="2"/>
                <w:color w:val="auto"/>
              </w:rPr>
            </w:pPr>
          </w:p>
        </w:tc>
        <w:tc>
          <w:tcPr>
            <w:tcW w:w="980" w:type="dxa"/>
            <w:vAlign w:val="bottom"/>
            <w:tcBorders>
              <w:top w:val="single" w:sz="8" w:color="auto"/>
            </w:tcBorders>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260" w:type="dxa"/>
            <w:vAlign w:val="bottom"/>
            <w:tcBorders>
              <w:top w:val="single" w:sz="8" w:color="auto"/>
            </w:tcBorders>
          </w:tcPr>
          <w:p>
            <w:pPr>
              <w:spacing w:after="0"/>
              <w:rPr>
                <w:sz w:val="2"/>
                <w:szCs w:val="2"/>
                <w:color w:val="auto"/>
              </w:rPr>
            </w:pPr>
          </w:p>
        </w:tc>
        <w:tc>
          <w:tcPr>
            <w:tcW w:w="100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6"/>
        </w:trPr>
        <w:tc>
          <w:tcPr>
            <w:tcW w:w="1940" w:type="dxa"/>
            <w:vAlign w:val="bottom"/>
            <w:tcBorders>
              <w:bottom w:val="single" w:sz="8" w:color="CCEEFF"/>
            </w:tcBorders>
          </w:tcPr>
          <w:p>
            <w:pPr>
              <w:spacing w:after="0"/>
              <w:rPr>
                <w:sz w:val="20"/>
                <w:szCs w:val="20"/>
                <w:color w:val="auto"/>
              </w:rPr>
            </w:pPr>
          </w:p>
        </w:tc>
        <w:tc>
          <w:tcPr>
            <w:tcW w:w="1240" w:type="dxa"/>
            <w:vAlign w:val="bottom"/>
            <w:tcBorders>
              <w:bottom w:val="single" w:sz="8" w:color="auto"/>
            </w:tcBorders>
          </w:tcPr>
          <w:p>
            <w:pPr>
              <w:jc w:val="center"/>
              <w:spacing w:after="0" w:line="236" w:lineRule="exact"/>
              <w:rPr>
                <w:sz w:val="20"/>
                <w:szCs w:val="20"/>
                <w:color w:val="auto"/>
              </w:rPr>
            </w:pPr>
            <w:r>
              <w:rPr>
                <w:rFonts w:ascii="Arial" w:cs="Arial" w:eastAsia="Arial" w:hAnsi="Arial"/>
                <w:sz w:val="16"/>
                <w:szCs w:val="16"/>
                <w:b w:val="1"/>
                <w:bCs w:val="1"/>
                <w:color w:val="auto"/>
                <w:w w:val="96"/>
              </w:rPr>
              <w:t xml:space="preserve">Months </w:t>
            </w:r>
            <w:r>
              <w:rPr>
                <w:rFonts w:ascii="Arial" w:cs="Arial" w:eastAsia="Arial" w:hAnsi="Arial"/>
                <w:sz w:val="21"/>
                <w:szCs w:val="21"/>
                <w:b w:val="1"/>
                <w:bCs w:val="1"/>
                <w:color w:val="auto"/>
                <w:w w:val="96"/>
                <w:vertAlign w:val="superscript"/>
              </w:rPr>
              <w:t>(1)</w:t>
            </w:r>
          </w:p>
        </w:tc>
        <w:tc>
          <w:tcPr>
            <w:tcW w:w="10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b w:val="1"/>
                <w:bCs w:val="1"/>
                <w:color w:val="auto"/>
              </w:rPr>
              <w:t>Total</w:t>
            </w:r>
          </w:p>
        </w:tc>
        <w:tc>
          <w:tcPr>
            <w:tcW w:w="12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PMPM</w:t>
            </w:r>
          </w:p>
        </w:tc>
        <w:tc>
          <w:tcPr>
            <w:tcW w:w="12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b w:val="1"/>
                <w:bCs w:val="1"/>
                <w:color w:val="auto"/>
              </w:rPr>
              <w:t>Total</w:t>
            </w:r>
          </w:p>
        </w:tc>
        <w:tc>
          <w:tcPr>
            <w:tcW w:w="10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PMPM</w:t>
            </w:r>
          </w:p>
        </w:tc>
        <w:tc>
          <w:tcPr>
            <w:tcW w:w="100" w:type="dxa"/>
            <w:vAlign w:val="bottom"/>
            <w:tcBorders>
              <w:bottom w:val="single" w:sz="8" w:color="CCEEFF"/>
            </w:tcBorders>
          </w:tcPr>
          <w:p>
            <w:pPr>
              <w:spacing w:after="0"/>
              <w:rPr>
                <w:sz w:val="20"/>
                <w:szCs w:val="20"/>
                <w:color w:val="auto"/>
              </w:rPr>
            </w:pPr>
          </w:p>
        </w:tc>
        <w:tc>
          <w:tcPr>
            <w:tcW w:w="1320" w:type="dxa"/>
            <w:vAlign w:val="bottom"/>
            <w:tcBorders>
              <w:bottom w:val="single" w:sz="8" w:color="auto"/>
            </w:tcBorders>
          </w:tcPr>
          <w:p>
            <w:pPr>
              <w:ind w:left="380"/>
              <w:spacing w:after="0" w:line="236" w:lineRule="exact"/>
              <w:rPr>
                <w:sz w:val="20"/>
                <w:szCs w:val="20"/>
                <w:color w:val="auto"/>
              </w:rPr>
            </w:pPr>
            <w:r>
              <w:rPr>
                <w:rFonts w:ascii="Arial" w:cs="Arial" w:eastAsia="Arial" w:hAnsi="Arial"/>
                <w:sz w:val="16"/>
                <w:szCs w:val="16"/>
                <w:b w:val="1"/>
                <w:bCs w:val="1"/>
                <w:color w:val="auto"/>
              </w:rPr>
              <w:t xml:space="preserve">MCR </w:t>
            </w:r>
            <w:r>
              <w:rPr>
                <w:rFonts w:ascii="Arial" w:cs="Arial" w:eastAsia="Arial" w:hAnsi="Arial"/>
                <w:sz w:val="21"/>
                <w:szCs w:val="21"/>
                <w:b w:val="1"/>
                <w:bCs w:val="1"/>
                <w:color w:val="auto"/>
                <w:vertAlign w:val="superscript"/>
              </w:rPr>
              <w:t>(2)</w:t>
            </w:r>
          </w:p>
        </w:tc>
        <w:tc>
          <w:tcPr>
            <w:tcW w:w="100" w:type="dxa"/>
            <w:vAlign w:val="bottom"/>
            <w:tcBorders>
              <w:bottom w:val="single" w:sz="8" w:color="CCEEFF"/>
            </w:tcBorders>
          </w:tcPr>
          <w:p>
            <w:pPr>
              <w:spacing w:after="0"/>
              <w:rPr>
                <w:sz w:val="20"/>
                <w:szCs w:val="20"/>
                <w:color w:val="auto"/>
              </w:rPr>
            </w:pPr>
          </w:p>
        </w:tc>
        <w:tc>
          <w:tcPr>
            <w:tcW w:w="1260" w:type="dxa"/>
            <w:vAlign w:val="bottom"/>
            <w:tcBorders>
              <w:bottom w:val="single" w:sz="8" w:color="auto"/>
            </w:tcBorders>
            <w:gridSpan w:val="2"/>
          </w:tcPr>
          <w:p>
            <w:pPr>
              <w:ind w:left="40"/>
              <w:spacing w:after="0"/>
              <w:rPr>
                <w:sz w:val="20"/>
                <w:szCs w:val="20"/>
                <w:color w:val="auto"/>
              </w:rPr>
            </w:pPr>
            <w:r>
              <w:rPr>
                <w:rFonts w:ascii="Arial" w:cs="Arial" w:eastAsia="Arial" w:hAnsi="Arial"/>
                <w:sz w:val="16"/>
                <w:szCs w:val="16"/>
                <w:b w:val="1"/>
                <w:bCs w:val="1"/>
                <w:color w:val="auto"/>
              </w:rPr>
              <w:t>Medical Margin</w:t>
            </w:r>
          </w:p>
        </w:tc>
        <w:tc>
          <w:tcPr>
            <w:tcW w:w="0" w:type="dxa"/>
            <w:vAlign w:val="bottom"/>
          </w:tcPr>
          <w:p>
            <w:pPr>
              <w:spacing w:after="0"/>
              <w:rPr>
                <w:sz w:val="1"/>
                <w:szCs w:val="1"/>
                <w:color w:val="auto"/>
              </w:rPr>
            </w:pPr>
          </w:p>
        </w:tc>
      </w:tr>
      <w:tr>
        <w:trPr>
          <w:trHeight w:val="250"/>
        </w:trPr>
        <w:tc>
          <w:tcPr>
            <w:tcW w:w="1940" w:type="dxa"/>
            <w:vAlign w:val="bottom"/>
            <w:shd w:val="clear" w:color="auto" w:fill="CCEEFF"/>
          </w:tcPr>
          <w:p>
            <w:pPr>
              <w:ind w:left="40"/>
              <w:spacing w:after="0"/>
              <w:rPr>
                <w:sz w:val="20"/>
                <w:szCs w:val="20"/>
                <w:color w:val="auto"/>
              </w:rPr>
            </w:pPr>
            <w:r>
              <w:rPr>
                <w:rFonts w:ascii="Arial" w:cs="Arial" w:eastAsia="Arial" w:hAnsi="Arial"/>
                <w:sz w:val="16"/>
                <w:szCs w:val="16"/>
                <w:color w:val="auto"/>
              </w:rPr>
              <w:t>TANF and CHIP</w:t>
            </w:r>
          </w:p>
        </w:tc>
        <w:tc>
          <w:tcPr>
            <w:tcW w:w="12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22.8</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9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4,185</w:t>
            </w:r>
          </w:p>
        </w:tc>
        <w:tc>
          <w:tcPr>
            <w:tcW w:w="3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10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183.69</w:t>
            </w:r>
          </w:p>
        </w:tc>
        <w:tc>
          <w:tcPr>
            <w:tcW w:w="120" w:type="dxa"/>
            <w:vAlign w:val="bottom"/>
            <w:shd w:val="clear" w:color="auto" w:fill="CCEEFF"/>
          </w:tcPr>
          <w:p>
            <w:pPr>
              <w:spacing w:after="0"/>
              <w:rPr>
                <w:sz w:val="21"/>
                <w:szCs w:val="21"/>
                <w:color w:val="auto"/>
              </w:rPr>
            </w:pPr>
          </w:p>
        </w:tc>
        <w:tc>
          <w:tcPr>
            <w:tcW w:w="2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9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3,861</w:t>
            </w:r>
          </w:p>
        </w:tc>
        <w:tc>
          <w:tcPr>
            <w:tcW w:w="36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0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169.44</w:t>
            </w:r>
          </w:p>
        </w:tc>
        <w:tc>
          <w:tcPr>
            <w:tcW w:w="1420" w:type="dxa"/>
            <w:vAlign w:val="bottom"/>
            <w:gridSpan w:val="2"/>
            <w:shd w:val="clear" w:color="auto" w:fill="CCEEFF"/>
          </w:tcPr>
          <w:p>
            <w:pPr>
              <w:ind w:left="920"/>
              <w:spacing w:after="0"/>
              <w:rPr>
                <w:sz w:val="20"/>
                <w:szCs w:val="20"/>
                <w:color w:val="auto"/>
              </w:rPr>
            </w:pPr>
            <w:r>
              <w:rPr>
                <w:rFonts w:ascii="Arial" w:cs="Arial" w:eastAsia="Arial" w:hAnsi="Arial"/>
                <w:sz w:val="16"/>
                <w:szCs w:val="16"/>
                <w:color w:val="auto"/>
              </w:rPr>
              <w:t>92.2%</w:t>
            </w:r>
          </w:p>
        </w:tc>
        <w:tc>
          <w:tcPr>
            <w:tcW w:w="100" w:type="dxa"/>
            <w:vAlign w:val="bottom"/>
            <w:shd w:val="clear" w:color="auto" w:fill="CCEEFF"/>
          </w:tcPr>
          <w:p>
            <w:pPr>
              <w:spacing w:after="0"/>
              <w:rPr>
                <w:sz w:val="21"/>
                <w:szCs w:val="21"/>
                <w:color w:val="auto"/>
              </w:rPr>
            </w:pPr>
          </w:p>
        </w:tc>
        <w:tc>
          <w:tcPr>
            <w:tcW w:w="440" w:type="dxa"/>
            <w:vAlign w:val="bottom"/>
            <w:shd w:val="clear" w:color="auto" w:fill="CCEEFF"/>
          </w:tcPr>
          <w:p>
            <w:pPr>
              <w:ind w:left="40"/>
              <w:spacing w:after="0"/>
              <w:rPr>
                <w:sz w:val="20"/>
                <w:szCs w:val="20"/>
                <w:color w:val="auto"/>
              </w:rPr>
            </w:pPr>
            <w:r>
              <w:rPr>
                <w:rFonts w:ascii="Arial" w:cs="Arial" w:eastAsia="Arial" w:hAnsi="Arial"/>
                <w:sz w:val="16"/>
                <w:szCs w:val="16"/>
                <w:color w:val="auto"/>
              </w:rPr>
              <w:t>$</w:t>
            </w:r>
          </w:p>
        </w:tc>
        <w:tc>
          <w:tcPr>
            <w:tcW w:w="8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324</w:t>
            </w:r>
          </w:p>
        </w:tc>
        <w:tc>
          <w:tcPr>
            <w:tcW w:w="0" w:type="dxa"/>
            <w:vAlign w:val="bottom"/>
          </w:tcPr>
          <w:p>
            <w:pPr>
              <w:spacing w:after="0"/>
              <w:rPr>
                <w:sz w:val="1"/>
                <w:szCs w:val="1"/>
                <w:color w:val="auto"/>
              </w:rPr>
            </w:pPr>
          </w:p>
        </w:tc>
      </w:tr>
      <w:tr>
        <w:trPr>
          <w:trHeight w:val="262"/>
        </w:trPr>
        <w:tc>
          <w:tcPr>
            <w:tcW w:w="1940" w:type="dxa"/>
            <w:vAlign w:val="bottom"/>
          </w:tcPr>
          <w:p>
            <w:pPr>
              <w:ind w:left="40"/>
              <w:spacing w:after="0"/>
              <w:rPr>
                <w:sz w:val="20"/>
                <w:szCs w:val="20"/>
                <w:color w:val="auto"/>
              </w:rPr>
            </w:pPr>
            <w:r>
              <w:rPr>
                <w:rFonts w:ascii="Arial" w:cs="Arial" w:eastAsia="Arial" w:hAnsi="Arial"/>
                <w:sz w:val="16"/>
                <w:szCs w:val="16"/>
                <w:color w:val="auto"/>
              </w:rPr>
              <w:t>Medicaid Expansion</w:t>
            </w:r>
          </w:p>
        </w:tc>
        <w:tc>
          <w:tcPr>
            <w:tcW w:w="1240" w:type="dxa"/>
            <w:vAlign w:val="bottom"/>
          </w:tcPr>
          <w:p>
            <w:pPr>
              <w:jc w:val="right"/>
              <w:ind w:right="19"/>
              <w:spacing w:after="0"/>
              <w:rPr>
                <w:sz w:val="20"/>
                <w:szCs w:val="20"/>
                <w:color w:val="auto"/>
              </w:rPr>
            </w:pPr>
            <w:r>
              <w:rPr>
                <w:rFonts w:ascii="Arial" w:cs="Arial" w:eastAsia="Arial" w:hAnsi="Arial"/>
                <w:sz w:val="16"/>
                <w:szCs w:val="16"/>
                <w:color w:val="auto"/>
              </w:rPr>
              <w:t>6.1</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2,376</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389.14</w:t>
            </w: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2,045</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334.93</w:t>
            </w:r>
          </w:p>
        </w:tc>
        <w:tc>
          <w:tcPr>
            <w:tcW w:w="1420" w:type="dxa"/>
            <w:vAlign w:val="bottom"/>
            <w:gridSpan w:val="2"/>
          </w:tcPr>
          <w:p>
            <w:pPr>
              <w:ind w:left="920"/>
              <w:spacing w:after="0"/>
              <w:rPr>
                <w:sz w:val="20"/>
                <w:szCs w:val="20"/>
                <w:color w:val="auto"/>
              </w:rPr>
            </w:pPr>
            <w:r>
              <w:rPr>
                <w:rFonts w:ascii="Arial" w:cs="Arial" w:eastAsia="Arial" w:hAnsi="Arial"/>
                <w:sz w:val="16"/>
                <w:szCs w:val="16"/>
                <w:color w:val="auto"/>
              </w:rPr>
              <w:t>86.1</w:t>
            </w:r>
          </w:p>
        </w:tc>
        <w:tc>
          <w:tcPr>
            <w:tcW w:w="1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820" w:type="dxa"/>
            <w:vAlign w:val="bottom"/>
          </w:tcPr>
          <w:p>
            <w:pPr>
              <w:jc w:val="right"/>
              <w:ind w:right="19"/>
              <w:spacing w:after="0"/>
              <w:rPr>
                <w:sz w:val="20"/>
                <w:szCs w:val="20"/>
                <w:color w:val="auto"/>
              </w:rPr>
            </w:pPr>
            <w:r>
              <w:rPr>
                <w:rFonts w:ascii="Arial" w:cs="Arial" w:eastAsia="Arial" w:hAnsi="Arial"/>
                <w:sz w:val="16"/>
                <w:szCs w:val="16"/>
                <w:color w:val="auto"/>
              </w:rPr>
              <w:t>331</w:t>
            </w:r>
          </w:p>
        </w:tc>
        <w:tc>
          <w:tcPr>
            <w:tcW w:w="0" w:type="dxa"/>
            <w:vAlign w:val="bottom"/>
          </w:tcPr>
          <w:p>
            <w:pPr>
              <w:spacing w:after="0"/>
              <w:rPr>
                <w:sz w:val="1"/>
                <w:szCs w:val="1"/>
                <w:color w:val="auto"/>
              </w:rPr>
            </w:pPr>
          </w:p>
        </w:tc>
      </w:tr>
      <w:tr>
        <w:trPr>
          <w:trHeight w:val="271"/>
        </w:trPr>
        <w:tc>
          <w:tcPr>
            <w:tcW w:w="1940" w:type="dxa"/>
            <w:vAlign w:val="bottom"/>
            <w:shd w:val="clear" w:color="auto" w:fill="CCEEFF"/>
          </w:tcPr>
          <w:p>
            <w:pPr>
              <w:ind w:left="40"/>
              <w:spacing w:after="0"/>
              <w:rPr>
                <w:sz w:val="20"/>
                <w:szCs w:val="20"/>
                <w:color w:val="auto"/>
              </w:rPr>
            </w:pPr>
            <w:r>
              <w:rPr>
                <w:rFonts w:ascii="Arial" w:cs="Arial" w:eastAsia="Arial" w:hAnsi="Arial"/>
                <w:sz w:val="16"/>
                <w:szCs w:val="16"/>
                <w:color w:val="auto"/>
              </w:rPr>
              <w:t>ABD</w:t>
            </w:r>
          </w:p>
        </w:tc>
        <w:tc>
          <w:tcPr>
            <w:tcW w:w="12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3.6</w:t>
            </w:r>
          </w:p>
        </w:tc>
        <w:tc>
          <w:tcPr>
            <w:tcW w:w="100" w:type="dxa"/>
            <w:vAlign w:val="bottom"/>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spacing w:after="0"/>
              <w:rPr>
                <w:sz w:val="23"/>
                <w:szCs w:val="23"/>
                <w:color w:val="auto"/>
              </w:rPr>
            </w:pPr>
          </w:p>
        </w:tc>
        <w:tc>
          <w:tcPr>
            <w:tcW w:w="9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3,769</w:t>
            </w: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1,033.45</w:t>
            </w:r>
          </w:p>
        </w:tc>
        <w:tc>
          <w:tcPr>
            <w:tcW w:w="120" w:type="dxa"/>
            <w:vAlign w:val="bottom"/>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spacing w:after="0"/>
              <w:rPr>
                <w:sz w:val="23"/>
                <w:szCs w:val="23"/>
                <w:color w:val="auto"/>
              </w:rPr>
            </w:pPr>
          </w:p>
        </w:tc>
        <w:tc>
          <w:tcPr>
            <w:tcW w:w="98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3,634</w:t>
            </w: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996.58</w:t>
            </w:r>
          </w:p>
        </w:tc>
        <w:tc>
          <w:tcPr>
            <w:tcW w:w="1420" w:type="dxa"/>
            <w:vAlign w:val="bottom"/>
            <w:gridSpan w:val="2"/>
            <w:shd w:val="clear" w:color="auto" w:fill="CCEEFF"/>
          </w:tcPr>
          <w:p>
            <w:pPr>
              <w:ind w:left="920"/>
              <w:spacing w:after="0"/>
              <w:rPr>
                <w:sz w:val="20"/>
                <w:szCs w:val="20"/>
                <w:color w:val="auto"/>
              </w:rPr>
            </w:pPr>
            <w:r>
              <w:rPr>
                <w:rFonts w:ascii="Arial" w:cs="Arial" w:eastAsia="Arial" w:hAnsi="Arial"/>
                <w:sz w:val="16"/>
                <w:szCs w:val="16"/>
                <w:color w:val="auto"/>
              </w:rPr>
              <w:t>96.4</w:t>
            </w:r>
          </w:p>
        </w:tc>
        <w:tc>
          <w:tcPr>
            <w:tcW w:w="100" w:type="dxa"/>
            <w:vAlign w:val="bottom"/>
            <w:shd w:val="clear" w:color="auto" w:fill="CCEEFF"/>
          </w:tcPr>
          <w:p>
            <w:pPr>
              <w:spacing w:after="0"/>
              <w:rPr>
                <w:sz w:val="23"/>
                <w:szCs w:val="23"/>
                <w:color w:val="auto"/>
              </w:rPr>
            </w:pPr>
          </w:p>
        </w:tc>
        <w:tc>
          <w:tcPr>
            <w:tcW w:w="440" w:type="dxa"/>
            <w:vAlign w:val="bottom"/>
            <w:tcBorders>
              <w:bottom w:val="single" w:sz="8" w:color="auto"/>
            </w:tcBorders>
            <w:shd w:val="clear" w:color="auto" w:fill="CCEEFF"/>
          </w:tcPr>
          <w:p>
            <w:pPr>
              <w:spacing w:after="0"/>
              <w:rPr>
                <w:sz w:val="23"/>
                <w:szCs w:val="23"/>
                <w:color w:val="auto"/>
              </w:rPr>
            </w:pPr>
          </w:p>
        </w:tc>
        <w:tc>
          <w:tcPr>
            <w:tcW w:w="8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135</w:t>
            </w:r>
          </w:p>
        </w:tc>
        <w:tc>
          <w:tcPr>
            <w:tcW w:w="0" w:type="dxa"/>
            <w:vAlign w:val="bottom"/>
          </w:tcPr>
          <w:p>
            <w:pPr>
              <w:spacing w:after="0"/>
              <w:rPr>
                <w:sz w:val="1"/>
                <w:szCs w:val="1"/>
                <w:color w:val="auto"/>
              </w:rPr>
            </w:pPr>
          </w:p>
        </w:tc>
      </w:tr>
      <w:tr>
        <w:trPr>
          <w:trHeight w:val="250"/>
        </w:trPr>
        <w:tc>
          <w:tcPr>
            <w:tcW w:w="1940" w:type="dxa"/>
            <w:vAlign w:val="bottom"/>
            <w:tcBorders>
              <w:bottom w:val="single" w:sz="8" w:color="CCEEFF"/>
            </w:tcBorders>
          </w:tcPr>
          <w:p>
            <w:pPr>
              <w:ind w:left="180"/>
              <w:spacing w:after="0"/>
              <w:rPr>
                <w:sz w:val="20"/>
                <w:szCs w:val="20"/>
                <w:color w:val="auto"/>
              </w:rPr>
            </w:pPr>
            <w:r>
              <w:rPr>
                <w:rFonts w:ascii="Arial" w:cs="Arial" w:eastAsia="Arial" w:hAnsi="Arial"/>
                <w:sz w:val="16"/>
                <w:szCs w:val="16"/>
                <w:color w:val="auto"/>
              </w:rPr>
              <w:t>Total Medicaid</w:t>
            </w:r>
          </w:p>
        </w:tc>
        <w:tc>
          <w:tcPr>
            <w:tcW w:w="12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32.5</w:t>
            </w:r>
          </w:p>
        </w:tc>
        <w:tc>
          <w:tcPr>
            <w:tcW w:w="100" w:type="dxa"/>
            <w:vAlign w:val="bottom"/>
            <w:tcBorders>
              <w:bottom w:val="single" w:sz="8" w:color="CCEEFF"/>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10,330</w:t>
            </w:r>
          </w:p>
        </w:tc>
        <w:tc>
          <w:tcPr>
            <w:tcW w:w="120" w:type="dxa"/>
            <w:vAlign w:val="bottom"/>
            <w:tcBorders>
              <w:bottom w:val="single" w:sz="8" w:color="CCEEFF"/>
            </w:tcBorders>
          </w:tcPr>
          <w:p>
            <w:pPr>
              <w:spacing w:after="0"/>
              <w:rPr>
                <w:sz w:val="21"/>
                <w:szCs w:val="21"/>
                <w:color w:val="auto"/>
              </w:rPr>
            </w:pPr>
          </w:p>
        </w:tc>
        <w:tc>
          <w:tcPr>
            <w:tcW w:w="240" w:type="dxa"/>
            <w:vAlign w:val="bottom"/>
            <w:tcBorders>
              <w:bottom w:val="single" w:sz="8" w:color="CCEEFF"/>
            </w:tcBorders>
          </w:tcPr>
          <w:p>
            <w:pPr>
              <w:spacing w:after="0"/>
              <w:rPr>
                <w:sz w:val="21"/>
                <w:szCs w:val="21"/>
                <w:color w:val="auto"/>
              </w:rPr>
            </w:pPr>
          </w:p>
        </w:tc>
        <w:tc>
          <w:tcPr>
            <w:tcW w:w="1000" w:type="dxa"/>
            <w:vAlign w:val="bottom"/>
            <w:tcBorders>
              <w:bottom w:val="single" w:sz="8" w:color="CCEEFF"/>
            </w:tcBorders>
          </w:tcPr>
          <w:p>
            <w:pPr>
              <w:jc w:val="right"/>
              <w:ind w:right="19"/>
              <w:spacing w:after="0"/>
              <w:rPr>
                <w:sz w:val="20"/>
                <w:szCs w:val="20"/>
                <w:color w:val="auto"/>
              </w:rPr>
            </w:pPr>
            <w:r>
              <w:rPr>
                <w:rFonts w:ascii="Arial" w:cs="Arial" w:eastAsia="Arial" w:hAnsi="Arial"/>
                <w:sz w:val="16"/>
                <w:szCs w:val="16"/>
                <w:color w:val="auto"/>
              </w:rPr>
              <w:t>317.49</w:t>
            </w:r>
          </w:p>
        </w:tc>
        <w:tc>
          <w:tcPr>
            <w:tcW w:w="120" w:type="dxa"/>
            <w:vAlign w:val="bottom"/>
            <w:tcBorders>
              <w:bottom w:val="single" w:sz="8" w:color="CCEEFF"/>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9,540</w:t>
            </w:r>
          </w:p>
        </w:tc>
        <w:tc>
          <w:tcPr>
            <w:tcW w:w="100" w:type="dxa"/>
            <w:vAlign w:val="bottom"/>
            <w:tcBorders>
              <w:bottom w:val="single" w:sz="8" w:color="CCEEFF"/>
            </w:tcBorders>
          </w:tcPr>
          <w:p>
            <w:pPr>
              <w:spacing w:after="0"/>
              <w:rPr>
                <w:sz w:val="21"/>
                <w:szCs w:val="21"/>
                <w:color w:val="auto"/>
              </w:rPr>
            </w:pPr>
          </w:p>
        </w:tc>
        <w:tc>
          <w:tcPr>
            <w:tcW w:w="260" w:type="dxa"/>
            <w:vAlign w:val="bottom"/>
            <w:tcBorders>
              <w:bottom w:val="single" w:sz="8" w:color="CCEEFF"/>
            </w:tcBorders>
          </w:tcPr>
          <w:p>
            <w:pPr>
              <w:spacing w:after="0"/>
              <w:rPr>
                <w:sz w:val="21"/>
                <w:szCs w:val="21"/>
                <w:color w:val="auto"/>
              </w:rPr>
            </w:pPr>
          </w:p>
        </w:tc>
        <w:tc>
          <w:tcPr>
            <w:tcW w:w="1000" w:type="dxa"/>
            <w:vAlign w:val="bottom"/>
            <w:tcBorders>
              <w:bottom w:val="single" w:sz="8" w:color="CCEEFF"/>
            </w:tcBorders>
          </w:tcPr>
          <w:p>
            <w:pPr>
              <w:jc w:val="right"/>
              <w:ind w:right="39"/>
              <w:spacing w:after="0"/>
              <w:rPr>
                <w:sz w:val="20"/>
                <w:szCs w:val="20"/>
                <w:color w:val="auto"/>
              </w:rPr>
            </w:pPr>
            <w:r>
              <w:rPr>
                <w:rFonts w:ascii="Arial" w:cs="Arial" w:eastAsia="Arial" w:hAnsi="Arial"/>
                <w:sz w:val="16"/>
                <w:szCs w:val="16"/>
                <w:color w:val="auto"/>
              </w:rPr>
              <w:t>293.21</w:t>
            </w:r>
          </w:p>
        </w:tc>
        <w:tc>
          <w:tcPr>
            <w:tcW w:w="1420" w:type="dxa"/>
            <w:vAlign w:val="bottom"/>
            <w:tcBorders>
              <w:bottom w:val="single" w:sz="8" w:color="CCEEFF"/>
            </w:tcBorders>
            <w:gridSpan w:val="2"/>
          </w:tcPr>
          <w:p>
            <w:pPr>
              <w:ind w:left="920"/>
              <w:spacing w:after="0"/>
              <w:rPr>
                <w:sz w:val="20"/>
                <w:szCs w:val="20"/>
                <w:color w:val="auto"/>
              </w:rPr>
            </w:pPr>
            <w:r>
              <w:rPr>
                <w:rFonts w:ascii="Arial" w:cs="Arial" w:eastAsia="Arial" w:hAnsi="Arial"/>
                <w:sz w:val="16"/>
                <w:szCs w:val="16"/>
                <w:color w:val="auto"/>
              </w:rPr>
              <w:t>92.4</w:t>
            </w:r>
          </w:p>
        </w:tc>
        <w:tc>
          <w:tcPr>
            <w:tcW w:w="100" w:type="dxa"/>
            <w:vAlign w:val="bottom"/>
            <w:tcBorders>
              <w:bottom w:val="single" w:sz="8" w:color="CCEEFF"/>
            </w:tcBorders>
          </w:tcPr>
          <w:p>
            <w:pPr>
              <w:spacing w:after="0"/>
              <w:rPr>
                <w:sz w:val="21"/>
                <w:szCs w:val="21"/>
                <w:color w:val="auto"/>
              </w:rPr>
            </w:pPr>
          </w:p>
        </w:tc>
        <w:tc>
          <w:tcPr>
            <w:tcW w:w="44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790</w:t>
            </w:r>
          </w:p>
        </w:tc>
        <w:tc>
          <w:tcPr>
            <w:tcW w:w="0" w:type="dxa"/>
            <w:vAlign w:val="bottom"/>
          </w:tcPr>
          <w:p>
            <w:pPr>
              <w:spacing w:after="0"/>
              <w:rPr>
                <w:sz w:val="1"/>
                <w:szCs w:val="1"/>
                <w:color w:val="auto"/>
              </w:rPr>
            </w:pPr>
          </w:p>
        </w:tc>
      </w:tr>
      <w:tr>
        <w:trPr>
          <w:trHeight w:val="257"/>
        </w:trPr>
        <w:tc>
          <w:tcPr>
            <w:tcW w:w="1940" w:type="dxa"/>
            <w:vAlign w:val="bottom"/>
            <w:shd w:val="clear" w:color="auto" w:fill="CCEEFF"/>
          </w:tcPr>
          <w:p>
            <w:pPr>
              <w:ind w:left="40"/>
              <w:spacing w:after="0"/>
              <w:rPr>
                <w:sz w:val="20"/>
                <w:szCs w:val="20"/>
                <w:color w:val="auto"/>
              </w:rPr>
            </w:pPr>
            <w:r>
              <w:rPr>
                <w:rFonts w:ascii="Arial" w:cs="Arial" w:eastAsia="Arial" w:hAnsi="Arial"/>
                <w:sz w:val="16"/>
                <w:szCs w:val="16"/>
                <w:color w:val="auto"/>
              </w:rPr>
              <w:t>MMP</w:t>
            </w:r>
          </w:p>
        </w:tc>
        <w:tc>
          <w:tcPr>
            <w:tcW w:w="12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0.5</w:t>
            </w: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9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1,083</w:t>
            </w:r>
          </w:p>
        </w:tc>
        <w:tc>
          <w:tcPr>
            <w:tcW w:w="12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0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2,189.96</w:t>
            </w:r>
          </w:p>
        </w:tc>
        <w:tc>
          <w:tcPr>
            <w:tcW w:w="12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9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976</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0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1,974.22</w:t>
            </w:r>
          </w:p>
        </w:tc>
        <w:tc>
          <w:tcPr>
            <w:tcW w:w="1420" w:type="dxa"/>
            <w:vAlign w:val="bottom"/>
            <w:gridSpan w:val="2"/>
            <w:shd w:val="clear" w:color="auto" w:fill="CCEEFF"/>
          </w:tcPr>
          <w:p>
            <w:pPr>
              <w:ind w:left="920"/>
              <w:spacing w:after="0"/>
              <w:rPr>
                <w:sz w:val="20"/>
                <w:szCs w:val="20"/>
                <w:color w:val="auto"/>
              </w:rPr>
            </w:pPr>
            <w:r>
              <w:rPr>
                <w:rFonts w:ascii="Arial" w:cs="Arial" w:eastAsia="Arial" w:hAnsi="Arial"/>
                <w:sz w:val="16"/>
                <w:szCs w:val="16"/>
                <w:color w:val="auto"/>
              </w:rPr>
              <w:t>90.1</w:t>
            </w:r>
          </w:p>
        </w:tc>
        <w:tc>
          <w:tcPr>
            <w:tcW w:w="100" w:type="dxa"/>
            <w:vAlign w:val="bottom"/>
            <w:shd w:val="clear" w:color="auto" w:fill="CCEEFF"/>
          </w:tcPr>
          <w:p>
            <w:pPr>
              <w:spacing w:after="0"/>
              <w:rPr>
                <w:sz w:val="22"/>
                <w:szCs w:val="22"/>
                <w:color w:val="auto"/>
              </w:rPr>
            </w:pPr>
          </w:p>
        </w:tc>
        <w:tc>
          <w:tcPr>
            <w:tcW w:w="440" w:type="dxa"/>
            <w:vAlign w:val="bottom"/>
            <w:shd w:val="clear" w:color="auto" w:fill="CCEEFF"/>
          </w:tcPr>
          <w:p>
            <w:pPr>
              <w:spacing w:after="0"/>
              <w:rPr>
                <w:sz w:val="22"/>
                <w:szCs w:val="22"/>
                <w:color w:val="auto"/>
              </w:rPr>
            </w:pPr>
          </w:p>
        </w:tc>
        <w:tc>
          <w:tcPr>
            <w:tcW w:w="8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107</w:t>
            </w:r>
          </w:p>
        </w:tc>
        <w:tc>
          <w:tcPr>
            <w:tcW w:w="0" w:type="dxa"/>
            <w:vAlign w:val="bottom"/>
          </w:tcPr>
          <w:p>
            <w:pPr>
              <w:spacing w:after="0"/>
              <w:rPr>
                <w:sz w:val="1"/>
                <w:szCs w:val="1"/>
                <w:color w:val="auto"/>
              </w:rPr>
            </w:pPr>
          </w:p>
        </w:tc>
      </w:tr>
      <w:tr>
        <w:trPr>
          <w:trHeight w:val="264"/>
        </w:trPr>
        <w:tc>
          <w:tcPr>
            <w:tcW w:w="194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Medicare</w:t>
            </w:r>
          </w:p>
        </w:tc>
        <w:tc>
          <w:tcPr>
            <w:tcW w:w="12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0.4</w:t>
            </w: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449</w:t>
            </w:r>
          </w:p>
        </w:tc>
        <w:tc>
          <w:tcPr>
            <w:tcW w:w="120" w:type="dxa"/>
            <w:vAlign w:val="bottom"/>
            <w:tcBorders>
              <w:bottom w:val="single" w:sz="8" w:color="CCEEFF"/>
            </w:tcBorders>
          </w:tcPr>
          <w:p>
            <w:pPr>
              <w:spacing w:after="0"/>
              <w:rPr>
                <w:sz w:val="22"/>
                <w:szCs w:val="22"/>
                <w:color w:val="auto"/>
              </w:rPr>
            </w:pPr>
          </w:p>
        </w:tc>
        <w:tc>
          <w:tcPr>
            <w:tcW w:w="240" w:type="dxa"/>
            <w:vAlign w:val="bottom"/>
            <w:tcBorders>
              <w:bottom w:val="single" w:sz="8" w:color="CCEEFF"/>
            </w:tcBorders>
          </w:tcPr>
          <w:p>
            <w:pPr>
              <w:spacing w:after="0"/>
              <w:rPr>
                <w:sz w:val="22"/>
                <w:szCs w:val="22"/>
                <w:color w:val="auto"/>
              </w:rPr>
            </w:pPr>
          </w:p>
        </w:tc>
        <w:tc>
          <w:tcPr>
            <w:tcW w:w="1000" w:type="dxa"/>
            <w:vAlign w:val="bottom"/>
            <w:tcBorders>
              <w:bottom w:val="single" w:sz="8" w:color="CCEEFF"/>
            </w:tcBorders>
          </w:tcPr>
          <w:p>
            <w:pPr>
              <w:jc w:val="right"/>
              <w:ind w:right="19"/>
              <w:spacing w:after="0"/>
              <w:rPr>
                <w:sz w:val="20"/>
                <w:szCs w:val="20"/>
                <w:color w:val="auto"/>
              </w:rPr>
            </w:pPr>
            <w:r>
              <w:rPr>
                <w:rFonts w:ascii="Arial" w:cs="Arial" w:eastAsia="Arial" w:hAnsi="Arial"/>
                <w:sz w:val="16"/>
                <w:szCs w:val="16"/>
                <w:color w:val="auto"/>
              </w:rPr>
              <w:t>1,142.68</w:t>
            </w:r>
          </w:p>
        </w:tc>
        <w:tc>
          <w:tcPr>
            <w:tcW w:w="12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369</w:t>
            </w:r>
          </w:p>
        </w:tc>
        <w:tc>
          <w:tcPr>
            <w:tcW w:w="100" w:type="dxa"/>
            <w:vAlign w:val="bottom"/>
            <w:tcBorders>
              <w:bottom w:val="single" w:sz="8" w:color="CCEEFF"/>
            </w:tcBorders>
          </w:tcPr>
          <w:p>
            <w:pPr>
              <w:spacing w:after="0"/>
              <w:rPr>
                <w:sz w:val="22"/>
                <w:szCs w:val="22"/>
                <w:color w:val="auto"/>
              </w:rPr>
            </w:pPr>
          </w:p>
        </w:tc>
        <w:tc>
          <w:tcPr>
            <w:tcW w:w="260" w:type="dxa"/>
            <w:vAlign w:val="bottom"/>
            <w:tcBorders>
              <w:bottom w:val="single" w:sz="8" w:color="CCEEFF"/>
            </w:tcBorders>
          </w:tcPr>
          <w:p>
            <w:pPr>
              <w:spacing w:after="0"/>
              <w:rPr>
                <w:sz w:val="22"/>
                <w:szCs w:val="22"/>
                <w:color w:val="auto"/>
              </w:rPr>
            </w:pPr>
          </w:p>
        </w:tc>
        <w:tc>
          <w:tcPr>
            <w:tcW w:w="1000" w:type="dxa"/>
            <w:vAlign w:val="bottom"/>
            <w:tcBorders>
              <w:bottom w:val="single" w:sz="8" w:color="CCEEFF"/>
            </w:tcBorders>
          </w:tcPr>
          <w:p>
            <w:pPr>
              <w:jc w:val="right"/>
              <w:ind w:right="39"/>
              <w:spacing w:after="0"/>
              <w:rPr>
                <w:sz w:val="20"/>
                <w:szCs w:val="20"/>
                <w:color w:val="auto"/>
              </w:rPr>
            </w:pPr>
            <w:r>
              <w:rPr>
                <w:rFonts w:ascii="Arial" w:cs="Arial" w:eastAsia="Arial" w:hAnsi="Arial"/>
                <w:sz w:val="16"/>
                <w:szCs w:val="16"/>
                <w:color w:val="auto"/>
              </w:rPr>
              <w:t>939.21</w:t>
            </w:r>
          </w:p>
        </w:tc>
        <w:tc>
          <w:tcPr>
            <w:tcW w:w="1420" w:type="dxa"/>
            <w:vAlign w:val="bottom"/>
            <w:tcBorders>
              <w:bottom w:val="single" w:sz="8" w:color="CCEEFF"/>
            </w:tcBorders>
            <w:gridSpan w:val="2"/>
          </w:tcPr>
          <w:p>
            <w:pPr>
              <w:ind w:left="920"/>
              <w:spacing w:after="0"/>
              <w:rPr>
                <w:sz w:val="20"/>
                <w:szCs w:val="20"/>
                <w:color w:val="auto"/>
              </w:rPr>
            </w:pPr>
            <w:r>
              <w:rPr>
                <w:rFonts w:ascii="Arial" w:cs="Arial" w:eastAsia="Arial" w:hAnsi="Arial"/>
                <w:sz w:val="16"/>
                <w:szCs w:val="16"/>
                <w:color w:val="auto"/>
              </w:rPr>
              <w:t>82.2</w:t>
            </w:r>
          </w:p>
        </w:tc>
        <w:tc>
          <w:tcPr>
            <w:tcW w:w="100" w:type="dxa"/>
            <w:vAlign w:val="bottom"/>
            <w:tcBorders>
              <w:bottom w:val="single" w:sz="8" w:color="CCEEFF"/>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80</w:t>
            </w:r>
          </w:p>
        </w:tc>
        <w:tc>
          <w:tcPr>
            <w:tcW w:w="0" w:type="dxa"/>
            <w:vAlign w:val="bottom"/>
          </w:tcPr>
          <w:p>
            <w:pPr>
              <w:spacing w:after="0"/>
              <w:rPr>
                <w:sz w:val="1"/>
                <w:szCs w:val="1"/>
                <w:color w:val="auto"/>
              </w:rPr>
            </w:pPr>
          </w:p>
        </w:tc>
      </w:tr>
      <w:tr>
        <w:trPr>
          <w:trHeight w:val="250"/>
        </w:trPr>
        <w:tc>
          <w:tcPr>
            <w:tcW w:w="1940" w:type="dxa"/>
            <w:vAlign w:val="bottom"/>
            <w:shd w:val="clear" w:color="auto" w:fill="CCEEFF"/>
          </w:tcPr>
          <w:p>
            <w:pPr>
              <w:ind w:left="180"/>
              <w:spacing w:after="0"/>
              <w:rPr>
                <w:sz w:val="20"/>
                <w:szCs w:val="20"/>
                <w:color w:val="auto"/>
              </w:rPr>
            </w:pPr>
            <w:r>
              <w:rPr>
                <w:rFonts w:ascii="Arial" w:cs="Arial" w:eastAsia="Arial" w:hAnsi="Arial"/>
                <w:sz w:val="16"/>
                <w:szCs w:val="16"/>
                <w:color w:val="auto"/>
              </w:rPr>
              <w:t>Total Medicare</w:t>
            </w:r>
          </w:p>
        </w:tc>
        <w:tc>
          <w:tcPr>
            <w:tcW w:w="12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0.9</w:t>
            </w:r>
          </w:p>
        </w:tc>
        <w:tc>
          <w:tcPr>
            <w:tcW w:w="100" w:type="dxa"/>
            <w:vAlign w:val="bottom"/>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1,532</w:t>
            </w: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0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1,726.39</w:t>
            </w:r>
          </w:p>
        </w:tc>
        <w:tc>
          <w:tcPr>
            <w:tcW w:w="120" w:type="dxa"/>
            <w:vAlign w:val="bottom"/>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1,345</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0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1,516.09</w:t>
            </w:r>
          </w:p>
        </w:tc>
        <w:tc>
          <w:tcPr>
            <w:tcW w:w="1420" w:type="dxa"/>
            <w:vAlign w:val="bottom"/>
            <w:gridSpan w:val="2"/>
            <w:shd w:val="clear" w:color="auto" w:fill="CCEEFF"/>
          </w:tcPr>
          <w:p>
            <w:pPr>
              <w:ind w:left="920"/>
              <w:spacing w:after="0"/>
              <w:rPr>
                <w:sz w:val="20"/>
                <w:szCs w:val="20"/>
                <w:color w:val="auto"/>
              </w:rPr>
            </w:pPr>
            <w:r>
              <w:rPr>
                <w:rFonts w:ascii="Arial" w:cs="Arial" w:eastAsia="Arial" w:hAnsi="Arial"/>
                <w:sz w:val="16"/>
                <w:szCs w:val="16"/>
                <w:color w:val="auto"/>
              </w:rPr>
              <w:t>87.8</w:t>
            </w:r>
          </w:p>
        </w:tc>
        <w:tc>
          <w:tcPr>
            <w:tcW w:w="100" w:type="dxa"/>
            <w:vAlign w:val="bottom"/>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spacing w:after="0"/>
              <w:rPr>
                <w:sz w:val="21"/>
                <w:szCs w:val="21"/>
                <w:color w:val="auto"/>
              </w:rPr>
            </w:pPr>
          </w:p>
        </w:tc>
        <w:tc>
          <w:tcPr>
            <w:tcW w:w="8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187</w:t>
            </w:r>
          </w:p>
        </w:tc>
        <w:tc>
          <w:tcPr>
            <w:tcW w:w="0" w:type="dxa"/>
            <w:vAlign w:val="bottom"/>
          </w:tcPr>
          <w:p>
            <w:pPr>
              <w:spacing w:after="0"/>
              <w:rPr>
                <w:sz w:val="1"/>
                <w:szCs w:val="1"/>
                <w:color w:val="auto"/>
              </w:rPr>
            </w:pPr>
          </w:p>
        </w:tc>
      </w:tr>
      <w:tr>
        <w:trPr>
          <w:trHeight w:val="249"/>
        </w:trPr>
        <w:tc>
          <w:tcPr>
            <w:tcW w:w="1940" w:type="dxa"/>
            <w:vAlign w:val="bottom"/>
          </w:tcPr>
          <w:p>
            <w:pPr>
              <w:ind w:left="40"/>
              <w:spacing w:after="0"/>
              <w:rPr>
                <w:sz w:val="20"/>
                <w:szCs w:val="20"/>
                <w:color w:val="auto"/>
              </w:rPr>
            </w:pPr>
            <w:r>
              <w:rPr>
                <w:rFonts w:ascii="Arial" w:cs="Arial" w:eastAsia="Arial" w:hAnsi="Arial"/>
                <w:sz w:val="16"/>
                <w:szCs w:val="16"/>
                <w:color w:val="auto"/>
              </w:rPr>
              <w:t>Excluding Marketplace</w:t>
            </w:r>
          </w:p>
        </w:tc>
        <w:tc>
          <w:tcPr>
            <w:tcW w:w="1240" w:type="dxa"/>
            <w:vAlign w:val="bottom"/>
          </w:tcPr>
          <w:p>
            <w:pPr>
              <w:jc w:val="right"/>
              <w:ind w:right="19"/>
              <w:spacing w:after="0"/>
              <w:rPr>
                <w:sz w:val="20"/>
                <w:szCs w:val="20"/>
                <w:color w:val="auto"/>
              </w:rPr>
            </w:pPr>
            <w:r>
              <w:rPr>
                <w:rFonts w:ascii="Arial" w:cs="Arial" w:eastAsia="Arial" w:hAnsi="Arial"/>
                <w:sz w:val="16"/>
                <w:szCs w:val="16"/>
                <w:color w:val="auto"/>
              </w:rPr>
              <w:t>33.4</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11,862</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354.88</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10,885</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325.66</w:t>
            </w:r>
          </w:p>
        </w:tc>
        <w:tc>
          <w:tcPr>
            <w:tcW w:w="1420" w:type="dxa"/>
            <w:vAlign w:val="bottom"/>
            <w:gridSpan w:val="2"/>
          </w:tcPr>
          <w:p>
            <w:pPr>
              <w:ind w:left="920"/>
              <w:spacing w:after="0"/>
              <w:rPr>
                <w:sz w:val="20"/>
                <w:szCs w:val="20"/>
                <w:color w:val="auto"/>
              </w:rPr>
            </w:pPr>
            <w:r>
              <w:rPr>
                <w:rFonts w:ascii="Arial" w:cs="Arial" w:eastAsia="Arial" w:hAnsi="Arial"/>
                <w:sz w:val="16"/>
                <w:szCs w:val="16"/>
                <w:color w:val="auto"/>
              </w:rPr>
              <w:t>91.8</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20" w:type="dxa"/>
            <w:vAlign w:val="bottom"/>
          </w:tcPr>
          <w:p>
            <w:pPr>
              <w:jc w:val="right"/>
              <w:ind w:right="19"/>
              <w:spacing w:after="0"/>
              <w:rPr>
                <w:sz w:val="20"/>
                <w:szCs w:val="20"/>
                <w:color w:val="auto"/>
              </w:rPr>
            </w:pPr>
            <w:r>
              <w:rPr>
                <w:rFonts w:ascii="Arial" w:cs="Arial" w:eastAsia="Arial" w:hAnsi="Arial"/>
                <w:sz w:val="16"/>
                <w:szCs w:val="16"/>
                <w:color w:val="auto"/>
              </w:rPr>
              <w:t>977</w:t>
            </w:r>
          </w:p>
        </w:tc>
        <w:tc>
          <w:tcPr>
            <w:tcW w:w="0" w:type="dxa"/>
            <w:vAlign w:val="bottom"/>
          </w:tcPr>
          <w:p>
            <w:pPr>
              <w:spacing w:after="0"/>
              <w:rPr>
                <w:sz w:val="1"/>
                <w:szCs w:val="1"/>
                <w:color w:val="auto"/>
              </w:rPr>
            </w:pPr>
          </w:p>
        </w:tc>
      </w:tr>
      <w:tr>
        <w:trPr>
          <w:trHeight w:val="271"/>
        </w:trPr>
        <w:tc>
          <w:tcPr>
            <w:tcW w:w="1940" w:type="dxa"/>
            <w:vAlign w:val="bottom"/>
            <w:shd w:val="clear" w:color="auto" w:fill="CCEEFF"/>
          </w:tcPr>
          <w:p>
            <w:pPr>
              <w:ind w:left="40"/>
              <w:spacing w:after="0"/>
              <w:rPr>
                <w:sz w:val="20"/>
                <w:szCs w:val="20"/>
                <w:color w:val="auto"/>
              </w:rPr>
            </w:pPr>
            <w:r>
              <w:rPr>
                <w:rFonts w:ascii="Arial" w:cs="Arial" w:eastAsia="Arial" w:hAnsi="Arial"/>
                <w:sz w:val="16"/>
                <w:szCs w:val="16"/>
                <w:color w:val="auto"/>
              </w:rPr>
              <w:t>Marketplace</w:t>
            </w:r>
          </w:p>
        </w:tc>
        <w:tc>
          <w:tcPr>
            <w:tcW w:w="12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8.4</w:t>
            </w:r>
          </w:p>
        </w:tc>
        <w:tc>
          <w:tcPr>
            <w:tcW w:w="100" w:type="dxa"/>
            <w:vAlign w:val="bottom"/>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spacing w:after="0"/>
              <w:rPr>
                <w:sz w:val="23"/>
                <w:szCs w:val="23"/>
                <w:color w:val="auto"/>
              </w:rPr>
            </w:pPr>
          </w:p>
        </w:tc>
        <w:tc>
          <w:tcPr>
            <w:tcW w:w="9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2,303</w:t>
            </w: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276.27</w:t>
            </w:r>
          </w:p>
        </w:tc>
        <w:tc>
          <w:tcPr>
            <w:tcW w:w="120" w:type="dxa"/>
            <w:vAlign w:val="bottom"/>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spacing w:after="0"/>
              <w:rPr>
                <w:sz w:val="23"/>
                <w:szCs w:val="23"/>
                <w:color w:val="auto"/>
              </w:rPr>
            </w:pPr>
          </w:p>
        </w:tc>
        <w:tc>
          <w:tcPr>
            <w:tcW w:w="98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1,937</w:t>
            </w: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232.31</w:t>
            </w:r>
          </w:p>
        </w:tc>
        <w:tc>
          <w:tcPr>
            <w:tcW w:w="1420" w:type="dxa"/>
            <w:vAlign w:val="bottom"/>
            <w:gridSpan w:val="2"/>
            <w:shd w:val="clear" w:color="auto" w:fill="CCEEFF"/>
          </w:tcPr>
          <w:p>
            <w:pPr>
              <w:ind w:left="920"/>
              <w:spacing w:after="0"/>
              <w:rPr>
                <w:sz w:val="20"/>
                <w:szCs w:val="20"/>
                <w:color w:val="auto"/>
              </w:rPr>
            </w:pPr>
            <w:r>
              <w:rPr>
                <w:rFonts w:ascii="Arial" w:cs="Arial" w:eastAsia="Arial" w:hAnsi="Arial"/>
                <w:sz w:val="16"/>
                <w:szCs w:val="16"/>
                <w:color w:val="auto"/>
              </w:rPr>
              <w:t>84.1</w:t>
            </w:r>
          </w:p>
        </w:tc>
        <w:tc>
          <w:tcPr>
            <w:tcW w:w="100" w:type="dxa"/>
            <w:vAlign w:val="bottom"/>
            <w:shd w:val="clear" w:color="auto" w:fill="CCEEFF"/>
          </w:tcPr>
          <w:p>
            <w:pPr>
              <w:spacing w:after="0"/>
              <w:rPr>
                <w:sz w:val="23"/>
                <w:szCs w:val="23"/>
                <w:color w:val="auto"/>
              </w:rPr>
            </w:pPr>
          </w:p>
        </w:tc>
        <w:tc>
          <w:tcPr>
            <w:tcW w:w="440" w:type="dxa"/>
            <w:vAlign w:val="bottom"/>
            <w:tcBorders>
              <w:bottom w:val="single" w:sz="8" w:color="auto"/>
            </w:tcBorders>
            <w:shd w:val="clear" w:color="auto" w:fill="CCEEFF"/>
          </w:tcPr>
          <w:p>
            <w:pPr>
              <w:spacing w:after="0"/>
              <w:rPr>
                <w:sz w:val="23"/>
                <w:szCs w:val="23"/>
                <w:color w:val="auto"/>
              </w:rPr>
            </w:pPr>
          </w:p>
        </w:tc>
        <w:tc>
          <w:tcPr>
            <w:tcW w:w="8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366</w:t>
            </w:r>
          </w:p>
        </w:tc>
        <w:tc>
          <w:tcPr>
            <w:tcW w:w="0" w:type="dxa"/>
            <w:vAlign w:val="bottom"/>
          </w:tcPr>
          <w:p>
            <w:pPr>
              <w:spacing w:after="0"/>
              <w:rPr>
                <w:sz w:val="1"/>
                <w:szCs w:val="1"/>
                <w:color w:val="auto"/>
              </w:rPr>
            </w:pPr>
          </w:p>
        </w:tc>
      </w:tr>
      <w:tr>
        <w:trPr>
          <w:trHeight w:val="242"/>
        </w:trPr>
        <w:tc>
          <w:tcPr>
            <w:tcW w:w="1940" w:type="dxa"/>
            <w:vAlign w:val="bottom"/>
          </w:tcPr>
          <w:p>
            <w:pPr>
              <w:spacing w:after="0"/>
              <w:rPr>
                <w:sz w:val="21"/>
                <w:szCs w:val="21"/>
                <w:color w:val="auto"/>
              </w:rPr>
            </w:pPr>
          </w:p>
        </w:tc>
        <w:tc>
          <w:tcPr>
            <w:tcW w:w="12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41.8</w:t>
            </w:r>
          </w:p>
        </w:tc>
        <w:tc>
          <w:tcPr>
            <w:tcW w:w="100" w:type="dxa"/>
            <w:vAlign w:val="bottom"/>
          </w:tcPr>
          <w:p>
            <w:pPr>
              <w:spacing w:after="0"/>
              <w:rPr>
                <w:sz w:val="21"/>
                <w:szCs w:val="21"/>
                <w:color w:val="auto"/>
              </w:rPr>
            </w:pPr>
          </w:p>
        </w:tc>
        <w:tc>
          <w:tcPr>
            <w:tcW w:w="2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14,165</w:t>
            </w:r>
          </w:p>
        </w:tc>
        <w:tc>
          <w:tcPr>
            <w:tcW w:w="36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339.19</w:t>
            </w:r>
          </w:p>
        </w:tc>
        <w:tc>
          <w:tcPr>
            <w:tcW w:w="120" w:type="dxa"/>
            <w:vAlign w:val="bottom"/>
          </w:tcPr>
          <w:p>
            <w:pPr>
              <w:spacing w:after="0"/>
              <w:rPr>
                <w:sz w:val="21"/>
                <w:szCs w:val="21"/>
                <w:color w:val="auto"/>
              </w:rPr>
            </w:pPr>
          </w:p>
        </w:tc>
        <w:tc>
          <w:tcPr>
            <w:tcW w:w="2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12,822</w:t>
            </w:r>
          </w:p>
        </w:tc>
        <w:tc>
          <w:tcPr>
            <w:tcW w:w="36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307.03</w:t>
            </w:r>
          </w:p>
        </w:tc>
        <w:tc>
          <w:tcPr>
            <w:tcW w:w="1420" w:type="dxa"/>
            <w:vAlign w:val="bottom"/>
            <w:gridSpan w:val="2"/>
          </w:tcPr>
          <w:p>
            <w:pPr>
              <w:ind w:left="920"/>
              <w:spacing w:after="0"/>
              <w:rPr>
                <w:sz w:val="20"/>
                <w:szCs w:val="20"/>
                <w:color w:val="auto"/>
              </w:rPr>
            </w:pPr>
            <w:r>
              <w:rPr>
                <w:rFonts w:ascii="Arial" w:cs="Arial" w:eastAsia="Arial" w:hAnsi="Arial"/>
                <w:sz w:val="16"/>
                <w:szCs w:val="16"/>
                <w:color w:val="auto"/>
              </w:rPr>
              <w:t>90.5%</w:t>
            </w:r>
          </w:p>
        </w:tc>
        <w:tc>
          <w:tcPr>
            <w:tcW w:w="100" w:type="dxa"/>
            <w:vAlign w:val="bottom"/>
          </w:tcPr>
          <w:p>
            <w:pPr>
              <w:spacing w:after="0"/>
              <w:rPr>
                <w:sz w:val="21"/>
                <w:szCs w:val="21"/>
                <w:color w:val="auto"/>
              </w:rPr>
            </w:pPr>
          </w:p>
        </w:tc>
        <w:tc>
          <w:tcPr>
            <w:tcW w:w="440" w:type="dxa"/>
            <w:vAlign w:val="bottom"/>
            <w:tcBorders>
              <w:bottom w:val="single" w:sz="8" w:color="auto"/>
            </w:tcBorders>
          </w:tcPr>
          <w:p>
            <w:pPr>
              <w:ind w:left="40"/>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1,343</w:t>
            </w:r>
          </w:p>
        </w:tc>
        <w:tc>
          <w:tcPr>
            <w:tcW w:w="0" w:type="dxa"/>
            <w:vAlign w:val="bottom"/>
          </w:tcPr>
          <w:p>
            <w:pPr>
              <w:spacing w:after="0"/>
              <w:rPr>
                <w:sz w:val="1"/>
                <w:szCs w:val="1"/>
                <w:color w:val="auto"/>
              </w:rPr>
            </w:pPr>
          </w:p>
        </w:tc>
      </w:tr>
      <w:tr>
        <w:trPr>
          <w:trHeight w:val="20"/>
        </w:trPr>
        <w:tc>
          <w:tcPr>
            <w:tcW w:w="194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99"/>
        </w:trPr>
        <w:tc>
          <w:tcPr>
            <w:tcW w:w="1940" w:type="dxa"/>
            <w:vAlign w:val="bottom"/>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3740" w:type="dxa"/>
            <w:vAlign w:val="bottom"/>
            <w:tcBorders>
              <w:bottom w:val="single" w:sz="8" w:color="auto"/>
            </w:tcBorders>
            <w:gridSpan w:val="7"/>
          </w:tcPr>
          <w:p>
            <w:pPr>
              <w:jc w:val="right"/>
              <w:ind w:right="339"/>
              <w:spacing w:after="0"/>
              <w:rPr>
                <w:sz w:val="20"/>
                <w:szCs w:val="20"/>
                <w:color w:val="auto"/>
              </w:rPr>
            </w:pPr>
            <w:r>
              <w:rPr>
                <w:rFonts w:ascii="Arial" w:cs="Arial" w:eastAsia="Arial" w:hAnsi="Arial"/>
                <w:sz w:val="16"/>
                <w:szCs w:val="16"/>
                <w:b w:val="1"/>
                <w:bCs w:val="1"/>
                <w:color w:val="auto"/>
              </w:rPr>
              <w:t>Nine Months Ended September 30, 2016</w:t>
            </w:r>
          </w:p>
        </w:tc>
        <w:tc>
          <w:tcPr>
            <w:tcW w:w="10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1940" w:type="dxa"/>
            <w:vAlign w:val="bottom"/>
          </w:tcPr>
          <w:p>
            <w:pPr>
              <w:spacing w:after="0"/>
              <w:rPr>
                <w:sz w:val="22"/>
                <w:szCs w:val="22"/>
                <w:color w:val="auto"/>
              </w:rPr>
            </w:pPr>
          </w:p>
        </w:tc>
        <w:tc>
          <w:tcPr>
            <w:tcW w:w="1340" w:type="dxa"/>
            <w:vAlign w:val="bottom"/>
            <w:gridSpan w:val="2"/>
            <w:vMerge w:val="restart"/>
          </w:tcPr>
          <w:p>
            <w:pPr>
              <w:jc w:val="center"/>
              <w:ind w:right="80"/>
              <w:spacing w:after="0"/>
              <w:rPr>
                <w:sz w:val="20"/>
                <w:szCs w:val="20"/>
                <w:color w:val="auto"/>
              </w:rPr>
            </w:pPr>
            <w:r>
              <w:rPr>
                <w:rFonts w:ascii="Arial" w:cs="Arial" w:eastAsia="Arial" w:hAnsi="Arial"/>
                <w:sz w:val="16"/>
                <w:szCs w:val="16"/>
                <w:b w:val="1"/>
                <w:bCs w:val="1"/>
                <w:color w:val="auto"/>
              </w:rPr>
              <w:t>Member</w:t>
            </w:r>
          </w:p>
        </w:tc>
        <w:tc>
          <w:tcPr>
            <w:tcW w:w="280" w:type="dxa"/>
            <w:vAlign w:val="bottom"/>
          </w:tcPr>
          <w:p>
            <w:pPr>
              <w:spacing w:after="0"/>
              <w:rPr>
                <w:sz w:val="22"/>
                <w:szCs w:val="22"/>
                <w:color w:val="auto"/>
              </w:rPr>
            </w:pPr>
          </w:p>
        </w:tc>
        <w:tc>
          <w:tcPr>
            <w:tcW w:w="2460" w:type="dxa"/>
            <w:vAlign w:val="bottom"/>
            <w:gridSpan w:val="5"/>
          </w:tcPr>
          <w:p>
            <w:pPr>
              <w:ind w:left="340"/>
              <w:spacing w:after="0"/>
              <w:rPr>
                <w:sz w:val="20"/>
                <w:szCs w:val="20"/>
                <w:color w:val="auto"/>
              </w:rPr>
            </w:pPr>
            <w:r>
              <w:rPr>
                <w:rFonts w:ascii="Arial" w:cs="Arial" w:eastAsia="Arial" w:hAnsi="Arial"/>
                <w:sz w:val="16"/>
                <w:szCs w:val="16"/>
                <w:b w:val="1"/>
                <w:bCs w:val="1"/>
                <w:color w:val="auto"/>
              </w:rPr>
              <w:t>Premium Revenue</w:t>
            </w:r>
          </w:p>
        </w:tc>
        <w:tc>
          <w:tcPr>
            <w:tcW w:w="280" w:type="dxa"/>
            <w:vAlign w:val="bottom"/>
          </w:tcPr>
          <w:p>
            <w:pPr>
              <w:spacing w:after="0"/>
              <w:rPr>
                <w:sz w:val="22"/>
                <w:szCs w:val="22"/>
                <w:color w:val="auto"/>
              </w:rPr>
            </w:pPr>
          </w:p>
        </w:tc>
        <w:tc>
          <w:tcPr>
            <w:tcW w:w="2340" w:type="dxa"/>
            <w:vAlign w:val="bottom"/>
            <w:gridSpan w:val="4"/>
          </w:tcPr>
          <w:p>
            <w:pPr>
              <w:jc w:val="right"/>
              <w:ind w:right="479"/>
              <w:spacing w:after="0"/>
              <w:rPr>
                <w:sz w:val="20"/>
                <w:szCs w:val="20"/>
                <w:color w:val="auto"/>
              </w:rPr>
            </w:pPr>
            <w:r>
              <w:rPr>
                <w:rFonts w:ascii="Arial" w:cs="Arial" w:eastAsia="Arial" w:hAnsi="Arial"/>
                <w:sz w:val="16"/>
                <w:szCs w:val="16"/>
                <w:b w:val="1"/>
                <w:bCs w:val="1"/>
                <w:color w:val="auto"/>
              </w:rPr>
              <w:t>Medical Care Costs</w:t>
            </w:r>
          </w:p>
        </w:tc>
        <w:tc>
          <w:tcPr>
            <w:tcW w:w="10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1"/>
        </w:trPr>
        <w:tc>
          <w:tcPr>
            <w:tcW w:w="1940" w:type="dxa"/>
            <w:vAlign w:val="bottom"/>
          </w:tcPr>
          <w:p>
            <w:pPr>
              <w:spacing w:after="0"/>
              <w:rPr>
                <w:sz w:val="2"/>
                <w:szCs w:val="2"/>
                <w:color w:val="auto"/>
              </w:rPr>
            </w:pPr>
          </w:p>
        </w:tc>
        <w:tc>
          <w:tcPr>
            <w:tcW w:w="1340" w:type="dxa"/>
            <w:vAlign w:val="bottom"/>
            <w:gridSpan w:val="2"/>
            <w:vMerge w:val="continue"/>
          </w:tcPr>
          <w:p>
            <w:pPr>
              <w:spacing w:after="0"/>
              <w:rPr>
                <w:sz w:val="2"/>
                <w:szCs w:val="2"/>
                <w:color w:val="auto"/>
              </w:rPr>
            </w:pPr>
          </w:p>
        </w:tc>
        <w:tc>
          <w:tcPr>
            <w:tcW w:w="280" w:type="dxa"/>
            <w:vAlign w:val="bottom"/>
            <w:tcBorders>
              <w:top w:val="single" w:sz="8" w:color="auto"/>
            </w:tcBorders>
          </w:tcPr>
          <w:p>
            <w:pPr>
              <w:spacing w:after="0"/>
              <w:rPr>
                <w:sz w:val="2"/>
                <w:szCs w:val="2"/>
                <w:color w:val="auto"/>
              </w:rPr>
            </w:pPr>
          </w:p>
        </w:tc>
        <w:tc>
          <w:tcPr>
            <w:tcW w:w="980" w:type="dxa"/>
            <w:vAlign w:val="bottom"/>
            <w:tcBorders>
              <w:top w:val="single" w:sz="8" w:color="auto"/>
            </w:tcBorders>
          </w:tcPr>
          <w:p>
            <w:pPr>
              <w:spacing w:after="0"/>
              <w:rPr>
                <w:sz w:val="2"/>
                <w:szCs w:val="2"/>
                <w:color w:val="auto"/>
              </w:rPr>
            </w:pPr>
          </w:p>
        </w:tc>
        <w:tc>
          <w:tcPr>
            <w:tcW w:w="120" w:type="dxa"/>
            <w:vAlign w:val="bottom"/>
            <w:tcBorders>
              <w:top w:val="single" w:sz="8" w:color="auto"/>
            </w:tcBorders>
          </w:tcPr>
          <w:p>
            <w:pPr>
              <w:spacing w:after="0"/>
              <w:rPr>
                <w:sz w:val="2"/>
                <w:szCs w:val="2"/>
                <w:color w:val="auto"/>
              </w:rPr>
            </w:pPr>
          </w:p>
        </w:tc>
        <w:tc>
          <w:tcPr>
            <w:tcW w:w="240" w:type="dxa"/>
            <w:vAlign w:val="bottom"/>
            <w:tcBorders>
              <w:top w:val="single" w:sz="8" w:color="auto"/>
            </w:tcBorders>
          </w:tcPr>
          <w:p>
            <w:pPr>
              <w:spacing w:after="0"/>
              <w:rPr>
                <w:sz w:val="2"/>
                <w:szCs w:val="2"/>
                <w:color w:val="auto"/>
              </w:rPr>
            </w:pPr>
          </w:p>
        </w:tc>
        <w:tc>
          <w:tcPr>
            <w:tcW w:w="1000" w:type="dxa"/>
            <w:vAlign w:val="bottom"/>
            <w:tcBorders>
              <w:top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top w:val="single" w:sz="8" w:color="auto"/>
            </w:tcBorders>
          </w:tcPr>
          <w:p>
            <w:pPr>
              <w:spacing w:after="0"/>
              <w:rPr>
                <w:sz w:val="2"/>
                <w:szCs w:val="2"/>
                <w:color w:val="auto"/>
              </w:rPr>
            </w:pPr>
          </w:p>
        </w:tc>
        <w:tc>
          <w:tcPr>
            <w:tcW w:w="980" w:type="dxa"/>
            <w:vAlign w:val="bottom"/>
            <w:tcBorders>
              <w:top w:val="single" w:sz="8" w:color="auto"/>
            </w:tcBorders>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260" w:type="dxa"/>
            <w:vAlign w:val="bottom"/>
            <w:tcBorders>
              <w:top w:val="single" w:sz="8" w:color="auto"/>
            </w:tcBorders>
          </w:tcPr>
          <w:p>
            <w:pPr>
              <w:spacing w:after="0"/>
              <w:rPr>
                <w:sz w:val="2"/>
                <w:szCs w:val="2"/>
                <w:color w:val="auto"/>
              </w:rPr>
            </w:pPr>
          </w:p>
        </w:tc>
        <w:tc>
          <w:tcPr>
            <w:tcW w:w="100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6"/>
        </w:trPr>
        <w:tc>
          <w:tcPr>
            <w:tcW w:w="1940" w:type="dxa"/>
            <w:vAlign w:val="bottom"/>
            <w:tcBorders>
              <w:bottom w:val="single" w:sz="8" w:color="CCEEFF"/>
            </w:tcBorders>
          </w:tcPr>
          <w:p>
            <w:pPr>
              <w:spacing w:after="0"/>
              <w:rPr>
                <w:sz w:val="20"/>
                <w:szCs w:val="20"/>
                <w:color w:val="auto"/>
              </w:rPr>
            </w:pPr>
          </w:p>
        </w:tc>
        <w:tc>
          <w:tcPr>
            <w:tcW w:w="1240" w:type="dxa"/>
            <w:vAlign w:val="bottom"/>
            <w:tcBorders>
              <w:bottom w:val="single" w:sz="8" w:color="auto"/>
            </w:tcBorders>
          </w:tcPr>
          <w:p>
            <w:pPr>
              <w:jc w:val="center"/>
              <w:spacing w:after="0" w:line="236" w:lineRule="exact"/>
              <w:rPr>
                <w:sz w:val="20"/>
                <w:szCs w:val="20"/>
                <w:color w:val="auto"/>
              </w:rPr>
            </w:pPr>
            <w:r>
              <w:rPr>
                <w:rFonts w:ascii="Arial" w:cs="Arial" w:eastAsia="Arial" w:hAnsi="Arial"/>
                <w:sz w:val="16"/>
                <w:szCs w:val="16"/>
                <w:b w:val="1"/>
                <w:bCs w:val="1"/>
                <w:color w:val="auto"/>
                <w:w w:val="96"/>
              </w:rPr>
              <w:t xml:space="preserve">Months </w:t>
            </w:r>
            <w:r>
              <w:rPr>
                <w:rFonts w:ascii="Arial" w:cs="Arial" w:eastAsia="Arial" w:hAnsi="Arial"/>
                <w:sz w:val="21"/>
                <w:szCs w:val="21"/>
                <w:b w:val="1"/>
                <w:bCs w:val="1"/>
                <w:color w:val="auto"/>
                <w:w w:val="96"/>
                <w:vertAlign w:val="superscript"/>
              </w:rPr>
              <w:t>(1)</w:t>
            </w:r>
          </w:p>
        </w:tc>
        <w:tc>
          <w:tcPr>
            <w:tcW w:w="10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b w:val="1"/>
                <w:bCs w:val="1"/>
                <w:color w:val="auto"/>
              </w:rPr>
              <w:t>Total</w:t>
            </w:r>
          </w:p>
        </w:tc>
        <w:tc>
          <w:tcPr>
            <w:tcW w:w="12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PMPM</w:t>
            </w:r>
          </w:p>
        </w:tc>
        <w:tc>
          <w:tcPr>
            <w:tcW w:w="12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b w:val="1"/>
                <w:bCs w:val="1"/>
                <w:color w:val="auto"/>
              </w:rPr>
              <w:t>Total</w:t>
            </w:r>
          </w:p>
        </w:tc>
        <w:tc>
          <w:tcPr>
            <w:tcW w:w="10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PMPM</w:t>
            </w:r>
          </w:p>
        </w:tc>
        <w:tc>
          <w:tcPr>
            <w:tcW w:w="100" w:type="dxa"/>
            <w:vAlign w:val="bottom"/>
            <w:tcBorders>
              <w:bottom w:val="single" w:sz="8" w:color="CCEEFF"/>
            </w:tcBorders>
          </w:tcPr>
          <w:p>
            <w:pPr>
              <w:spacing w:after="0"/>
              <w:rPr>
                <w:sz w:val="20"/>
                <w:szCs w:val="20"/>
                <w:color w:val="auto"/>
              </w:rPr>
            </w:pPr>
          </w:p>
        </w:tc>
        <w:tc>
          <w:tcPr>
            <w:tcW w:w="1320" w:type="dxa"/>
            <w:vAlign w:val="bottom"/>
            <w:tcBorders>
              <w:bottom w:val="single" w:sz="8" w:color="auto"/>
            </w:tcBorders>
          </w:tcPr>
          <w:p>
            <w:pPr>
              <w:ind w:left="380"/>
              <w:spacing w:after="0" w:line="236" w:lineRule="exact"/>
              <w:rPr>
                <w:sz w:val="20"/>
                <w:szCs w:val="20"/>
                <w:color w:val="auto"/>
              </w:rPr>
            </w:pPr>
            <w:r>
              <w:rPr>
                <w:rFonts w:ascii="Arial" w:cs="Arial" w:eastAsia="Arial" w:hAnsi="Arial"/>
                <w:sz w:val="16"/>
                <w:szCs w:val="16"/>
                <w:b w:val="1"/>
                <w:bCs w:val="1"/>
                <w:color w:val="auto"/>
              </w:rPr>
              <w:t xml:space="preserve">MCR </w:t>
            </w:r>
            <w:r>
              <w:rPr>
                <w:rFonts w:ascii="Arial" w:cs="Arial" w:eastAsia="Arial" w:hAnsi="Arial"/>
                <w:sz w:val="21"/>
                <w:szCs w:val="21"/>
                <w:b w:val="1"/>
                <w:bCs w:val="1"/>
                <w:color w:val="auto"/>
                <w:vertAlign w:val="superscript"/>
              </w:rPr>
              <w:t>(2)</w:t>
            </w:r>
          </w:p>
        </w:tc>
        <w:tc>
          <w:tcPr>
            <w:tcW w:w="100" w:type="dxa"/>
            <w:vAlign w:val="bottom"/>
            <w:tcBorders>
              <w:bottom w:val="single" w:sz="8" w:color="CCEEFF"/>
            </w:tcBorders>
          </w:tcPr>
          <w:p>
            <w:pPr>
              <w:spacing w:after="0"/>
              <w:rPr>
                <w:sz w:val="20"/>
                <w:szCs w:val="20"/>
                <w:color w:val="auto"/>
              </w:rPr>
            </w:pPr>
          </w:p>
        </w:tc>
        <w:tc>
          <w:tcPr>
            <w:tcW w:w="1260" w:type="dxa"/>
            <w:vAlign w:val="bottom"/>
            <w:tcBorders>
              <w:bottom w:val="single" w:sz="8" w:color="auto"/>
            </w:tcBorders>
            <w:gridSpan w:val="2"/>
          </w:tcPr>
          <w:p>
            <w:pPr>
              <w:ind w:left="40"/>
              <w:spacing w:after="0"/>
              <w:rPr>
                <w:sz w:val="20"/>
                <w:szCs w:val="20"/>
                <w:color w:val="auto"/>
              </w:rPr>
            </w:pPr>
            <w:r>
              <w:rPr>
                <w:rFonts w:ascii="Arial" w:cs="Arial" w:eastAsia="Arial" w:hAnsi="Arial"/>
                <w:sz w:val="16"/>
                <w:szCs w:val="16"/>
                <w:b w:val="1"/>
                <w:bCs w:val="1"/>
                <w:color w:val="auto"/>
              </w:rPr>
              <w:t>Medical Margin</w:t>
            </w:r>
          </w:p>
        </w:tc>
        <w:tc>
          <w:tcPr>
            <w:tcW w:w="0" w:type="dxa"/>
            <w:vAlign w:val="bottom"/>
          </w:tcPr>
          <w:p>
            <w:pPr>
              <w:spacing w:after="0"/>
              <w:rPr>
                <w:sz w:val="1"/>
                <w:szCs w:val="1"/>
                <w:color w:val="auto"/>
              </w:rPr>
            </w:pPr>
          </w:p>
        </w:tc>
      </w:tr>
      <w:tr>
        <w:trPr>
          <w:trHeight w:val="250"/>
        </w:trPr>
        <w:tc>
          <w:tcPr>
            <w:tcW w:w="1940" w:type="dxa"/>
            <w:vAlign w:val="bottom"/>
            <w:shd w:val="clear" w:color="auto" w:fill="CCEEFF"/>
          </w:tcPr>
          <w:p>
            <w:pPr>
              <w:ind w:left="40"/>
              <w:spacing w:after="0"/>
              <w:rPr>
                <w:sz w:val="20"/>
                <w:szCs w:val="20"/>
                <w:color w:val="auto"/>
              </w:rPr>
            </w:pPr>
            <w:r>
              <w:rPr>
                <w:rFonts w:ascii="Arial" w:cs="Arial" w:eastAsia="Arial" w:hAnsi="Arial"/>
                <w:sz w:val="16"/>
                <w:szCs w:val="16"/>
                <w:color w:val="auto"/>
              </w:rPr>
              <w:t>TANF and CHIP</w:t>
            </w:r>
          </w:p>
        </w:tc>
        <w:tc>
          <w:tcPr>
            <w:tcW w:w="12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22.5</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9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3,999</w:t>
            </w:r>
          </w:p>
        </w:tc>
        <w:tc>
          <w:tcPr>
            <w:tcW w:w="3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10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177.60</w:t>
            </w:r>
          </w:p>
        </w:tc>
        <w:tc>
          <w:tcPr>
            <w:tcW w:w="120" w:type="dxa"/>
            <w:vAlign w:val="bottom"/>
            <w:shd w:val="clear" w:color="auto" w:fill="CCEEFF"/>
          </w:tcPr>
          <w:p>
            <w:pPr>
              <w:spacing w:after="0"/>
              <w:rPr>
                <w:sz w:val="21"/>
                <w:szCs w:val="21"/>
                <w:color w:val="auto"/>
              </w:rPr>
            </w:pPr>
          </w:p>
        </w:tc>
        <w:tc>
          <w:tcPr>
            <w:tcW w:w="2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9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3,646</w:t>
            </w:r>
          </w:p>
        </w:tc>
        <w:tc>
          <w:tcPr>
            <w:tcW w:w="36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0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161.93</w:t>
            </w:r>
          </w:p>
        </w:tc>
        <w:tc>
          <w:tcPr>
            <w:tcW w:w="1420" w:type="dxa"/>
            <w:vAlign w:val="bottom"/>
            <w:gridSpan w:val="2"/>
            <w:shd w:val="clear" w:color="auto" w:fill="CCEEFF"/>
          </w:tcPr>
          <w:p>
            <w:pPr>
              <w:ind w:left="920"/>
              <w:spacing w:after="0"/>
              <w:rPr>
                <w:sz w:val="20"/>
                <w:szCs w:val="20"/>
                <w:color w:val="auto"/>
              </w:rPr>
            </w:pPr>
            <w:r>
              <w:rPr>
                <w:rFonts w:ascii="Arial" w:cs="Arial" w:eastAsia="Arial" w:hAnsi="Arial"/>
                <w:sz w:val="16"/>
                <w:szCs w:val="16"/>
                <w:color w:val="auto"/>
              </w:rPr>
              <w:t>91.2%</w:t>
            </w:r>
          </w:p>
        </w:tc>
        <w:tc>
          <w:tcPr>
            <w:tcW w:w="100" w:type="dxa"/>
            <w:vAlign w:val="bottom"/>
            <w:shd w:val="clear" w:color="auto" w:fill="CCEEFF"/>
          </w:tcPr>
          <w:p>
            <w:pPr>
              <w:spacing w:after="0"/>
              <w:rPr>
                <w:sz w:val="21"/>
                <w:szCs w:val="21"/>
                <w:color w:val="auto"/>
              </w:rPr>
            </w:pPr>
          </w:p>
        </w:tc>
        <w:tc>
          <w:tcPr>
            <w:tcW w:w="440" w:type="dxa"/>
            <w:vAlign w:val="bottom"/>
            <w:shd w:val="clear" w:color="auto" w:fill="CCEEFF"/>
          </w:tcPr>
          <w:p>
            <w:pPr>
              <w:ind w:left="40"/>
              <w:spacing w:after="0"/>
              <w:rPr>
                <w:sz w:val="20"/>
                <w:szCs w:val="20"/>
                <w:color w:val="auto"/>
              </w:rPr>
            </w:pPr>
            <w:r>
              <w:rPr>
                <w:rFonts w:ascii="Arial" w:cs="Arial" w:eastAsia="Arial" w:hAnsi="Arial"/>
                <w:sz w:val="16"/>
                <w:szCs w:val="16"/>
                <w:color w:val="auto"/>
              </w:rPr>
              <w:t>$</w:t>
            </w:r>
          </w:p>
        </w:tc>
        <w:tc>
          <w:tcPr>
            <w:tcW w:w="8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353</w:t>
            </w:r>
          </w:p>
        </w:tc>
        <w:tc>
          <w:tcPr>
            <w:tcW w:w="0" w:type="dxa"/>
            <w:vAlign w:val="bottom"/>
          </w:tcPr>
          <w:p>
            <w:pPr>
              <w:spacing w:after="0"/>
              <w:rPr>
                <w:sz w:val="1"/>
                <w:szCs w:val="1"/>
                <w:color w:val="auto"/>
              </w:rPr>
            </w:pPr>
          </w:p>
        </w:tc>
      </w:tr>
      <w:tr>
        <w:trPr>
          <w:trHeight w:val="262"/>
        </w:trPr>
        <w:tc>
          <w:tcPr>
            <w:tcW w:w="1940" w:type="dxa"/>
            <w:vAlign w:val="bottom"/>
          </w:tcPr>
          <w:p>
            <w:pPr>
              <w:ind w:left="40"/>
              <w:spacing w:after="0"/>
              <w:rPr>
                <w:sz w:val="20"/>
                <w:szCs w:val="20"/>
                <w:color w:val="auto"/>
              </w:rPr>
            </w:pPr>
            <w:r>
              <w:rPr>
                <w:rFonts w:ascii="Arial" w:cs="Arial" w:eastAsia="Arial" w:hAnsi="Arial"/>
                <w:sz w:val="16"/>
                <w:szCs w:val="16"/>
                <w:color w:val="auto"/>
              </w:rPr>
              <w:t>Medicaid Expansion</w:t>
            </w:r>
          </w:p>
        </w:tc>
        <w:tc>
          <w:tcPr>
            <w:tcW w:w="1240" w:type="dxa"/>
            <w:vAlign w:val="bottom"/>
          </w:tcPr>
          <w:p>
            <w:pPr>
              <w:jc w:val="right"/>
              <w:ind w:right="19"/>
              <w:spacing w:after="0"/>
              <w:rPr>
                <w:sz w:val="20"/>
                <w:szCs w:val="20"/>
                <w:color w:val="auto"/>
              </w:rPr>
            </w:pPr>
            <w:r>
              <w:rPr>
                <w:rFonts w:ascii="Arial" w:cs="Arial" w:eastAsia="Arial" w:hAnsi="Arial"/>
                <w:sz w:val="16"/>
                <w:szCs w:val="16"/>
                <w:color w:val="auto"/>
              </w:rPr>
              <w:t>5.8</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2,184</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376.98</w:t>
            </w: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1,850</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319.38</w:t>
            </w:r>
          </w:p>
        </w:tc>
        <w:tc>
          <w:tcPr>
            <w:tcW w:w="1420" w:type="dxa"/>
            <w:vAlign w:val="bottom"/>
            <w:gridSpan w:val="2"/>
          </w:tcPr>
          <w:p>
            <w:pPr>
              <w:ind w:left="920"/>
              <w:spacing w:after="0"/>
              <w:rPr>
                <w:sz w:val="20"/>
                <w:szCs w:val="20"/>
                <w:color w:val="auto"/>
              </w:rPr>
            </w:pPr>
            <w:r>
              <w:rPr>
                <w:rFonts w:ascii="Arial" w:cs="Arial" w:eastAsia="Arial" w:hAnsi="Arial"/>
                <w:sz w:val="16"/>
                <w:szCs w:val="16"/>
                <w:color w:val="auto"/>
              </w:rPr>
              <w:t>84.7</w:t>
            </w:r>
          </w:p>
        </w:tc>
        <w:tc>
          <w:tcPr>
            <w:tcW w:w="1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820" w:type="dxa"/>
            <w:vAlign w:val="bottom"/>
          </w:tcPr>
          <w:p>
            <w:pPr>
              <w:jc w:val="right"/>
              <w:ind w:right="19"/>
              <w:spacing w:after="0"/>
              <w:rPr>
                <w:sz w:val="20"/>
                <w:szCs w:val="20"/>
                <w:color w:val="auto"/>
              </w:rPr>
            </w:pPr>
            <w:r>
              <w:rPr>
                <w:rFonts w:ascii="Arial" w:cs="Arial" w:eastAsia="Arial" w:hAnsi="Arial"/>
                <w:sz w:val="16"/>
                <w:szCs w:val="16"/>
                <w:color w:val="auto"/>
              </w:rPr>
              <w:t>334</w:t>
            </w:r>
          </w:p>
        </w:tc>
        <w:tc>
          <w:tcPr>
            <w:tcW w:w="0" w:type="dxa"/>
            <w:vAlign w:val="bottom"/>
          </w:tcPr>
          <w:p>
            <w:pPr>
              <w:spacing w:after="0"/>
              <w:rPr>
                <w:sz w:val="1"/>
                <w:szCs w:val="1"/>
                <w:color w:val="auto"/>
              </w:rPr>
            </w:pPr>
          </w:p>
        </w:tc>
      </w:tr>
      <w:tr>
        <w:trPr>
          <w:trHeight w:val="271"/>
        </w:trPr>
        <w:tc>
          <w:tcPr>
            <w:tcW w:w="1940" w:type="dxa"/>
            <w:vAlign w:val="bottom"/>
            <w:shd w:val="clear" w:color="auto" w:fill="CCEEFF"/>
          </w:tcPr>
          <w:p>
            <w:pPr>
              <w:ind w:left="40"/>
              <w:spacing w:after="0"/>
              <w:rPr>
                <w:sz w:val="20"/>
                <w:szCs w:val="20"/>
                <w:color w:val="auto"/>
              </w:rPr>
            </w:pPr>
            <w:r>
              <w:rPr>
                <w:rFonts w:ascii="Arial" w:cs="Arial" w:eastAsia="Arial" w:hAnsi="Arial"/>
                <w:sz w:val="16"/>
                <w:szCs w:val="16"/>
                <w:color w:val="auto"/>
              </w:rPr>
              <w:t>ABD</w:t>
            </w:r>
          </w:p>
        </w:tc>
        <w:tc>
          <w:tcPr>
            <w:tcW w:w="12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3.5</w:t>
            </w:r>
          </w:p>
        </w:tc>
        <w:tc>
          <w:tcPr>
            <w:tcW w:w="100" w:type="dxa"/>
            <w:vAlign w:val="bottom"/>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spacing w:after="0"/>
              <w:rPr>
                <w:sz w:val="23"/>
                <w:szCs w:val="23"/>
                <w:color w:val="auto"/>
              </w:rPr>
            </w:pPr>
          </w:p>
        </w:tc>
        <w:tc>
          <w:tcPr>
            <w:tcW w:w="9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3,466</w:t>
            </w: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987.20</w:t>
            </w:r>
          </w:p>
        </w:tc>
        <w:tc>
          <w:tcPr>
            <w:tcW w:w="120" w:type="dxa"/>
            <w:vAlign w:val="bottom"/>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spacing w:after="0"/>
              <w:rPr>
                <w:sz w:val="23"/>
                <w:szCs w:val="23"/>
                <w:color w:val="auto"/>
              </w:rPr>
            </w:pPr>
          </w:p>
        </w:tc>
        <w:tc>
          <w:tcPr>
            <w:tcW w:w="98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3,173</w:t>
            </w: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903.85</w:t>
            </w:r>
          </w:p>
        </w:tc>
        <w:tc>
          <w:tcPr>
            <w:tcW w:w="1420" w:type="dxa"/>
            <w:vAlign w:val="bottom"/>
            <w:gridSpan w:val="2"/>
            <w:shd w:val="clear" w:color="auto" w:fill="CCEEFF"/>
          </w:tcPr>
          <w:p>
            <w:pPr>
              <w:ind w:left="920"/>
              <w:spacing w:after="0"/>
              <w:rPr>
                <w:sz w:val="20"/>
                <w:szCs w:val="20"/>
                <w:color w:val="auto"/>
              </w:rPr>
            </w:pPr>
            <w:r>
              <w:rPr>
                <w:rFonts w:ascii="Arial" w:cs="Arial" w:eastAsia="Arial" w:hAnsi="Arial"/>
                <w:sz w:val="16"/>
                <w:szCs w:val="16"/>
                <w:color w:val="auto"/>
              </w:rPr>
              <w:t>91.6</w:t>
            </w:r>
          </w:p>
        </w:tc>
        <w:tc>
          <w:tcPr>
            <w:tcW w:w="100" w:type="dxa"/>
            <w:vAlign w:val="bottom"/>
            <w:shd w:val="clear" w:color="auto" w:fill="CCEEFF"/>
          </w:tcPr>
          <w:p>
            <w:pPr>
              <w:spacing w:after="0"/>
              <w:rPr>
                <w:sz w:val="23"/>
                <w:szCs w:val="23"/>
                <w:color w:val="auto"/>
              </w:rPr>
            </w:pPr>
          </w:p>
        </w:tc>
        <w:tc>
          <w:tcPr>
            <w:tcW w:w="440" w:type="dxa"/>
            <w:vAlign w:val="bottom"/>
            <w:tcBorders>
              <w:bottom w:val="single" w:sz="8" w:color="auto"/>
            </w:tcBorders>
            <w:shd w:val="clear" w:color="auto" w:fill="CCEEFF"/>
          </w:tcPr>
          <w:p>
            <w:pPr>
              <w:spacing w:after="0"/>
              <w:rPr>
                <w:sz w:val="23"/>
                <w:szCs w:val="23"/>
                <w:color w:val="auto"/>
              </w:rPr>
            </w:pPr>
          </w:p>
        </w:tc>
        <w:tc>
          <w:tcPr>
            <w:tcW w:w="8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293</w:t>
            </w:r>
          </w:p>
        </w:tc>
        <w:tc>
          <w:tcPr>
            <w:tcW w:w="0" w:type="dxa"/>
            <w:vAlign w:val="bottom"/>
          </w:tcPr>
          <w:p>
            <w:pPr>
              <w:spacing w:after="0"/>
              <w:rPr>
                <w:sz w:val="1"/>
                <w:szCs w:val="1"/>
                <w:color w:val="auto"/>
              </w:rPr>
            </w:pPr>
          </w:p>
        </w:tc>
      </w:tr>
      <w:tr>
        <w:trPr>
          <w:trHeight w:val="250"/>
        </w:trPr>
        <w:tc>
          <w:tcPr>
            <w:tcW w:w="1940" w:type="dxa"/>
            <w:vAlign w:val="bottom"/>
            <w:tcBorders>
              <w:bottom w:val="single" w:sz="8" w:color="CCEEFF"/>
            </w:tcBorders>
          </w:tcPr>
          <w:p>
            <w:pPr>
              <w:ind w:left="180"/>
              <w:spacing w:after="0"/>
              <w:rPr>
                <w:sz w:val="20"/>
                <w:szCs w:val="20"/>
                <w:color w:val="auto"/>
              </w:rPr>
            </w:pPr>
            <w:r>
              <w:rPr>
                <w:rFonts w:ascii="Arial" w:cs="Arial" w:eastAsia="Arial" w:hAnsi="Arial"/>
                <w:sz w:val="16"/>
                <w:szCs w:val="16"/>
                <w:color w:val="auto"/>
              </w:rPr>
              <w:t>Total Medicaid</w:t>
            </w:r>
          </w:p>
        </w:tc>
        <w:tc>
          <w:tcPr>
            <w:tcW w:w="12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31.8</w:t>
            </w:r>
          </w:p>
        </w:tc>
        <w:tc>
          <w:tcPr>
            <w:tcW w:w="100" w:type="dxa"/>
            <w:vAlign w:val="bottom"/>
            <w:tcBorders>
              <w:bottom w:val="single" w:sz="8" w:color="CCEEFF"/>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9,649</w:t>
            </w:r>
          </w:p>
        </w:tc>
        <w:tc>
          <w:tcPr>
            <w:tcW w:w="120" w:type="dxa"/>
            <w:vAlign w:val="bottom"/>
            <w:tcBorders>
              <w:bottom w:val="single" w:sz="8" w:color="CCEEFF"/>
            </w:tcBorders>
          </w:tcPr>
          <w:p>
            <w:pPr>
              <w:spacing w:after="0"/>
              <w:rPr>
                <w:sz w:val="21"/>
                <w:szCs w:val="21"/>
                <w:color w:val="auto"/>
              </w:rPr>
            </w:pPr>
          </w:p>
        </w:tc>
        <w:tc>
          <w:tcPr>
            <w:tcW w:w="240" w:type="dxa"/>
            <w:vAlign w:val="bottom"/>
            <w:tcBorders>
              <w:bottom w:val="single" w:sz="8" w:color="CCEEFF"/>
            </w:tcBorders>
          </w:tcPr>
          <w:p>
            <w:pPr>
              <w:spacing w:after="0"/>
              <w:rPr>
                <w:sz w:val="21"/>
                <w:szCs w:val="21"/>
                <w:color w:val="auto"/>
              </w:rPr>
            </w:pPr>
          </w:p>
        </w:tc>
        <w:tc>
          <w:tcPr>
            <w:tcW w:w="1000" w:type="dxa"/>
            <w:vAlign w:val="bottom"/>
            <w:tcBorders>
              <w:bottom w:val="single" w:sz="8" w:color="CCEEFF"/>
            </w:tcBorders>
          </w:tcPr>
          <w:p>
            <w:pPr>
              <w:jc w:val="right"/>
              <w:ind w:right="19"/>
              <w:spacing w:after="0"/>
              <w:rPr>
                <w:sz w:val="20"/>
                <w:szCs w:val="20"/>
                <w:color w:val="auto"/>
              </w:rPr>
            </w:pPr>
            <w:r>
              <w:rPr>
                <w:rFonts w:ascii="Arial" w:cs="Arial" w:eastAsia="Arial" w:hAnsi="Arial"/>
                <w:sz w:val="16"/>
                <w:szCs w:val="16"/>
                <w:color w:val="auto"/>
              </w:rPr>
              <w:t>303.23</w:t>
            </w:r>
          </w:p>
        </w:tc>
        <w:tc>
          <w:tcPr>
            <w:tcW w:w="120" w:type="dxa"/>
            <w:vAlign w:val="bottom"/>
            <w:tcBorders>
              <w:bottom w:val="single" w:sz="8" w:color="CCEEFF"/>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8,669</w:t>
            </w:r>
          </w:p>
        </w:tc>
        <w:tc>
          <w:tcPr>
            <w:tcW w:w="100" w:type="dxa"/>
            <w:vAlign w:val="bottom"/>
            <w:tcBorders>
              <w:bottom w:val="single" w:sz="8" w:color="CCEEFF"/>
            </w:tcBorders>
          </w:tcPr>
          <w:p>
            <w:pPr>
              <w:spacing w:after="0"/>
              <w:rPr>
                <w:sz w:val="21"/>
                <w:szCs w:val="21"/>
                <w:color w:val="auto"/>
              </w:rPr>
            </w:pPr>
          </w:p>
        </w:tc>
        <w:tc>
          <w:tcPr>
            <w:tcW w:w="260" w:type="dxa"/>
            <w:vAlign w:val="bottom"/>
            <w:tcBorders>
              <w:bottom w:val="single" w:sz="8" w:color="CCEEFF"/>
            </w:tcBorders>
          </w:tcPr>
          <w:p>
            <w:pPr>
              <w:spacing w:after="0"/>
              <w:rPr>
                <w:sz w:val="21"/>
                <w:szCs w:val="21"/>
                <w:color w:val="auto"/>
              </w:rPr>
            </w:pPr>
          </w:p>
        </w:tc>
        <w:tc>
          <w:tcPr>
            <w:tcW w:w="1000" w:type="dxa"/>
            <w:vAlign w:val="bottom"/>
            <w:tcBorders>
              <w:bottom w:val="single" w:sz="8" w:color="CCEEFF"/>
            </w:tcBorders>
          </w:tcPr>
          <w:p>
            <w:pPr>
              <w:jc w:val="right"/>
              <w:ind w:right="39"/>
              <w:spacing w:after="0"/>
              <w:rPr>
                <w:sz w:val="20"/>
                <w:szCs w:val="20"/>
                <w:color w:val="auto"/>
              </w:rPr>
            </w:pPr>
            <w:r>
              <w:rPr>
                <w:rFonts w:ascii="Arial" w:cs="Arial" w:eastAsia="Arial" w:hAnsi="Arial"/>
                <w:sz w:val="16"/>
                <w:szCs w:val="16"/>
                <w:color w:val="auto"/>
              </w:rPr>
              <w:t>272.46</w:t>
            </w:r>
          </w:p>
        </w:tc>
        <w:tc>
          <w:tcPr>
            <w:tcW w:w="1420" w:type="dxa"/>
            <w:vAlign w:val="bottom"/>
            <w:tcBorders>
              <w:bottom w:val="single" w:sz="8" w:color="CCEEFF"/>
            </w:tcBorders>
            <w:gridSpan w:val="2"/>
          </w:tcPr>
          <w:p>
            <w:pPr>
              <w:ind w:left="920"/>
              <w:spacing w:after="0"/>
              <w:rPr>
                <w:sz w:val="20"/>
                <w:szCs w:val="20"/>
                <w:color w:val="auto"/>
              </w:rPr>
            </w:pPr>
            <w:r>
              <w:rPr>
                <w:rFonts w:ascii="Arial" w:cs="Arial" w:eastAsia="Arial" w:hAnsi="Arial"/>
                <w:sz w:val="16"/>
                <w:szCs w:val="16"/>
                <w:color w:val="auto"/>
              </w:rPr>
              <w:t>89.9</w:t>
            </w:r>
          </w:p>
        </w:tc>
        <w:tc>
          <w:tcPr>
            <w:tcW w:w="100" w:type="dxa"/>
            <w:vAlign w:val="bottom"/>
            <w:tcBorders>
              <w:bottom w:val="single" w:sz="8" w:color="CCEEFF"/>
            </w:tcBorders>
          </w:tcPr>
          <w:p>
            <w:pPr>
              <w:spacing w:after="0"/>
              <w:rPr>
                <w:sz w:val="21"/>
                <w:szCs w:val="21"/>
                <w:color w:val="auto"/>
              </w:rPr>
            </w:pPr>
          </w:p>
        </w:tc>
        <w:tc>
          <w:tcPr>
            <w:tcW w:w="44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980</w:t>
            </w:r>
          </w:p>
        </w:tc>
        <w:tc>
          <w:tcPr>
            <w:tcW w:w="0" w:type="dxa"/>
            <w:vAlign w:val="bottom"/>
          </w:tcPr>
          <w:p>
            <w:pPr>
              <w:spacing w:after="0"/>
              <w:rPr>
                <w:sz w:val="1"/>
                <w:szCs w:val="1"/>
                <w:color w:val="auto"/>
              </w:rPr>
            </w:pPr>
          </w:p>
        </w:tc>
      </w:tr>
      <w:tr>
        <w:trPr>
          <w:trHeight w:val="257"/>
        </w:trPr>
        <w:tc>
          <w:tcPr>
            <w:tcW w:w="1940" w:type="dxa"/>
            <w:vAlign w:val="bottom"/>
            <w:shd w:val="clear" w:color="auto" w:fill="CCEEFF"/>
          </w:tcPr>
          <w:p>
            <w:pPr>
              <w:ind w:left="40"/>
              <w:spacing w:after="0"/>
              <w:rPr>
                <w:sz w:val="20"/>
                <w:szCs w:val="20"/>
                <w:color w:val="auto"/>
              </w:rPr>
            </w:pPr>
            <w:r>
              <w:rPr>
                <w:rFonts w:ascii="Arial" w:cs="Arial" w:eastAsia="Arial" w:hAnsi="Arial"/>
                <w:sz w:val="16"/>
                <w:szCs w:val="16"/>
                <w:color w:val="auto"/>
              </w:rPr>
              <w:t>MMP</w:t>
            </w:r>
          </w:p>
        </w:tc>
        <w:tc>
          <w:tcPr>
            <w:tcW w:w="12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0.5</w:t>
            </w: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9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989</w:t>
            </w:r>
          </w:p>
        </w:tc>
        <w:tc>
          <w:tcPr>
            <w:tcW w:w="12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0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2,160.14</w:t>
            </w:r>
          </w:p>
        </w:tc>
        <w:tc>
          <w:tcPr>
            <w:tcW w:w="12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9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867</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0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1,894.38</w:t>
            </w:r>
          </w:p>
        </w:tc>
        <w:tc>
          <w:tcPr>
            <w:tcW w:w="1420" w:type="dxa"/>
            <w:vAlign w:val="bottom"/>
            <w:gridSpan w:val="2"/>
            <w:shd w:val="clear" w:color="auto" w:fill="CCEEFF"/>
          </w:tcPr>
          <w:p>
            <w:pPr>
              <w:ind w:left="920"/>
              <w:spacing w:after="0"/>
              <w:rPr>
                <w:sz w:val="20"/>
                <w:szCs w:val="20"/>
                <w:color w:val="auto"/>
              </w:rPr>
            </w:pPr>
            <w:r>
              <w:rPr>
                <w:rFonts w:ascii="Arial" w:cs="Arial" w:eastAsia="Arial" w:hAnsi="Arial"/>
                <w:sz w:val="16"/>
                <w:szCs w:val="16"/>
                <w:color w:val="auto"/>
              </w:rPr>
              <w:t>87.7</w:t>
            </w:r>
          </w:p>
        </w:tc>
        <w:tc>
          <w:tcPr>
            <w:tcW w:w="100" w:type="dxa"/>
            <w:vAlign w:val="bottom"/>
            <w:shd w:val="clear" w:color="auto" w:fill="CCEEFF"/>
          </w:tcPr>
          <w:p>
            <w:pPr>
              <w:spacing w:after="0"/>
              <w:rPr>
                <w:sz w:val="22"/>
                <w:szCs w:val="22"/>
                <w:color w:val="auto"/>
              </w:rPr>
            </w:pPr>
          </w:p>
        </w:tc>
        <w:tc>
          <w:tcPr>
            <w:tcW w:w="440" w:type="dxa"/>
            <w:vAlign w:val="bottom"/>
            <w:shd w:val="clear" w:color="auto" w:fill="CCEEFF"/>
          </w:tcPr>
          <w:p>
            <w:pPr>
              <w:spacing w:after="0"/>
              <w:rPr>
                <w:sz w:val="22"/>
                <w:szCs w:val="22"/>
                <w:color w:val="auto"/>
              </w:rPr>
            </w:pPr>
          </w:p>
        </w:tc>
        <w:tc>
          <w:tcPr>
            <w:tcW w:w="8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122</w:t>
            </w:r>
          </w:p>
        </w:tc>
        <w:tc>
          <w:tcPr>
            <w:tcW w:w="0" w:type="dxa"/>
            <w:vAlign w:val="bottom"/>
          </w:tcPr>
          <w:p>
            <w:pPr>
              <w:spacing w:after="0"/>
              <w:rPr>
                <w:sz w:val="1"/>
                <w:szCs w:val="1"/>
                <w:color w:val="auto"/>
              </w:rPr>
            </w:pPr>
          </w:p>
        </w:tc>
      </w:tr>
      <w:tr>
        <w:trPr>
          <w:trHeight w:val="264"/>
        </w:trPr>
        <w:tc>
          <w:tcPr>
            <w:tcW w:w="194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Medicare</w:t>
            </w:r>
          </w:p>
        </w:tc>
        <w:tc>
          <w:tcPr>
            <w:tcW w:w="12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0.4</w:t>
            </w: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396</w:t>
            </w:r>
          </w:p>
        </w:tc>
        <w:tc>
          <w:tcPr>
            <w:tcW w:w="120" w:type="dxa"/>
            <w:vAlign w:val="bottom"/>
            <w:tcBorders>
              <w:bottom w:val="single" w:sz="8" w:color="CCEEFF"/>
            </w:tcBorders>
          </w:tcPr>
          <w:p>
            <w:pPr>
              <w:spacing w:after="0"/>
              <w:rPr>
                <w:sz w:val="22"/>
                <w:szCs w:val="22"/>
                <w:color w:val="auto"/>
              </w:rPr>
            </w:pPr>
          </w:p>
        </w:tc>
        <w:tc>
          <w:tcPr>
            <w:tcW w:w="240" w:type="dxa"/>
            <w:vAlign w:val="bottom"/>
            <w:tcBorders>
              <w:bottom w:val="single" w:sz="8" w:color="CCEEFF"/>
            </w:tcBorders>
          </w:tcPr>
          <w:p>
            <w:pPr>
              <w:spacing w:after="0"/>
              <w:rPr>
                <w:sz w:val="22"/>
                <w:szCs w:val="22"/>
                <w:color w:val="auto"/>
              </w:rPr>
            </w:pPr>
          </w:p>
        </w:tc>
        <w:tc>
          <w:tcPr>
            <w:tcW w:w="1000" w:type="dxa"/>
            <w:vAlign w:val="bottom"/>
            <w:tcBorders>
              <w:bottom w:val="single" w:sz="8" w:color="CCEEFF"/>
            </w:tcBorders>
          </w:tcPr>
          <w:p>
            <w:pPr>
              <w:jc w:val="right"/>
              <w:ind w:right="19"/>
              <w:spacing w:after="0"/>
              <w:rPr>
                <w:sz w:val="20"/>
                <w:szCs w:val="20"/>
                <w:color w:val="auto"/>
              </w:rPr>
            </w:pPr>
            <w:r>
              <w:rPr>
                <w:rFonts w:ascii="Arial" w:cs="Arial" w:eastAsia="Arial" w:hAnsi="Arial"/>
                <w:sz w:val="16"/>
                <w:szCs w:val="16"/>
                <w:color w:val="auto"/>
              </w:rPr>
              <w:t>1,015.14</w:t>
            </w:r>
          </w:p>
        </w:tc>
        <w:tc>
          <w:tcPr>
            <w:tcW w:w="12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385</w:t>
            </w:r>
          </w:p>
        </w:tc>
        <w:tc>
          <w:tcPr>
            <w:tcW w:w="100" w:type="dxa"/>
            <w:vAlign w:val="bottom"/>
            <w:tcBorders>
              <w:bottom w:val="single" w:sz="8" w:color="CCEEFF"/>
            </w:tcBorders>
          </w:tcPr>
          <w:p>
            <w:pPr>
              <w:spacing w:after="0"/>
              <w:rPr>
                <w:sz w:val="22"/>
                <w:szCs w:val="22"/>
                <w:color w:val="auto"/>
              </w:rPr>
            </w:pPr>
          </w:p>
        </w:tc>
        <w:tc>
          <w:tcPr>
            <w:tcW w:w="260" w:type="dxa"/>
            <w:vAlign w:val="bottom"/>
            <w:tcBorders>
              <w:bottom w:val="single" w:sz="8" w:color="CCEEFF"/>
            </w:tcBorders>
          </w:tcPr>
          <w:p>
            <w:pPr>
              <w:spacing w:after="0"/>
              <w:rPr>
                <w:sz w:val="22"/>
                <w:szCs w:val="22"/>
                <w:color w:val="auto"/>
              </w:rPr>
            </w:pPr>
          </w:p>
        </w:tc>
        <w:tc>
          <w:tcPr>
            <w:tcW w:w="1000" w:type="dxa"/>
            <w:vAlign w:val="bottom"/>
            <w:tcBorders>
              <w:bottom w:val="single" w:sz="8" w:color="CCEEFF"/>
            </w:tcBorders>
          </w:tcPr>
          <w:p>
            <w:pPr>
              <w:jc w:val="right"/>
              <w:ind w:right="39"/>
              <w:spacing w:after="0"/>
              <w:rPr>
                <w:sz w:val="20"/>
                <w:szCs w:val="20"/>
                <w:color w:val="auto"/>
              </w:rPr>
            </w:pPr>
            <w:r>
              <w:rPr>
                <w:rFonts w:ascii="Arial" w:cs="Arial" w:eastAsia="Arial" w:hAnsi="Arial"/>
                <w:sz w:val="16"/>
                <w:szCs w:val="16"/>
                <w:color w:val="auto"/>
              </w:rPr>
              <w:t>986.40</w:t>
            </w:r>
          </w:p>
        </w:tc>
        <w:tc>
          <w:tcPr>
            <w:tcW w:w="1420" w:type="dxa"/>
            <w:vAlign w:val="bottom"/>
            <w:tcBorders>
              <w:bottom w:val="single" w:sz="8" w:color="CCEEFF"/>
            </w:tcBorders>
            <w:gridSpan w:val="2"/>
          </w:tcPr>
          <w:p>
            <w:pPr>
              <w:ind w:left="920"/>
              <w:spacing w:after="0"/>
              <w:rPr>
                <w:sz w:val="20"/>
                <w:szCs w:val="20"/>
                <w:color w:val="auto"/>
              </w:rPr>
            </w:pPr>
            <w:r>
              <w:rPr>
                <w:rFonts w:ascii="Arial" w:cs="Arial" w:eastAsia="Arial" w:hAnsi="Arial"/>
                <w:sz w:val="16"/>
                <w:szCs w:val="16"/>
                <w:color w:val="auto"/>
              </w:rPr>
              <w:t>97.2</w:t>
            </w:r>
          </w:p>
        </w:tc>
        <w:tc>
          <w:tcPr>
            <w:tcW w:w="100" w:type="dxa"/>
            <w:vAlign w:val="bottom"/>
            <w:tcBorders>
              <w:bottom w:val="single" w:sz="8" w:color="CCEEFF"/>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11</w:t>
            </w:r>
          </w:p>
        </w:tc>
        <w:tc>
          <w:tcPr>
            <w:tcW w:w="0" w:type="dxa"/>
            <w:vAlign w:val="bottom"/>
          </w:tcPr>
          <w:p>
            <w:pPr>
              <w:spacing w:after="0"/>
              <w:rPr>
                <w:sz w:val="1"/>
                <w:szCs w:val="1"/>
                <w:color w:val="auto"/>
              </w:rPr>
            </w:pPr>
          </w:p>
        </w:tc>
      </w:tr>
      <w:tr>
        <w:trPr>
          <w:trHeight w:val="250"/>
        </w:trPr>
        <w:tc>
          <w:tcPr>
            <w:tcW w:w="1940" w:type="dxa"/>
            <w:vAlign w:val="bottom"/>
            <w:shd w:val="clear" w:color="auto" w:fill="CCEEFF"/>
          </w:tcPr>
          <w:p>
            <w:pPr>
              <w:ind w:left="180"/>
              <w:spacing w:after="0"/>
              <w:rPr>
                <w:sz w:val="20"/>
                <w:szCs w:val="20"/>
                <w:color w:val="auto"/>
              </w:rPr>
            </w:pPr>
            <w:r>
              <w:rPr>
                <w:rFonts w:ascii="Arial" w:cs="Arial" w:eastAsia="Arial" w:hAnsi="Arial"/>
                <w:sz w:val="16"/>
                <w:szCs w:val="16"/>
                <w:color w:val="auto"/>
              </w:rPr>
              <w:t>Total Medicare</w:t>
            </w:r>
          </w:p>
        </w:tc>
        <w:tc>
          <w:tcPr>
            <w:tcW w:w="12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0.9</w:t>
            </w:r>
          </w:p>
        </w:tc>
        <w:tc>
          <w:tcPr>
            <w:tcW w:w="100" w:type="dxa"/>
            <w:vAlign w:val="bottom"/>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1,385</w:t>
            </w: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0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1,633.26</w:t>
            </w:r>
          </w:p>
        </w:tc>
        <w:tc>
          <w:tcPr>
            <w:tcW w:w="120" w:type="dxa"/>
            <w:vAlign w:val="bottom"/>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1,252</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0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1,476.57</w:t>
            </w:r>
          </w:p>
        </w:tc>
        <w:tc>
          <w:tcPr>
            <w:tcW w:w="1420" w:type="dxa"/>
            <w:vAlign w:val="bottom"/>
            <w:gridSpan w:val="2"/>
            <w:shd w:val="clear" w:color="auto" w:fill="CCEEFF"/>
          </w:tcPr>
          <w:p>
            <w:pPr>
              <w:ind w:left="920"/>
              <w:spacing w:after="0"/>
              <w:rPr>
                <w:sz w:val="20"/>
                <w:szCs w:val="20"/>
                <w:color w:val="auto"/>
              </w:rPr>
            </w:pPr>
            <w:r>
              <w:rPr>
                <w:rFonts w:ascii="Arial" w:cs="Arial" w:eastAsia="Arial" w:hAnsi="Arial"/>
                <w:sz w:val="16"/>
                <w:szCs w:val="16"/>
                <w:color w:val="auto"/>
              </w:rPr>
              <w:t>90.4</w:t>
            </w:r>
          </w:p>
        </w:tc>
        <w:tc>
          <w:tcPr>
            <w:tcW w:w="100" w:type="dxa"/>
            <w:vAlign w:val="bottom"/>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spacing w:after="0"/>
              <w:rPr>
                <w:sz w:val="21"/>
                <w:szCs w:val="21"/>
                <w:color w:val="auto"/>
              </w:rPr>
            </w:pPr>
          </w:p>
        </w:tc>
        <w:tc>
          <w:tcPr>
            <w:tcW w:w="8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133</w:t>
            </w:r>
          </w:p>
        </w:tc>
        <w:tc>
          <w:tcPr>
            <w:tcW w:w="0" w:type="dxa"/>
            <w:vAlign w:val="bottom"/>
          </w:tcPr>
          <w:p>
            <w:pPr>
              <w:spacing w:after="0"/>
              <w:rPr>
                <w:sz w:val="1"/>
                <w:szCs w:val="1"/>
                <w:color w:val="auto"/>
              </w:rPr>
            </w:pPr>
          </w:p>
        </w:tc>
      </w:tr>
      <w:tr>
        <w:trPr>
          <w:trHeight w:val="249"/>
        </w:trPr>
        <w:tc>
          <w:tcPr>
            <w:tcW w:w="1940" w:type="dxa"/>
            <w:vAlign w:val="bottom"/>
          </w:tcPr>
          <w:p>
            <w:pPr>
              <w:ind w:left="40"/>
              <w:spacing w:after="0"/>
              <w:rPr>
                <w:sz w:val="20"/>
                <w:szCs w:val="20"/>
                <w:color w:val="auto"/>
              </w:rPr>
            </w:pPr>
            <w:r>
              <w:rPr>
                <w:rFonts w:ascii="Arial" w:cs="Arial" w:eastAsia="Arial" w:hAnsi="Arial"/>
                <w:sz w:val="16"/>
                <w:szCs w:val="16"/>
                <w:color w:val="auto"/>
              </w:rPr>
              <w:t>Excluding Marketplace</w:t>
            </w:r>
          </w:p>
        </w:tc>
        <w:tc>
          <w:tcPr>
            <w:tcW w:w="1240" w:type="dxa"/>
            <w:vAlign w:val="bottom"/>
          </w:tcPr>
          <w:p>
            <w:pPr>
              <w:jc w:val="right"/>
              <w:ind w:right="19"/>
              <w:spacing w:after="0"/>
              <w:rPr>
                <w:sz w:val="20"/>
                <w:szCs w:val="20"/>
                <w:color w:val="auto"/>
              </w:rPr>
            </w:pPr>
            <w:r>
              <w:rPr>
                <w:rFonts w:ascii="Arial" w:cs="Arial" w:eastAsia="Arial" w:hAnsi="Arial"/>
                <w:sz w:val="16"/>
                <w:szCs w:val="16"/>
                <w:color w:val="auto"/>
              </w:rPr>
              <w:t>32.7</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11,034</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337.76</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9,921</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303.72</w:t>
            </w:r>
          </w:p>
        </w:tc>
        <w:tc>
          <w:tcPr>
            <w:tcW w:w="1420" w:type="dxa"/>
            <w:vAlign w:val="bottom"/>
            <w:gridSpan w:val="2"/>
          </w:tcPr>
          <w:p>
            <w:pPr>
              <w:ind w:left="920"/>
              <w:spacing w:after="0"/>
              <w:rPr>
                <w:sz w:val="20"/>
                <w:szCs w:val="20"/>
                <w:color w:val="auto"/>
              </w:rPr>
            </w:pPr>
            <w:r>
              <w:rPr>
                <w:rFonts w:ascii="Arial" w:cs="Arial" w:eastAsia="Arial" w:hAnsi="Arial"/>
                <w:sz w:val="16"/>
                <w:szCs w:val="16"/>
                <w:color w:val="auto"/>
              </w:rPr>
              <w:t>89.9</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20" w:type="dxa"/>
            <w:vAlign w:val="bottom"/>
          </w:tcPr>
          <w:p>
            <w:pPr>
              <w:jc w:val="right"/>
              <w:ind w:right="19"/>
              <w:spacing w:after="0"/>
              <w:rPr>
                <w:sz w:val="20"/>
                <w:szCs w:val="20"/>
                <w:color w:val="auto"/>
              </w:rPr>
            </w:pPr>
            <w:r>
              <w:rPr>
                <w:rFonts w:ascii="Arial" w:cs="Arial" w:eastAsia="Arial" w:hAnsi="Arial"/>
                <w:sz w:val="16"/>
                <w:szCs w:val="16"/>
                <w:color w:val="auto"/>
              </w:rPr>
              <w:t>1,113</w:t>
            </w:r>
          </w:p>
        </w:tc>
        <w:tc>
          <w:tcPr>
            <w:tcW w:w="0" w:type="dxa"/>
            <w:vAlign w:val="bottom"/>
          </w:tcPr>
          <w:p>
            <w:pPr>
              <w:spacing w:after="0"/>
              <w:rPr>
                <w:sz w:val="1"/>
                <w:szCs w:val="1"/>
                <w:color w:val="auto"/>
              </w:rPr>
            </w:pPr>
          </w:p>
        </w:tc>
      </w:tr>
      <w:tr>
        <w:trPr>
          <w:trHeight w:val="271"/>
        </w:trPr>
        <w:tc>
          <w:tcPr>
            <w:tcW w:w="1940" w:type="dxa"/>
            <w:vAlign w:val="bottom"/>
            <w:shd w:val="clear" w:color="auto" w:fill="CCEEFF"/>
          </w:tcPr>
          <w:p>
            <w:pPr>
              <w:ind w:left="40"/>
              <w:spacing w:after="0"/>
              <w:rPr>
                <w:sz w:val="20"/>
                <w:szCs w:val="20"/>
                <w:color w:val="auto"/>
              </w:rPr>
            </w:pPr>
            <w:r>
              <w:rPr>
                <w:rFonts w:ascii="Arial" w:cs="Arial" w:eastAsia="Arial" w:hAnsi="Arial"/>
                <w:sz w:val="16"/>
                <w:szCs w:val="16"/>
                <w:color w:val="auto"/>
              </w:rPr>
              <w:t>Marketplace</w:t>
            </w:r>
          </w:p>
        </w:tc>
        <w:tc>
          <w:tcPr>
            <w:tcW w:w="12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5.1</w:t>
            </w:r>
          </w:p>
        </w:tc>
        <w:tc>
          <w:tcPr>
            <w:tcW w:w="100" w:type="dxa"/>
            <w:vAlign w:val="bottom"/>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spacing w:after="0"/>
              <w:rPr>
                <w:sz w:val="23"/>
                <w:szCs w:val="23"/>
                <w:color w:val="auto"/>
              </w:rPr>
            </w:pPr>
          </w:p>
        </w:tc>
        <w:tc>
          <w:tcPr>
            <w:tcW w:w="9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1,181</w:t>
            </w: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231.69</w:t>
            </w:r>
          </w:p>
        </w:tc>
        <w:tc>
          <w:tcPr>
            <w:tcW w:w="120" w:type="dxa"/>
            <w:vAlign w:val="bottom"/>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spacing w:after="0"/>
              <w:rPr>
                <w:sz w:val="23"/>
                <w:szCs w:val="23"/>
                <w:color w:val="auto"/>
              </w:rPr>
            </w:pPr>
          </w:p>
        </w:tc>
        <w:tc>
          <w:tcPr>
            <w:tcW w:w="98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1,009</w:t>
            </w: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197.77</w:t>
            </w:r>
          </w:p>
        </w:tc>
        <w:tc>
          <w:tcPr>
            <w:tcW w:w="1420" w:type="dxa"/>
            <w:vAlign w:val="bottom"/>
            <w:gridSpan w:val="2"/>
            <w:shd w:val="clear" w:color="auto" w:fill="CCEEFF"/>
          </w:tcPr>
          <w:p>
            <w:pPr>
              <w:ind w:left="920"/>
              <w:spacing w:after="0"/>
              <w:rPr>
                <w:sz w:val="20"/>
                <w:szCs w:val="20"/>
                <w:color w:val="auto"/>
              </w:rPr>
            </w:pPr>
            <w:r>
              <w:rPr>
                <w:rFonts w:ascii="Arial" w:cs="Arial" w:eastAsia="Arial" w:hAnsi="Arial"/>
                <w:sz w:val="16"/>
                <w:szCs w:val="16"/>
                <w:color w:val="auto"/>
              </w:rPr>
              <w:t>85.4</w:t>
            </w:r>
          </w:p>
        </w:tc>
        <w:tc>
          <w:tcPr>
            <w:tcW w:w="100" w:type="dxa"/>
            <w:vAlign w:val="bottom"/>
            <w:shd w:val="clear" w:color="auto" w:fill="CCEEFF"/>
          </w:tcPr>
          <w:p>
            <w:pPr>
              <w:spacing w:after="0"/>
              <w:rPr>
                <w:sz w:val="23"/>
                <w:szCs w:val="23"/>
                <w:color w:val="auto"/>
              </w:rPr>
            </w:pPr>
          </w:p>
        </w:tc>
        <w:tc>
          <w:tcPr>
            <w:tcW w:w="440" w:type="dxa"/>
            <w:vAlign w:val="bottom"/>
            <w:tcBorders>
              <w:bottom w:val="single" w:sz="8" w:color="auto"/>
            </w:tcBorders>
            <w:shd w:val="clear" w:color="auto" w:fill="CCEEFF"/>
          </w:tcPr>
          <w:p>
            <w:pPr>
              <w:spacing w:after="0"/>
              <w:rPr>
                <w:sz w:val="23"/>
                <w:szCs w:val="23"/>
                <w:color w:val="auto"/>
              </w:rPr>
            </w:pPr>
          </w:p>
        </w:tc>
        <w:tc>
          <w:tcPr>
            <w:tcW w:w="8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172</w:t>
            </w:r>
          </w:p>
        </w:tc>
        <w:tc>
          <w:tcPr>
            <w:tcW w:w="0" w:type="dxa"/>
            <w:vAlign w:val="bottom"/>
          </w:tcPr>
          <w:p>
            <w:pPr>
              <w:spacing w:after="0"/>
              <w:rPr>
                <w:sz w:val="1"/>
                <w:szCs w:val="1"/>
                <w:color w:val="auto"/>
              </w:rPr>
            </w:pPr>
          </w:p>
        </w:tc>
      </w:tr>
      <w:tr>
        <w:trPr>
          <w:trHeight w:val="241"/>
        </w:trPr>
        <w:tc>
          <w:tcPr>
            <w:tcW w:w="1940" w:type="dxa"/>
            <w:vAlign w:val="bottom"/>
          </w:tcPr>
          <w:p>
            <w:pPr>
              <w:spacing w:after="0"/>
              <w:rPr>
                <w:sz w:val="20"/>
                <w:szCs w:val="20"/>
                <w:color w:val="auto"/>
              </w:rPr>
            </w:pPr>
          </w:p>
        </w:tc>
        <w:tc>
          <w:tcPr>
            <w:tcW w:w="1240" w:type="dxa"/>
            <w:vAlign w:val="bottom"/>
          </w:tcPr>
          <w:p>
            <w:pPr>
              <w:jc w:val="right"/>
              <w:ind w:right="19"/>
              <w:spacing w:after="0"/>
              <w:rPr>
                <w:sz w:val="20"/>
                <w:szCs w:val="20"/>
                <w:color w:val="auto"/>
              </w:rPr>
            </w:pPr>
            <w:r>
              <w:rPr>
                <w:rFonts w:ascii="Arial" w:cs="Arial" w:eastAsia="Arial" w:hAnsi="Arial"/>
                <w:sz w:val="16"/>
                <w:szCs w:val="16"/>
                <w:color w:val="auto"/>
              </w:rPr>
              <w:t>37.8</w:t>
            </w:r>
          </w:p>
        </w:tc>
        <w:tc>
          <w:tcPr>
            <w:tcW w:w="100" w:type="dxa"/>
            <w:vAlign w:val="bottom"/>
          </w:tcPr>
          <w:p>
            <w:pPr>
              <w:spacing w:after="0"/>
              <w:rPr>
                <w:sz w:val="20"/>
                <w:szCs w:val="20"/>
                <w:color w:val="auto"/>
              </w:rPr>
            </w:pPr>
          </w:p>
        </w:tc>
        <w:tc>
          <w:tcPr>
            <w:tcW w:w="2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12,215</w:t>
            </w:r>
          </w:p>
        </w:tc>
        <w:tc>
          <w:tcPr>
            <w:tcW w:w="36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323.44</w:t>
            </w:r>
          </w:p>
        </w:tc>
        <w:tc>
          <w:tcPr>
            <w:tcW w:w="120" w:type="dxa"/>
            <w:vAlign w:val="bottom"/>
          </w:tcPr>
          <w:p>
            <w:pPr>
              <w:spacing w:after="0"/>
              <w:rPr>
                <w:sz w:val="20"/>
                <w:szCs w:val="20"/>
                <w:color w:val="auto"/>
              </w:rPr>
            </w:pPr>
          </w:p>
        </w:tc>
        <w:tc>
          <w:tcPr>
            <w:tcW w:w="2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10,930</w:t>
            </w:r>
          </w:p>
        </w:tc>
        <w:tc>
          <w:tcPr>
            <w:tcW w:w="36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289.41</w:t>
            </w:r>
          </w:p>
        </w:tc>
        <w:tc>
          <w:tcPr>
            <w:tcW w:w="1420" w:type="dxa"/>
            <w:vAlign w:val="bottom"/>
            <w:gridSpan w:val="2"/>
          </w:tcPr>
          <w:p>
            <w:pPr>
              <w:ind w:left="920"/>
              <w:spacing w:after="0"/>
              <w:rPr>
                <w:sz w:val="20"/>
                <w:szCs w:val="20"/>
                <w:color w:val="auto"/>
              </w:rPr>
            </w:pPr>
            <w:r>
              <w:rPr>
                <w:rFonts w:ascii="Arial" w:cs="Arial" w:eastAsia="Arial" w:hAnsi="Arial"/>
                <w:sz w:val="16"/>
                <w:szCs w:val="16"/>
                <w:color w:val="auto"/>
              </w:rPr>
              <w:t>89.5%</w:t>
            </w:r>
          </w:p>
        </w:tc>
        <w:tc>
          <w:tcPr>
            <w:tcW w:w="100" w:type="dxa"/>
            <w:vAlign w:val="bottom"/>
          </w:tcPr>
          <w:p>
            <w:pPr>
              <w:spacing w:after="0"/>
              <w:rPr>
                <w:sz w:val="20"/>
                <w:szCs w:val="20"/>
                <w:color w:val="auto"/>
              </w:rPr>
            </w:pPr>
          </w:p>
        </w:tc>
        <w:tc>
          <w:tcPr>
            <w:tcW w:w="440" w:type="dxa"/>
            <w:vAlign w:val="bottom"/>
          </w:tcPr>
          <w:p>
            <w:pPr>
              <w:ind w:left="40"/>
              <w:spacing w:after="0"/>
              <w:rPr>
                <w:sz w:val="20"/>
                <w:szCs w:val="20"/>
                <w:color w:val="auto"/>
              </w:rPr>
            </w:pPr>
            <w:r>
              <w:rPr>
                <w:rFonts w:ascii="Arial" w:cs="Arial" w:eastAsia="Arial" w:hAnsi="Arial"/>
                <w:sz w:val="16"/>
                <w:szCs w:val="16"/>
                <w:color w:val="auto"/>
              </w:rPr>
              <w:t>$</w:t>
            </w:r>
          </w:p>
        </w:tc>
        <w:tc>
          <w:tcPr>
            <w:tcW w:w="820" w:type="dxa"/>
            <w:vAlign w:val="bottom"/>
          </w:tcPr>
          <w:p>
            <w:pPr>
              <w:jc w:val="right"/>
              <w:ind w:right="19"/>
              <w:spacing w:after="0"/>
              <w:rPr>
                <w:sz w:val="20"/>
                <w:szCs w:val="20"/>
                <w:color w:val="auto"/>
              </w:rPr>
            </w:pPr>
            <w:r>
              <w:rPr>
                <w:rFonts w:ascii="Arial" w:cs="Arial" w:eastAsia="Arial" w:hAnsi="Arial"/>
                <w:sz w:val="16"/>
                <w:szCs w:val="16"/>
                <w:color w:val="auto"/>
              </w:rPr>
              <w:t>1,285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6454140</wp:posOffset>
            </wp:positionH>
            <wp:positionV relativeFrom="paragraph">
              <wp:posOffset>1270</wp:posOffset>
            </wp:positionV>
            <wp:extent cx="79756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97560" cy="8890"/>
                    </a:xfrm>
                    <a:prstGeom prst="rect">
                      <a:avLst/>
                    </a:prstGeom>
                    <a:noFill/>
                  </pic:spPr>
                </pic:pic>
              </a:graphicData>
            </a:graphic>
          </wp:anchor>
        </w:drawing>
        <w:drawing>
          <wp:anchor simplePos="0" relativeHeight="251657728" behindDoc="1" locked="0" layoutInCell="0" allowOverlap="1">
            <wp:simplePos x="0" y="0"/>
            <wp:positionH relativeFrom="column">
              <wp:posOffset>3821430</wp:posOffset>
            </wp:positionH>
            <wp:positionV relativeFrom="paragraph">
              <wp:posOffset>1270</wp:posOffset>
            </wp:positionV>
            <wp:extent cx="79756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97560" cy="8890"/>
                    </a:xfrm>
                    <a:prstGeom prst="rect">
                      <a:avLst/>
                    </a:prstGeom>
                    <a:noFill/>
                  </pic:spPr>
                </pic:pic>
              </a:graphicData>
            </a:graphic>
          </wp:anchor>
        </w:drawing>
        <w:drawing>
          <wp:anchor simplePos="0" relativeHeight="251657728" behindDoc="1" locked="0" layoutInCell="0" allowOverlap="1">
            <wp:simplePos x="0" y="0"/>
            <wp:positionH relativeFrom="column">
              <wp:posOffset>1231265</wp:posOffset>
            </wp:positionH>
            <wp:positionV relativeFrom="paragraph">
              <wp:posOffset>1270</wp:posOffset>
            </wp:positionV>
            <wp:extent cx="1655445"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655445" cy="889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_______________________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6454140</wp:posOffset>
            </wp:positionH>
            <wp:positionV relativeFrom="paragraph">
              <wp:posOffset>-125095</wp:posOffset>
            </wp:positionV>
            <wp:extent cx="79756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97560" cy="8890"/>
                    </a:xfrm>
                    <a:prstGeom prst="rect">
                      <a:avLst/>
                    </a:prstGeom>
                    <a:noFill/>
                  </pic:spPr>
                </pic:pic>
              </a:graphicData>
            </a:graphic>
          </wp:anchor>
        </w:drawing>
        <w:drawing>
          <wp:anchor simplePos="0" relativeHeight="251657728" behindDoc="1" locked="0" layoutInCell="0" allowOverlap="1">
            <wp:simplePos x="0" y="0"/>
            <wp:positionH relativeFrom="column">
              <wp:posOffset>3821430</wp:posOffset>
            </wp:positionH>
            <wp:positionV relativeFrom="paragraph">
              <wp:posOffset>-125095</wp:posOffset>
            </wp:positionV>
            <wp:extent cx="79756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97560" cy="8890"/>
                    </a:xfrm>
                    <a:prstGeom prst="rect">
                      <a:avLst/>
                    </a:prstGeom>
                    <a:noFill/>
                  </pic:spPr>
                </pic:pic>
              </a:graphicData>
            </a:graphic>
          </wp:anchor>
        </w:drawing>
        <w:drawing>
          <wp:anchor simplePos="0" relativeHeight="251657728" behindDoc="1" locked="0" layoutInCell="0" allowOverlap="1">
            <wp:simplePos x="0" y="0"/>
            <wp:positionH relativeFrom="column">
              <wp:posOffset>1231265</wp:posOffset>
            </wp:positionH>
            <wp:positionV relativeFrom="paragraph">
              <wp:posOffset>-125095</wp:posOffset>
            </wp:positionV>
            <wp:extent cx="1655445"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655445" cy="8890"/>
                    </a:xfrm>
                    <a:prstGeom prst="rect">
                      <a:avLst/>
                    </a:prstGeom>
                    <a:noFill/>
                  </pic:spPr>
                </pic:pic>
              </a:graphicData>
            </a:graphic>
          </wp:anchor>
        </w:drawing>
      </w:r>
    </w:p>
    <w:p>
      <w:pPr>
        <w:spacing w:after="0" w:line="102" w:lineRule="exact"/>
        <w:rPr>
          <w:sz w:val="20"/>
          <w:szCs w:val="20"/>
          <w:color w:val="auto"/>
        </w:rPr>
      </w:pPr>
    </w:p>
    <w:p>
      <w:pPr>
        <w:ind w:left="340" w:hanging="332"/>
        <w:spacing w:after="0"/>
        <w:tabs>
          <w:tab w:leader="none" w:pos="340" w:val="left"/>
        </w:tabs>
        <w:numPr>
          <w:ilvl w:val="0"/>
          <w:numId w:val="18"/>
        </w:numPr>
        <w:rPr>
          <w:rFonts w:ascii="Arial" w:cs="Arial" w:eastAsia="Arial" w:hAnsi="Arial"/>
          <w:sz w:val="16"/>
          <w:szCs w:val="16"/>
          <w:color w:val="auto"/>
        </w:rPr>
      </w:pPr>
      <w:r>
        <w:rPr>
          <w:rFonts w:ascii="Arial" w:cs="Arial" w:eastAsia="Arial" w:hAnsi="Arial"/>
          <w:sz w:val="16"/>
          <w:szCs w:val="16"/>
          <w:color w:val="auto"/>
        </w:rPr>
        <w:t>A member month is defined as the aggregate of each month’s ending membership for the period presented.</w:t>
      </w:r>
    </w:p>
    <w:p>
      <w:pPr>
        <w:spacing w:after="0" w:line="25" w:lineRule="exact"/>
        <w:rPr>
          <w:rFonts w:ascii="Arial" w:cs="Arial" w:eastAsia="Arial" w:hAnsi="Arial"/>
          <w:sz w:val="16"/>
          <w:szCs w:val="16"/>
          <w:color w:val="auto"/>
        </w:rPr>
      </w:pPr>
    </w:p>
    <w:p>
      <w:pPr>
        <w:ind w:left="340" w:hanging="332"/>
        <w:spacing w:after="0"/>
        <w:tabs>
          <w:tab w:leader="none" w:pos="340" w:val="left"/>
        </w:tabs>
        <w:numPr>
          <w:ilvl w:val="0"/>
          <w:numId w:val="18"/>
        </w:numPr>
        <w:rPr>
          <w:rFonts w:ascii="Arial" w:cs="Arial" w:eastAsia="Arial" w:hAnsi="Arial"/>
          <w:sz w:val="16"/>
          <w:szCs w:val="16"/>
          <w:color w:val="auto"/>
        </w:rPr>
      </w:pPr>
      <w:r>
        <w:rPr>
          <w:rFonts w:ascii="Arial" w:cs="Arial" w:eastAsia="Arial" w:hAnsi="Arial"/>
          <w:sz w:val="16"/>
          <w:szCs w:val="16"/>
          <w:color w:val="auto"/>
        </w:rPr>
        <w:t>“MCR” represents medical costs as a percentage of premium revenue.</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Medicaid: TANF/CHIP, Medicaid Expansion and ABD</w:t>
      </w:r>
    </w:p>
    <w:p>
      <w:pPr>
        <w:spacing w:after="0" w:line="225"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The medical care ratios of the combined TANF/CHIP, Medicaid Expansion and ABD programs increased to 91.8% in the third quarter of 2017, from 89.8% in the third quarter of 2016. Margin pressures at the California health plan (primarily due to reduced Medicaid Expansion premium rates effective July 1, 2017), the Florida health plan; and the Illinois health plan more than offset improved performance at the Washington health plan.</w:t>
      </w:r>
    </w:p>
    <w:p>
      <w:pPr>
        <w:spacing w:after="0" w:line="170" w:lineRule="exact"/>
        <w:rPr>
          <w:sz w:val="20"/>
          <w:szCs w:val="20"/>
          <w:color w:val="auto"/>
        </w:rPr>
      </w:pPr>
    </w:p>
    <w:p>
      <w:pPr>
        <w:ind w:right="280"/>
        <w:spacing w:after="0" w:line="284" w:lineRule="auto"/>
        <w:rPr>
          <w:sz w:val="20"/>
          <w:szCs w:val="20"/>
          <w:color w:val="auto"/>
        </w:rPr>
      </w:pPr>
      <w:r>
        <w:rPr>
          <w:rFonts w:ascii="Arial" w:cs="Arial" w:eastAsia="Arial" w:hAnsi="Arial"/>
          <w:sz w:val="17"/>
          <w:szCs w:val="17"/>
          <w:color w:val="auto"/>
        </w:rPr>
        <w:t>The medical care ratios of the combined TANF/CHIP, Medicaid Expansion and ABD programs increased to 92.4% in the nine months ended September 30, 2017, from 89.9% in the nine months ended September 30, 2016. For the nine months ended September 30, 2017, margin pressures at the Florida, Illinois, New Mexico and Texas health plans more than offset improved performance at the Washington health plan. Financial results for the Texas health plan in 2016 benefited from the recognition of $44 million of quality revenue related to 2015 and 2014.</w:t>
      </w:r>
    </w:p>
    <w:p>
      <w:pPr>
        <w:spacing w:after="0" w:line="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MMP and Medicare</w:t>
      </w:r>
    </w:p>
    <w:p>
      <w:pPr>
        <w:spacing w:after="0" w:line="117" w:lineRule="exact"/>
        <w:rPr>
          <w:sz w:val="20"/>
          <w:szCs w:val="20"/>
          <w:color w:val="auto"/>
        </w:rPr>
      </w:pPr>
    </w:p>
    <w:p>
      <w:pPr>
        <w:ind w:right="340"/>
        <w:spacing w:after="0" w:line="271" w:lineRule="auto"/>
        <w:rPr>
          <w:sz w:val="20"/>
          <w:szCs w:val="20"/>
          <w:color w:val="auto"/>
        </w:rPr>
      </w:pPr>
      <w:r>
        <w:rPr>
          <w:rFonts w:ascii="Arial" w:cs="Arial" w:eastAsia="Arial" w:hAnsi="Arial"/>
          <w:sz w:val="18"/>
          <w:szCs w:val="18"/>
          <w:color w:val="auto"/>
        </w:rPr>
        <w:t>The medical care ratio for these programs, in the aggregate, decreased in the third quarter of 2017 when compared with the third quarter of 2016, and also in the nine months ended September 30, 2017, compared with the nine months ended September 30, 2016. Utilization of inpatient and pharmacy services among our Medicare members has been subdued for the first nine months of 2017.</w:t>
      </w:r>
    </w:p>
    <w:p>
      <w:pPr>
        <w:spacing w:after="0" w:line="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Marketplace</w:t>
      </w:r>
    </w:p>
    <w:p>
      <w:pPr>
        <w:spacing w:after="0" w:line="225" w:lineRule="exact"/>
        <w:rPr>
          <w:sz w:val="20"/>
          <w:szCs w:val="20"/>
          <w:color w:val="auto"/>
        </w:rPr>
      </w:pPr>
    </w:p>
    <w:p>
      <w:pPr>
        <w:ind w:right="460"/>
        <w:spacing w:after="0" w:line="292" w:lineRule="auto"/>
        <w:rPr>
          <w:sz w:val="20"/>
          <w:szCs w:val="20"/>
          <w:color w:val="auto"/>
        </w:rPr>
      </w:pPr>
      <w:r>
        <w:rPr>
          <w:rFonts w:ascii="Arial" w:cs="Arial" w:eastAsia="Arial" w:hAnsi="Arial"/>
          <w:sz w:val="18"/>
          <w:szCs w:val="18"/>
          <w:color w:val="auto"/>
        </w:rPr>
        <w:t>Marketplace member months increased 64% in the nine months ended September 30, 2017, when compared with the nine months ended September 30, 2016, as a result of membership growth primarily in California, Florida and Texas.</w:t>
      </w:r>
    </w:p>
    <w:p>
      <w:pPr>
        <w:spacing w:after="0" w:line="28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Molina Healthcare, Inc. 2017 Form 10-Q | 48</w:t>
      </w:r>
    </w:p>
    <w:p>
      <w:pPr>
        <w:sectPr>
          <w:pgSz w:w="11900" w:h="16838" w:orient="portrait"/>
          <w:cols w:equalWidth="0" w:num="1">
            <w:col w:w="11420"/>
          </w:cols>
          <w:pgMar w:left="240" w:top="116" w:right="239" w:bottom="1440" w:gutter="0" w:footer="0" w:header="0"/>
        </w:sectPr>
      </w:pPr>
    </w:p>
    <w:bookmarkStart w:id="48" w:name="page49"/>
    <w:bookmarkEnd w:id="4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61"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The medical care ratio for the Marketplace program decreased to 75.3% in the third quarter of 2017, from 88.1% in the third quarter of 2016. Absent a $30 million reduction to a previously established premium deficiency reserve, the medical care ratio for our Marketplace program would have been approximately 79% in the third quarter of 2017. The medical care ratio of the Marketplace program for the nine months ended September 30, 2017 was 84.1%, and generally consistent with the medical care ratio reported for the same period in 2016.</w:t>
      </w:r>
    </w:p>
    <w:p>
      <w:pPr>
        <w:spacing w:after="0" w:line="42" w:lineRule="exact"/>
        <w:rPr>
          <w:sz w:val="20"/>
          <w:szCs w:val="20"/>
          <w:color w:val="auto"/>
        </w:rPr>
      </w:pPr>
    </w:p>
    <w:p>
      <w:pPr>
        <w:spacing w:after="0"/>
        <w:rPr>
          <w:sz w:val="20"/>
          <w:szCs w:val="20"/>
          <w:color w:val="auto"/>
        </w:rPr>
      </w:pPr>
      <w:r>
        <w:rPr>
          <w:rFonts w:ascii="Arial" w:cs="Arial" w:eastAsia="Arial" w:hAnsi="Arial"/>
          <w:sz w:val="32"/>
          <w:szCs w:val="32"/>
          <w:b w:val="1"/>
          <w:bCs w:val="1"/>
          <w:color w:val="ACACAC"/>
        </w:rPr>
        <w:t>FINANCIAL PERFORMANCE BY STATE</w:t>
      </w:r>
    </w:p>
    <w:p>
      <w:pPr>
        <w:spacing w:after="0" w:line="192" w:lineRule="exact"/>
        <w:rPr>
          <w:sz w:val="20"/>
          <w:szCs w:val="20"/>
          <w:color w:val="auto"/>
        </w:rPr>
      </w:pPr>
    </w:p>
    <w:p>
      <w:pPr>
        <w:ind w:right="40"/>
        <w:spacing w:after="0" w:line="292" w:lineRule="auto"/>
        <w:rPr>
          <w:sz w:val="20"/>
          <w:szCs w:val="20"/>
          <w:color w:val="auto"/>
        </w:rPr>
      </w:pPr>
      <w:r>
        <w:rPr>
          <w:rFonts w:ascii="Arial" w:cs="Arial" w:eastAsia="Arial" w:hAnsi="Arial"/>
          <w:sz w:val="18"/>
          <w:szCs w:val="18"/>
          <w:color w:val="auto"/>
        </w:rPr>
        <w:t>The following tables summarize member months, premium revenue, medical care costs, medical care ratio, and medical margin by state health plan for the periods indicated (PMPM amounts are in whole dollars; member months and other dollar amounts are in millions):</w:t>
      </w:r>
    </w:p>
    <w:p>
      <w:pPr>
        <w:spacing w:after="0" w:line="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Health Plans Segment Financial Data — Non-Marketplace</w:t>
      </w:r>
    </w:p>
    <w:p>
      <w:pPr>
        <w:spacing w:after="0" w:line="200" w:lineRule="exact"/>
        <w:rPr>
          <w:sz w:val="20"/>
          <w:szCs w:val="20"/>
          <w:color w:val="auto"/>
        </w:rPr>
      </w:pPr>
    </w:p>
    <w:p>
      <w:pPr>
        <w:spacing w:after="0" w:line="303" w:lineRule="exact"/>
        <w:rPr>
          <w:sz w:val="20"/>
          <w:szCs w:val="20"/>
          <w:color w:val="auto"/>
        </w:rPr>
      </w:pPr>
    </w:p>
    <w:tbl>
      <w:tblPr>
        <w:tblLayout w:type="fixed"/>
        <w:tblInd w:w="40" w:type="dxa"/>
        <w:tblCellMar>
          <w:top w:w="0" w:type="dxa"/>
          <w:left w:w="0" w:type="dxa"/>
          <w:bottom w:w="0" w:type="dxa"/>
          <w:right w:w="0" w:type="dxa"/>
        </w:tblCellMar>
      </w:tblPr>
      <w:tr>
        <w:trPr>
          <w:trHeight w:val="203"/>
        </w:trPr>
        <w:tc>
          <w:tcPr>
            <w:tcW w:w="2040" w:type="dxa"/>
            <w:vAlign w:val="bottom"/>
          </w:tcPr>
          <w:p>
            <w:pPr>
              <w:spacing w:after="0"/>
              <w:rPr>
                <w:sz w:val="17"/>
                <w:szCs w:val="17"/>
                <w:color w:val="auto"/>
              </w:rPr>
            </w:pPr>
          </w:p>
        </w:tc>
        <w:tc>
          <w:tcPr>
            <w:tcW w:w="11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3720" w:type="dxa"/>
            <w:vAlign w:val="bottom"/>
            <w:tcBorders>
              <w:bottom w:val="single" w:sz="8" w:color="auto"/>
            </w:tcBorders>
            <w:gridSpan w:val="7"/>
          </w:tcPr>
          <w:p>
            <w:pPr>
              <w:jc w:val="right"/>
              <w:ind w:right="620"/>
              <w:spacing w:after="0"/>
              <w:rPr>
                <w:sz w:val="20"/>
                <w:szCs w:val="20"/>
                <w:color w:val="auto"/>
              </w:rPr>
            </w:pPr>
            <w:r>
              <w:rPr>
                <w:rFonts w:ascii="Arial" w:cs="Arial" w:eastAsia="Arial" w:hAnsi="Arial"/>
                <w:sz w:val="14"/>
                <w:szCs w:val="14"/>
                <w:b w:val="1"/>
                <w:bCs w:val="1"/>
                <w:color w:val="auto"/>
              </w:rPr>
              <w:t>Three Months Ended September 30, 2017</w:t>
            </w:r>
          </w:p>
        </w:tc>
        <w:tc>
          <w:tcPr>
            <w:tcW w:w="10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64"/>
        </w:trPr>
        <w:tc>
          <w:tcPr>
            <w:tcW w:w="2040" w:type="dxa"/>
            <w:vAlign w:val="bottom"/>
          </w:tcPr>
          <w:p>
            <w:pPr>
              <w:spacing w:after="0"/>
              <w:rPr>
                <w:sz w:val="22"/>
                <w:szCs w:val="22"/>
                <w:color w:val="auto"/>
              </w:rPr>
            </w:pPr>
          </w:p>
        </w:tc>
        <w:tc>
          <w:tcPr>
            <w:tcW w:w="1240" w:type="dxa"/>
            <w:vAlign w:val="bottom"/>
            <w:gridSpan w:val="2"/>
            <w:vMerge w:val="restart"/>
          </w:tcPr>
          <w:p>
            <w:pPr>
              <w:ind w:left="300"/>
              <w:spacing w:after="0"/>
              <w:rPr>
                <w:sz w:val="20"/>
                <w:szCs w:val="20"/>
                <w:color w:val="auto"/>
              </w:rPr>
            </w:pPr>
            <w:r>
              <w:rPr>
                <w:rFonts w:ascii="Arial" w:cs="Arial" w:eastAsia="Arial" w:hAnsi="Arial"/>
                <w:sz w:val="14"/>
                <w:szCs w:val="14"/>
                <w:b w:val="1"/>
                <w:bCs w:val="1"/>
                <w:color w:val="auto"/>
              </w:rPr>
              <w:t>Member</w:t>
            </w:r>
          </w:p>
        </w:tc>
        <w:tc>
          <w:tcPr>
            <w:tcW w:w="340" w:type="dxa"/>
            <w:vAlign w:val="bottom"/>
          </w:tcPr>
          <w:p>
            <w:pPr>
              <w:spacing w:after="0"/>
              <w:rPr>
                <w:sz w:val="22"/>
                <w:szCs w:val="22"/>
                <w:color w:val="auto"/>
              </w:rPr>
            </w:pPr>
          </w:p>
        </w:tc>
        <w:tc>
          <w:tcPr>
            <w:tcW w:w="2480" w:type="dxa"/>
            <w:vAlign w:val="bottom"/>
            <w:gridSpan w:val="5"/>
          </w:tcPr>
          <w:p>
            <w:pPr>
              <w:ind w:left="400"/>
              <w:spacing w:after="0"/>
              <w:rPr>
                <w:sz w:val="20"/>
                <w:szCs w:val="20"/>
                <w:color w:val="auto"/>
              </w:rPr>
            </w:pPr>
            <w:r>
              <w:rPr>
                <w:rFonts w:ascii="Arial" w:cs="Arial" w:eastAsia="Arial" w:hAnsi="Arial"/>
                <w:sz w:val="14"/>
                <w:szCs w:val="14"/>
                <w:b w:val="1"/>
                <w:bCs w:val="1"/>
                <w:color w:val="auto"/>
              </w:rPr>
              <w:t>Premium Revenue</w:t>
            </w:r>
          </w:p>
        </w:tc>
        <w:tc>
          <w:tcPr>
            <w:tcW w:w="340" w:type="dxa"/>
            <w:vAlign w:val="bottom"/>
          </w:tcPr>
          <w:p>
            <w:pPr>
              <w:spacing w:after="0"/>
              <w:rPr>
                <w:sz w:val="22"/>
                <w:szCs w:val="22"/>
                <w:color w:val="auto"/>
              </w:rPr>
            </w:pPr>
          </w:p>
        </w:tc>
        <w:tc>
          <w:tcPr>
            <w:tcW w:w="2380" w:type="dxa"/>
            <w:vAlign w:val="bottom"/>
            <w:gridSpan w:val="4"/>
          </w:tcPr>
          <w:p>
            <w:pPr>
              <w:jc w:val="right"/>
              <w:ind w:right="600"/>
              <w:spacing w:after="0"/>
              <w:rPr>
                <w:sz w:val="20"/>
                <w:szCs w:val="20"/>
                <w:color w:val="auto"/>
              </w:rPr>
            </w:pPr>
            <w:r>
              <w:rPr>
                <w:rFonts w:ascii="Arial" w:cs="Arial" w:eastAsia="Arial" w:hAnsi="Arial"/>
                <w:sz w:val="14"/>
                <w:szCs w:val="14"/>
                <w:b w:val="1"/>
                <w:bCs w:val="1"/>
                <w:color w:val="auto"/>
              </w:rPr>
              <w:t>Medical Care Costs</w:t>
            </w:r>
          </w:p>
        </w:tc>
        <w:tc>
          <w:tcPr>
            <w:tcW w:w="10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0"/>
        </w:trPr>
        <w:tc>
          <w:tcPr>
            <w:tcW w:w="204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340" w:type="dxa"/>
            <w:vAlign w:val="bottom"/>
            <w:tcBorders>
              <w:top w:val="single" w:sz="8" w:color="auto"/>
            </w:tcBorders>
          </w:tcPr>
          <w:p>
            <w:pPr>
              <w:spacing w:after="0"/>
              <w:rPr>
                <w:sz w:val="5"/>
                <w:szCs w:val="5"/>
                <w:color w:val="auto"/>
              </w:rPr>
            </w:pPr>
          </w:p>
        </w:tc>
        <w:tc>
          <w:tcPr>
            <w:tcW w:w="1120" w:type="dxa"/>
            <w:vAlign w:val="bottom"/>
            <w:tcBorders>
              <w:top w:val="single" w:sz="8" w:color="auto"/>
            </w:tcBorders>
          </w:tcPr>
          <w:p>
            <w:pPr>
              <w:spacing w:after="0"/>
              <w:rPr>
                <w:sz w:val="5"/>
                <w:szCs w:val="5"/>
                <w:color w:val="auto"/>
              </w:rPr>
            </w:pPr>
          </w:p>
        </w:tc>
        <w:tc>
          <w:tcPr>
            <w:tcW w:w="120" w:type="dxa"/>
            <w:vAlign w:val="bottom"/>
            <w:tcBorders>
              <w:top w:val="single" w:sz="8" w:color="auto"/>
            </w:tcBorders>
          </w:tcPr>
          <w:p>
            <w:pPr>
              <w:spacing w:after="0"/>
              <w:rPr>
                <w:sz w:val="5"/>
                <w:szCs w:val="5"/>
                <w:color w:val="auto"/>
              </w:rPr>
            </w:pPr>
          </w:p>
        </w:tc>
        <w:tc>
          <w:tcPr>
            <w:tcW w:w="240" w:type="dxa"/>
            <w:vAlign w:val="bottom"/>
            <w:tcBorders>
              <w:top w:val="single" w:sz="8" w:color="auto"/>
            </w:tcBorders>
          </w:tcPr>
          <w:p>
            <w:pPr>
              <w:spacing w:after="0"/>
              <w:rPr>
                <w:sz w:val="5"/>
                <w:szCs w:val="5"/>
                <w:color w:val="auto"/>
              </w:rPr>
            </w:pPr>
          </w:p>
        </w:tc>
        <w:tc>
          <w:tcPr>
            <w:tcW w:w="900" w:type="dxa"/>
            <w:vAlign w:val="bottom"/>
            <w:tcBorders>
              <w:top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340" w:type="dxa"/>
            <w:vAlign w:val="bottom"/>
            <w:tcBorders>
              <w:top w:val="single" w:sz="8" w:color="auto"/>
            </w:tcBorders>
          </w:tcPr>
          <w:p>
            <w:pPr>
              <w:spacing w:after="0"/>
              <w:rPr>
                <w:sz w:val="5"/>
                <w:szCs w:val="5"/>
                <w:color w:val="auto"/>
              </w:rPr>
            </w:pPr>
          </w:p>
        </w:tc>
        <w:tc>
          <w:tcPr>
            <w:tcW w:w="1140" w:type="dxa"/>
            <w:vAlign w:val="bottom"/>
            <w:tcBorders>
              <w:top w:val="single" w:sz="8" w:color="auto"/>
            </w:tcBorders>
          </w:tcPr>
          <w:p>
            <w:pPr>
              <w:spacing w:after="0"/>
              <w:rPr>
                <w:sz w:val="5"/>
                <w:szCs w:val="5"/>
                <w:color w:val="auto"/>
              </w:rPr>
            </w:pPr>
          </w:p>
        </w:tc>
        <w:tc>
          <w:tcPr>
            <w:tcW w:w="100" w:type="dxa"/>
            <w:vAlign w:val="bottom"/>
            <w:tcBorders>
              <w:top w:val="single" w:sz="8" w:color="auto"/>
            </w:tcBorders>
          </w:tcPr>
          <w:p>
            <w:pPr>
              <w:spacing w:after="0"/>
              <w:rPr>
                <w:sz w:val="5"/>
                <w:szCs w:val="5"/>
                <w:color w:val="auto"/>
              </w:rPr>
            </w:pPr>
          </w:p>
        </w:tc>
        <w:tc>
          <w:tcPr>
            <w:tcW w:w="240" w:type="dxa"/>
            <w:vAlign w:val="bottom"/>
            <w:tcBorders>
              <w:top w:val="single" w:sz="8" w:color="auto"/>
            </w:tcBorders>
          </w:tcPr>
          <w:p>
            <w:pPr>
              <w:spacing w:after="0"/>
              <w:rPr>
                <w:sz w:val="5"/>
                <w:szCs w:val="5"/>
                <w:color w:val="auto"/>
              </w:rPr>
            </w:pPr>
          </w:p>
        </w:tc>
        <w:tc>
          <w:tcPr>
            <w:tcW w:w="900" w:type="dxa"/>
            <w:vAlign w:val="bottom"/>
            <w:tcBorders>
              <w:top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1200" w:type="dxa"/>
            <w:vAlign w:val="bottom"/>
          </w:tcPr>
          <w:p>
            <w:pPr>
              <w:spacing w:after="0"/>
              <w:rPr>
                <w:sz w:val="5"/>
                <w:szCs w:val="5"/>
                <w:color w:val="auto"/>
              </w:rPr>
            </w:pPr>
          </w:p>
        </w:tc>
        <w:tc>
          <w:tcPr>
            <w:tcW w:w="100" w:type="dxa"/>
            <w:vAlign w:val="bottom"/>
          </w:tcPr>
          <w:p>
            <w:pPr>
              <w:spacing w:after="0"/>
              <w:rPr>
                <w:sz w:val="5"/>
                <w:szCs w:val="5"/>
                <w:color w:val="auto"/>
              </w:rPr>
            </w:pPr>
          </w:p>
        </w:tc>
        <w:tc>
          <w:tcPr>
            <w:tcW w:w="440" w:type="dxa"/>
            <w:vAlign w:val="bottom"/>
          </w:tcPr>
          <w:p>
            <w:pPr>
              <w:spacing w:after="0"/>
              <w:rPr>
                <w:sz w:val="5"/>
                <w:szCs w:val="5"/>
                <w:color w:val="auto"/>
              </w:rPr>
            </w:pPr>
          </w:p>
        </w:tc>
        <w:tc>
          <w:tcPr>
            <w:tcW w:w="7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3"/>
        </w:trPr>
        <w:tc>
          <w:tcPr>
            <w:tcW w:w="2040" w:type="dxa"/>
            <w:vAlign w:val="bottom"/>
            <w:tcBorders>
              <w:bottom w:val="single" w:sz="8" w:color="CCEEFF"/>
            </w:tcBorders>
          </w:tcPr>
          <w:p>
            <w:pPr>
              <w:spacing w:after="0"/>
              <w:rPr>
                <w:sz w:val="17"/>
                <w:szCs w:val="17"/>
                <w:color w:val="auto"/>
              </w:rPr>
            </w:pPr>
          </w:p>
        </w:tc>
        <w:tc>
          <w:tcPr>
            <w:tcW w:w="1120" w:type="dxa"/>
            <w:vAlign w:val="bottom"/>
            <w:tcBorders>
              <w:bottom w:val="single" w:sz="8" w:color="auto"/>
            </w:tcBorders>
          </w:tcPr>
          <w:p>
            <w:pPr>
              <w:ind w:left="320"/>
              <w:spacing w:after="0"/>
              <w:rPr>
                <w:sz w:val="20"/>
                <w:szCs w:val="20"/>
                <w:color w:val="auto"/>
              </w:rPr>
            </w:pPr>
            <w:r>
              <w:rPr>
                <w:rFonts w:ascii="Arial" w:cs="Arial" w:eastAsia="Arial" w:hAnsi="Arial"/>
                <w:sz w:val="14"/>
                <w:szCs w:val="14"/>
                <w:b w:val="1"/>
                <w:bCs w:val="1"/>
                <w:color w:val="auto"/>
              </w:rPr>
              <w:t>Months</w:t>
            </w:r>
          </w:p>
        </w:tc>
        <w:tc>
          <w:tcPr>
            <w:tcW w:w="12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480"/>
              <w:spacing w:after="0"/>
              <w:rPr>
                <w:sz w:val="20"/>
                <w:szCs w:val="20"/>
                <w:color w:val="auto"/>
              </w:rPr>
            </w:pPr>
            <w:r>
              <w:rPr>
                <w:rFonts w:ascii="Arial" w:cs="Arial" w:eastAsia="Arial" w:hAnsi="Arial"/>
                <w:sz w:val="14"/>
                <w:szCs w:val="14"/>
                <w:b w:val="1"/>
                <w:bCs w:val="1"/>
                <w:color w:val="auto"/>
              </w:rPr>
              <w:t>Total</w:t>
            </w:r>
          </w:p>
        </w:tc>
        <w:tc>
          <w:tcPr>
            <w:tcW w:w="12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280"/>
              <w:spacing w:after="0"/>
              <w:rPr>
                <w:sz w:val="20"/>
                <w:szCs w:val="20"/>
                <w:color w:val="auto"/>
              </w:rPr>
            </w:pPr>
            <w:r>
              <w:rPr>
                <w:rFonts w:ascii="Arial" w:cs="Arial" w:eastAsia="Arial" w:hAnsi="Arial"/>
                <w:sz w:val="14"/>
                <w:szCs w:val="14"/>
                <w:b w:val="1"/>
                <w:bCs w:val="1"/>
                <w:color w:val="auto"/>
              </w:rPr>
              <w:t>PMPM</w:t>
            </w: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500"/>
              <w:spacing w:after="0"/>
              <w:rPr>
                <w:sz w:val="20"/>
                <w:szCs w:val="20"/>
                <w:color w:val="auto"/>
              </w:rPr>
            </w:pPr>
            <w:r>
              <w:rPr>
                <w:rFonts w:ascii="Arial" w:cs="Arial" w:eastAsia="Arial" w:hAnsi="Arial"/>
                <w:sz w:val="14"/>
                <w:szCs w:val="14"/>
                <w:b w:val="1"/>
                <w:bCs w:val="1"/>
                <w:color w:val="auto"/>
              </w:rPr>
              <w:t>Total</w:t>
            </w:r>
          </w:p>
        </w:tc>
        <w:tc>
          <w:tcPr>
            <w:tcW w:w="10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280"/>
              <w:spacing w:after="0"/>
              <w:rPr>
                <w:sz w:val="20"/>
                <w:szCs w:val="20"/>
                <w:color w:val="auto"/>
              </w:rPr>
            </w:pPr>
            <w:r>
              <w:rPr>
                <w:rFonts w:ascii="Arial" w:cs="Arial" w:eastAsia="Arial" w:hAnsi="Arial"/>
                <w:sz w:val="14"/>
                <w:szCs w:val="14"/>
                <w:b w:val="1"/>
                <w:bCs w:val="1"/>
                <w:color w:val="auto"/>
              </w:rPr>
              <w:t>PMPM</w:t>
            </w:r>
          </w:p>
        </w:tc>
        <w:tc>
          <w:tcPr>
            <w:tcW w:w="100" w:type="dxa"/>
            <w:vAlign w:val="bottom"/>
            <w:tcBorders>
              <w:bottom w:val="single" w:sz="8" w:color="CCEEFF"/>
            </w:tcBorders>
          </w:tcPr>
          <w:p>
            <w:pPr>
              <w:spacing w:after="0"/>
              <w:rPr>
                <w:sz w:val="17"/>
                <w:szCs w:val="17"/>
                <w:color w:val="auto"/>
              </w:rPr>
            </w:pPr>
          </w:p>
        </w:tc>
        <w:tc>
          <w:tcPr>
            <w:tcW w:w="1200" w:type="dxa"/>
            <w:vAlign w:val="bottom"/>
            <w:tcBorders>
              <w:bottom w:val="single" w:sz="8" w:color="auto"/>
            </w:tcBorders>
          </w:tcPr>
          <w:p>
            <w:pPr>
              <w:jc w:val="right"/>
              <w:ind w:right="363"/>
              <w:spacing w:after="0"/>
              <w:rPr>
                <w:sz w:val="20"/>
                <w:szCs w:val="20"/>
                <w:color w:val="auto"/>
              </w:rPr>
            </w:pPr>
            <w:r>
              <w:rPr>
                <w:rFonts w:ascii="Arial" w:cs="Arial" w:eastAsia="Arial" w:hAnsi="Arial"/>
                <w:sz w:val="14"/>
                <w:szCs w:val="14"/>
                <w:b w:val="1"/>
                <w:bCs w:val="1"/>
                <w:color w:val="auto"/>
              </w:rPr>
              <w:t>MCR</w:t>
            </w:r>
          </w:p>
        </w:tc>
        <w:tc>
          <w:tcPr>
            <w:tcW w:w="100" w:type="dxa"/>
            <w:vAlign w:val="bottom"/>
            <w:tcBorders>
              <w:bottom w:val="single" w:sz="8" w:color="CCEEFF"/>
            </w:tcBorders>
          </w:tcPr>
          <w:p>
            <w:pPr>
              <w:spacing w:after="0"/>
              <w:rPr>
                <w:sz w:val="17"/>
                <w:szCs w:val="17"/>
                <w:color w:val="auto"/>
              </w:rPr>
            </w:pPr>
          </w:p>
        </w:tc>
        <w:tc>
          <w:tcPr>
            <w:tcW w:w="114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Medical Margin</w:t>
            </w:r>
          </w:p>
        </w:tc>
        <w:tc>
          <w:tcPr>
            <w:tcW w:w="0" w:type="dxa"/>
            <w:vAlign w:val="bottom"/>
          </w:tcPr>
          <w:p>
            <w:pPr>
              <w:spacing w:after="0"/>
              <w:rPr>
                <w:sz w:val="1"/>
                <w:szCs w:val="1"/>
                <w:color w:val="auto"/>
              </w:rPr>
            </w:pPr>
          </w:p>
        </w:tc>
      </w:tr>
      <w:tr>
        <w:trPr>
          <w:trHeight w:val="251"/>
        </w:trPr>
        <w:tc>
          <w:tcPr>
            <w:tcW w:w="204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California</w:t>
            </w:r>
          </w:p>
        </w:tc>
        <w:tc>
          <w:tcPr>
            <w:tcW w:w="112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1.9</w:t>
            </w:r>
          </w:p>
        </w:tc>
        <w:tc>
          <w:tcPr>
            <w:tcW w:w="120" w:type="dxa"/>
            <w:vAlign w:val="bottom"/>
            <w:shd w:val="clear" w:color="auto" w:fill="CCEEFF"/>
          </w:tcPr>
          <w:p>
            <w:pPr>
              <w:spacing w:after="0"/>
              <w:rPr>
                <w:sz w:val="21"/>
                <w:szCs w:val="21"/>
                <w:color w:val="auto"/>
              </w:rPr>
            </w:pPr>
          </w:p>
        </w:tc>
        <w:tc>
          <w:tcPr>
            <w:tcW w:w="3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12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601</w:t>
            </w:r>
          </w:p>
        </w:tc>
        <w:tc>
          <w:tcPr>
            <w:tcW w:w="3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90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322.97</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14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563</w:t>
            </w:r>
          </w:p>
        </w:tc>
        <w:tc>
          <w:tcPr>
            <w:tcW w:w="3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90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302.67</w:t>
            </w: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93.7%</w:t>
            </w:r>
          </w:p>
        </w:tc>
        <w:tc>
          <w:tcPr>
            <w:tcW w:w="100" w:type="dxa"/>
            <w:vAlign w:val="bottom"/>
            <w:shd w:val="clear" w:color="auto" w:fill="CCEEFF"/>
          </w:tcPr>
          <w:p>
            <w:pPr>
              <w:spacing w:after="0"/>
              <w:rPr>
                <w:sz w:val="21"/>
                <w:szCs w:val="21"/>
                <w:color w:val="auto"/>
              </w:rPr>
            </w:pPr>
          </w:p>
        </w:tc>
        <w:tc>
          <w:tcPr>
            <w:tcW w:w="44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7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38</w:t>
            </w:r>
          </w:p>
        </w:tc>
        <w:tc>
          <w:tcPr>
            <w:tcW w:w="0" w:type="dxa"/>
            <w:vAlign w:val="bottom"/>
          </w:tcPr>
          <w:p>
            <w:pPr>
              <w:spacing w:after="0"/>
              <w:rPr>
                <w:sz w:val="1"/>
                <w:szCs w:val="1"/>
                <w:color w:val="auto"/>
              </w:rPr>
            </w:pPr>
          </w:p>
        </w:tc>
      </w:tr>
      <w:tr>
        <w:trPr>
          <w:trHeight w:val="262"/>
        </w:trPr>
        <w:tc>
          <w:tcPr>
            <w:tcW w:w="2040" w:type="dxa"/>
            <w:vAlign w:val="bottom"/>
          </w:tcPr>
          <w:p>
            <w:pPr>
              <w:ind w:left="20"/>
              <w:spacing w:after="0"/>
              <w:rPr>
                <w:sz w:val="20"/>
                <w:szCs w:val="20"/>
                <w:color w:val="auto"/>
              </w:rPr>
            </w:pPr>
            <w:r>
              <w:rPr>
                <w:rFonts w:ascii="Arial" w:cs="Arial" w:eastAsia="Arial" w:hAnsi="Arial"/>
                <w:sz w:val="16"/>
                <w:szCs w:val="16"/>
                <w:color w:val="auto"/>
              </w:rPr>
              <w:t>Florida</w:t>
            </w:r>
          </w:p>
        </w:tc>
        <w:tc>
          <w:tcPr>
            <w:tcW w:w="1120" w:type="dxa"/>
            <w:vAlign w:val="bottom"/>
          </w:tcPr>
          <w:p>
            <w:pPr>
              <w:jc w:val="right"/>
              <w:ind w:right="20"/>
              <w:spacing w:after="0"/>
              <w:rPr>
                <w:sz w:val="20"/>
                <w:szCs w:val="20"/>
                <w:color w:val="auto"/>
              </w:rPr>
            </w:pPr>
            <w:r>
              <w:rPr>
                <w:rFonts w:ascii="Arial" w:cs="Arial" w:eastAsia="Arial" w:hAnsi="Arial"/>
                <w:sz w:val="16"/>
                <w:szCs w:val="16"/>
                <w:color w:val="auto"/>
              </w:rPr>
              <w:t>1.0</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20" w:type="dxa"/>
            <w:vAlign w:val="bottom"/>
          </w:tcPr>
          <w:p>
            <w:pPr>
              <w:jc w:val="right"/>
              <w:ind w:right="20"/>
              <w:spacing w:after="0"/>
              <w:rPr>
                <w:sz w:val="20"/>
                <w:szCs w:val="20"/>
                <w:color w:val="auto"/>
              </w:rPr>
            </w:pPr>
            <w:r>
              <w:rPr>
                <w:rFonts w:ascii="Arial" w:cs="Arial" w:eastAsia="Arial" w:hAnsi="Arial"/>
                <w:sz w:val="16"/>
                <w:szCs w:val="16"/>
                <w:color w:val="auto"/>
              </w:rPr>
              <w:t>388</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00" w:type="dxa"/>
            <w:vAlign w:val="bottom"/>
          </w:tcPr>
          <w:p>
            <w:pPr>
              <w:jc w:val="right"/>
              <w:ind w:right="40"/>
              <w:spacing w:after="0"/>
              <w:rPr>
                <w:sz w:val="20"/>
                <w:szCs w:val="20"/>
                <w:color w:val="auto"/>
              </w:rPr>
            </w:pPr>
            <w:r>
              <w:rPr>
                <w:rFonts w:ascii="Arial" w:cs="Arial" w:eastAsia="Arial" w:hAnsi="Arial"/>
                <w:sz w:val="16"/>
                <w:szCs w:val="16"/>
                <w:color w:val="auto"/>
              </w:rPr>
              <w:t>355.59</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jc w:val="right"/>
              <w:ind w:right="40"/>
              <w:spacing w:after="0"/>
              <w:rPr>
                <w:sz w:val="20"/>
                <w:szCs w:val="20"/>
                <w:color w:val="auto"/>
              </w:rPr>
            </w:pPr>
            <w:r>
              <w:rPr>
                <w:rFonts w:ascii="Arial" w:cs="Arial" w:eastAsia="Arial" w:hAnsi="Arial"/>
                <w:sz w:val="16"/>
                <w:szCs w:val="16"/>
                <w:color w:val="auto"/>
              </w:rPr>
              <w:t>390</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00" w:type="dxa"/>
            <w:vAlign w:val="bottom"/>
          </w:tcPr>
          <w:p>
            <w:pPr>
              <w:jc w:val="right"/>
              <w:ind w:right="40"/>
              <w:spacing w:after="0"/>
              <w:rPr>
                <w:sz w:val="20"/>
                <w:szCs w:val="20"/>
                <w:color w:val="auto"/>
              </w:rPr>
            </w:pPr>
            <w:r>
              <w:rPr>
                <w:rFonts w:ascii="Arial" w:cs="Arial" w:eastAsia="Arial" w:hAnsi="Arial"/>
                <w:sz w:val="16"/>
                <w:szCs w:val="16"/>
                <w:color w:val="auto"/>
              </w:rPr>
              <w:t>356.83</w:t>
            </w:r>
          </w:p>
        </w:tc>
        <w:tc>
          <w:tcPr>
            <w:tcW w:w="1300" w:type="dxa"/>
            <w:vAlign w:val="bottom"/>
            <w:gridSpan w:val="2"/>
          </w:tcPr>
          <w:p>
            <w:pPr>
              <w:jc w:val="right"/>
              <w:ind w:right="103"/>
              <w:spacing w:after="0"/>
              <w:rPr>
                <w:sz w:val="20"/>
                <w:szCs w:val="20"/>
                <w:color w:val="auto"/>
              </w:rPr>
            </w:pPr>
            <w:r>
              <w:rPr>
                <w:rFonts w:ascii="Arial" w:cs="Arial" w:eastAsia="Arial" w:hAnsi="Arial"/>
                <w:sz w:val="16"/>
                <w:szCs w:val="16"/>
                <w:color w:val="auto"/>
              </w:rPr>
              <w:t>100.3</w:t>
            </w:r>
          </w:p>
        </w:tc>
        <w:tc>
          <w:tcPr>
            <w:tcW w:w="1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278"/>
        </w:trPr>
        <w:tc>
          <w:tcPr>
            <w:tcW w:w="2040" w:type="dxa"/>
            <w:vAlign w:val="bottom"/>
            <w:shd w:val="clear" w:color="auto" w:fill="CCEEFF"/>
          </w:tcPr>
          <w:p>
            <w:pPr>
              <w:ind w:left="20"/>
              <w:spacing w:after="0"/>
              <w:rPr>
                <w:sz w:val="20"/>
                <w:szCs w:val="20"/>
                <w:color w:val="auto"/>
              </w:rPr>
            </w:pPr>
            <w:r>
              <w:rPr>
                <w:rFonts w:ascii="Arial" w:cs="Arial" w:eastAsia="Arial" w:hAnsi="Arial"/>
                <w:sz w:val="16"/>
                <w:szCs w:val="16"/>
                <w:color w:val="auto"/>
              </w:rPr>
              <w:t>Illinois</w:t>
            </w:r>
          </w:p>
        </w:tc>
        <w:tc>
          <w:tcPr>
            <w:tcW w:w="112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0.5</w:t>
            </w: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137</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287.69</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138</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289.36</w:t>
            </w:r>
          </w:p>
        </w:tc>
        <w:tc>
          <w:tcPr>
            <w:tcW w:w="1300" w:type="dxa"/>
            <w:vAlign w:val="bottom"/>
            <w:gridSpan w:val="2"/>
            <w:shd w:val="clear" w:color="auto" w:fill="CCEEFF"/>
          </w:tcPr>
          <w:p>
            <w:pPr>
              <w:jc w:val="right"/>
              <w:ind w:right="103"/>
              <w:spacing w:after="0"/>
              <w:rPr>
                <w:sz w:val="20"/>
                <w:szCs w:val="20"/>
                <w:color w:val="auto"/>
              </w:rPr>
            </w:pPr>
            <w:r>
              <w:rPr>
                <w:rFonts w:ascii="Arial" w:cs="Arial" w:eastAsia="Arial" w:hAnsi="Arial"/>
                <w:sz w:val="16"/>
                <w:szCs w:val="16"/>
                <w:color w:val="auto"/>
              </w:rPr>
              <w:t>100.6</w:t>
            </w:r>
          </w:p>
        </w:tc>
        <w:tc>
          <w:tcPr>
            <w:tcW w:w="10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62"/>
        </w:trPr>
        <w:tc>
          <w:tcPr>
            <w:tcW w:w="2040" w:type="dxa"/>
            <w:vAlign w:val="bottom"/>
          </w:tcPr>
          <w:p>
            <w:pPr>
              <w:ind w:left="20"/>
              <w:spacing w:after="0"/>
              <w:rPr>
                <w:sz w:val="20"/>
                <w:szCs w:val="20"/>
                <w:color w:val="auto"/>
              </w:rPr>
            </w:pPr>
            <w:r>
              <w:rPr>
                <w:rFonts w:ascii="Arial" w:cs="Arial" w:eastAsia="Arial" w:hAnsi="Arial"/>
                <w:sz w:val="16"/>
                <w:szCs w:val="16"/>
                <w:color w:val="auto"/>
              </w:rPr>
              <w:t>Michigan</w:t>
            </w:r>
          </w:p>
        </w:tc>
        <w:tc>
          <w:tcPr>
            <w:tcW w:w="1120" w:type="dxa"/>
            <w:vAlign w:val="bottom"/>
          </w:tcPr>
          <w:p>
            <w:pPr>
              <w:jc w:val="right"/>
              <w:ind w:right="20"/>
              <w:spacing w:after="0"/>
              <w:rPr>
                <w:sz w:val="20"/>
                <w:szCs w:val="20"/>
                <w:color w:val="auto"/>
              </w:rPr>
            </w:pPr>
            <w:r>
              <w:rPr>
                <w:rFonts w:ascii="Arial" w:cs="Arial" w:eastAsia="Arial" w:hAnsi="Arial"/>
                <w:sz w:val="16"/>
                <w:szCs w:val="16"/>
                <w:color w:val="auto"/>
              </w:rPr>
              <w:t>1.2</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20" w:type="dxa"/>
            <w:vAlign w:val="bottom"/>
          </w:tcPr>
          <w:p>
            <w:pPr>
              <w:jc w:val="right"/>
              <w:ind w:right="20"/>
              <w:spacing w:after="0"/>
              <w:rPr>
                <w:sz w:val="20"/>
                <w:szCs w:val="20"/>
                <w:color w:val="auto"/>
              </w:rPr>
            </w:pPr>
            <w:r>
              <w:rPr>
                <w:rFonts w:ascii="Arial" w:cs="Arial" w:eastAsia="Arial" w:hAnsi="Arial"/>
                <w:sz w:val="16"/>
                <w:szCs w:val="16"/>
                <w:color w:val="auto"/>
              </w:rPr>
              <w:t>390</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00" w:type="dxa"/>
            <w:vAlign w:val="bottom"/>
          </w:tcPr>
          <w:p>
            <w:pPr>
              <w:jc w:val="right"/>
              <w:ind w:right="40"/>
              <w:spacing w:after="0"/>
              <w:rPr>
                <w:sz w:val="20"/>
                <w:szCs w:val="20"/>
                <w:color w:val="auto"/>
              </w:rPr>
            </w:pPr>
            <w:r>
              <w:rPr>
                <w:rFonts w:ascii="Arial" w:cs="Arial" w:eastAsia="Arial" w:hAnsi="Arial"/>
                <w:sz w:val="16"/>
                <w:szCs w:val="16"/>
                <w:color w:val="auto"/>
              </w:rPr>
              <w:t>337.17</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jc w:val="right"/>
              <w:ind w:right="40"/>
              <w:spacing w:after="0"/>
              <w:rPr>
                <w:sz w:val="20"/>
                <w:szCs w:val="20"/>
                <w:color w:val="auto"/>
              </w:rPr>
            </w:pPr>
            <w:r>
              <w:rPr>
                <w:rFonts w:ascii="Arial" w:cs="Arial" w:eastAsia="Arial" w:hAnsi="Arial"/>
                <w:sz w:val="16"/>
                <w:szCs w:val="16"/>
                <w:color w:val="auto"/>
              </w:rPr>
              <w:t>345</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00" w:type="dxa"/>
            <w:vAlign w:val="bottom"/>
          </w:tcPr>
          <w:p>
            <w:pPr>
              <w:jc w:val="right"/>
              <w:ind w:right="40"/>
              <w:spacing w:after="0"/>
              <w:rPr>
                <w:sz w:val="20"/>
                <w:szCs w:val="20"/>
                <w:color w:val="auto"/>
              </w:rPr>
            </w:pPr>
            <w:r>
              <w:rPr>
                <w:rFonts w:ascii="Arial" w:cs="Arial" w:eastAsia="Arial" w:hAnsi="Arial"/>
                <w:sz w:val="16"/>
                <w:szCs w:val="16"/>
                <w:color w:val="auto"/>
              </w:rPr>
              <w:t>298.83</w:t>
            </w:r>
          </w:p>
        </w:tc>
        <w:tc>
          <w:tcPr>
            <w:tcW w:w="1300" w:type="dxa"/>
            <w:vAlign w:val="bottom"/>
            <w:gridSpan w:val="2"/>
          </w:tcPr>
          <w:p>
            <w:pPr>
              <w:jc w:val="right"/>
              <w:ind w:right="103"/>
              <w:spacing w:after="0"/>
              <w:rPr>
                <w:sz w:val="20"/>
                <w:szCs w:val="20"/>
                <w:color w:val="auto"/>
              </w:rPr>
            </w:pPr>
            <w:r>
              <w:rPr>
                <w:rFonts w:ascii="Arial" w:cs="Arial" w:eastAsia="Arial" w:hAnsi="Arial"/>
                <w:sz w:val="16"/>
                <w:szCs w:val="16"/>
                <w:color w:val="auto"/>
              </w:rPr>
              <w:t>88.6</w:t>
            </w:r>
          </w:p>
        </w:tc>
        <w:tc>
          <w:tcPr>
            <w:tcW w:w="1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700" w:type="dxa"/>
            <w:vAlign w:val="bottom"/>
          </w:tcPr>
          <w:p>
            <w:pPr>
              <w:jc w:val="right"/>
              <w:ind w:right="39"/>
              <w:spacing w:after="0"/>
              <w:rPr>
                <w:sz w:val="20"/>
                <w:szCs w:val="20"/>
                <w:color w:val="auto"/>
              </w:rPr>
            </w:pPr>
            <w:r>
              <w:rPr>
                <w:rFonts w:ascii="Arial" w:cs="Arial" w:eastAsia="Arial" w:hAnsi="Arial"/>
                <w:sz w:val="16"/>
                <w:szCs w:val="16"/>
                <w:color w:val="auto"/>
              </w:rPr>
              <w:t>45</w:t>
            </w:r>
          </w:p>
        </w:tc>
        <w:tc>
          <w:tcPr>
            <w:tcW w:w="0" w:type="dxa"/>
            <w:vAlign w:val="bottom"/>
          </w:tcPr>
          <w:p>
            <w:pPr>
              <w:spacing w:after="0"/>
              <w:rPr>
                <w:sz w:val="1"/>
                <w:szCs w:val="1"/>
                <w:color w:val="auto"/>
              </w:rPr>
            </w:pPr>
          </w:p>
        </w:tc>
      </w:tr>
      <w:tr>
        <w:trPr>
          <w:trHeight w:val="278"/>
        </w:trPr>
        <w:tc>
          <w:tcPr>
            <w:tcW w:w="204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New Mexico</w:t>
            </w:r>
          </w:p>
        </w:tc>
        <w:tc>
          <w:tcPr>
            <w:tcW w:w="112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0.7</w:t>
            </w: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304</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429.07</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277</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390.91</w:t>
            </w:r>
          </w:p>
        </w:tc>
        <w:tc>
          <w:tcPr>
            <w:tcW w:w="1300" w:type="dxa"/>
            <w:vAlign w:val="bottom"/>
            <w:gridSpan w:val="2"/>
            <w:shd w:val="clear" w:color="auto" w:fill="CCEEFF"/>
          </w:tcPr>
          <w:p>
            <w:pPr>
              <w:jc w:val="right"/>
              <w:ind w:right="103"/>
              <w:spacing w:after="0"/>
              <w:rPr>
                <w:sz w:val="20"/>
                <w:szCs w:val="20"/>
                <w:color w:val="auto"/>
              </w:rPr>
            </w:pPr>
            <w:r>
              <w:rPr>
                <w:rFonts w:ascii="Arial" w:cs="Arial" w:eastAsia="Arial" w:hAnsi="Arial"/>
                <w:sz w:val="16"/>
                <w:szCs w:val="16"/>
                <w:color w:val="auto"/>
              </w:rPr>
              <w:t>91.1</w:t>
            </w:r>
          </w:p>
        </w:tc>
        <w:tc>
          <w:tcPr>
            <w:tcW w:w="10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27</w:t>
            </w:r>
          </w:p>
        </w:tc>
        <w:tc>
          <w:tcPr>
            <w:tcW w:w="0" w:type="dxa"/>
            <w:vAlign w:val="bottom"/>
          </w:tcPr>
          <w:p>
            <w:pPr>
              <w:spacing w:after="0"/>
              <w:rPr>
                <w:sz w:val="1"/>
                <w:szCs w:val="1"/>
                <w:color w:val="auto"/>
              </w:rPr>
            </w:pPr>
          </w:p>
        </w:tc>
      </w:tr>
      <w:tr>
        <w:trPr>
          <w:trHeight w:val="262"/>
        </w:trPr>
        <w:tc>
          <w:tcPr>
            <w:tcW w:w="2040" w:type="dxa"/>
            <w:vAlign w:val="bottom"/>
          </w:tcPr>
          <w:p>
            <w:pPr>
              <w:ind w:left="20"/>
              <w:spacing w:after="0"/>
              <w:rPr>
                <w:sz w:val="20"/>
                <w:szCs w:val="20"/>
                <w:color w:val="auto"/>
              </w:rPr>
            </w:pPr>
            <w:r>
              <w:rPr>
                <w:rFonts w:ascii="Arial" w:cs="Arial" w:eastAsia="Arial" w:hAnsi="Arial"/>
                <w:sz w:val="16"/>
                <w:szCs w:val="16"/>
                <w:color w:val="auto"/>
              </w:rPr>
              <w:t>New York (3)</w:t>
            </w:r>
          </w:p>
        </w:tc>
        <w:tc>
          <w:tcPr>
            <w:tcW w:w="1120" w:type="dxa"/>
            <w:vAlign w:val="bottom"/>
          </w:tcPr>
          <w:p>
            <w:pPr>
              <w:jc w:val="right"/>
              <w:ind w:right="20"/>
              <w:spacing w:after="0"/>
              <w:rPr>
                <w:sz w:val="20"/>
                <w:szCs w:val="20"/>
                <w:color w:val="auto"/>
              </w:rPr>
            </w:pPr>
            <w:r>
              <w:rPr>
                <w:rFonts w:ascii="Arial" w:cs="Arial" w:eastAsia="Arial" w:hAnsi="Arial"/>
                <w:sz w:val="16"/>
                <w:szCs w:val="16"/>
                <w:color w:val="auto"/>
              </w:rPr>
              <w:t>0.1</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20" w:type="dxa"/>
            <w:vAlign w:val="bottom"/>
          </w:tcPr>
          <w:p>
            <w:pPr>
              <w:jc w:val="right"/>
              <w:ind w:right="20"/>
              <w:spacing w:after="0"/>
              <w:rPr>
                <w:sz w:val="20"/>
                <w:szCs w:val="20"/>
                <w:color w:val="auto"/>
              </w:rPr>
            </w:pPr>
            <w:r>
              <w:rPr>
                <w:rFonts w:ascii="Arial" w:cs="Arial" w:eastAsia="Arial" w:hAnsi="Arial"/>
                <w:sz w:val="16"/>
                <w:szCs w:val="16"/>
                <w:color w:val="auto"/>
              </w:rPr>
              <w:t>43</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00" w:type="dxa"/>
            <w:vAlign w:val="bottom"/>
          </w:tcPr>
          <w:p>
            <w:pPr>
              <w:jc w:val="right"/>
              <w:ind w:right="40"/>
              <w:spacing w:after="0"/>
              <w:rPr>
                <w:sz w:val="20"/>
                <w:szCs w:val="20"/>
                <w:color w:val="auto"/>
              </w:rPr>
            </w:pPr>
            <w:r>
              <w:rPr>
                <w:rFonts w:ascii="Arial" w:cs="Arial" w:eastAsia="Arial" w:hAnsi="Arial"/>
                <w:sz w:val="16"/>
                <w:szCs w:val="16"/>
                <w:color w:val="auto"/>
              </w:rPr>
              <w:t>435.00</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jc w:val="right"/>
              <w:ind w:right="40"/>
              <w:spacing w:after="0"/>
              <w:rPr>
                <w:sz w:val="20"/>
                <w:szCs w:val="20"/>
                <w:color w:val="auto"/>
              </w:rPr>
            </w:pPr>
            <w:r>
              <w:rPr>
                <w:rFonts w:ascii="Arial" w:cs="Arial" w:eastAsia="Arial" w:hAnsi="Arial"/>
                <w:sz w:val="16"/>
                <w:szCs w:val="16"/>
                <w:color w:val="auto"/>
              </w:rPr>
              <w:t>41</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00" w:type="dxa"/>
            <w:vAlign w:val="bottom"/>
          </w:tcPr>
          <w:p>
            <w:pPr>
              <w:jc w:val="right"/>
              <w:ind w:right="40"/>
              <w:spacing w:after="0"/>
              <w:rPr>
                <w:sz w:val="20"/>
                <w:szCs w:val="20"/>
                <w:color w:val="auto"/>
              </w:rPr>
            </w:pPr>
            <w:r>
              <w:rPr>
                <w:rFonts w:ascii="Arial" w:cs="Arial" w:eastAsia="Arial" w:hAnsi="Arial"/>
                <w:sz w:val="16"/>
                <w:szCs w:val="16"/>
                <w:color w:val="auto"/>
              </w:rPr>
              <w:t>413.02</w:t>
            </w:r>
          </w:p>
        </w:tc>
        <w:tc>
          <w:tcPr>
            <w:tcW w:w="1300" w:type="dxa"/>
            <w:vAlign w:val="bottom"/>
            <w:gridSpan w:val="2"/>
          </w:tcPr>
          <w:p>
            <w:pPr>
              <w:jc w:val="right"/>
              <w:ind w:right="103"/>
              <w:spacing w:after="0"/>
              <w:rPr>
                <w:sz w:val="20"/>
                <w:szCs w:val="20"/>
                <w:color w:val="auto"/>
              </w:rPr>
            </w:pPr>
            <w:r>
              <w:rPr>
                <w:rFonts w:ascii="Arial" w:cs="Arial" w:eastAsia="Arial" w:hAnsi="Arial"/>
                <w:sz w:val="16"/>
                <w:szCs w:val="16"/>
                <w:color w:val="auto"/>
              </w:rPr>
              <w:t>94.9</w:t>
            </w:r>
          </w:p>
        </w:tc>
        <w:tc>
          <w:tcPr>
            <w:tcW w:w="1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700" w:type="dxa"/>
            <w:vAlign w:val="bottom"/>
          </w:tcPr>
          <w:p>
            <w:pPr>
              <w:jc w:val="right"/>
              <w:ind w:right="39"/>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278"/>
        </w:trPr>
        <w:tc>
          <w:tcPr>
            <w:tcW w:w="2040" w:type="dxa"/>
            <w:vAlign w:val="bottom"/>
            <w:shd w:val="clear" w:color="auto" w:fill="CCEEFF"/>
          </w:tcPr>
          <w:p>
            <w:pPr>
              <w:ind w:left="20"/>
              <w:spacing w:after="0"/>
              <w:rPr>
                <w:sz w:val="20"/>
                <w:szCs w:val="20"/>
                <w:color w:val="auto"/>
              </w:rPr>
            </w:pPr>
            <w:r>
              <w:rPr>
                <w:rFonts w:ascii="Arial" w:cs="Arial" w:eastAsia="Arial" w:hAnsi="Arial"/>
                <w:sz w:val="16"/>
                <w:szCs w:val="16"/>
                <w:color w:val="auto"/>
              </w:rPr>
              <w:t>Ohio</w:t>
            </w:r>
          </w:p>
        </w:tc>
        <w:tc>
          <w:tcPr>
            <w:tcW w:w="112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0.9</w:t>
            </w: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549</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560.06</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483</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492.61</w:t>
            </w:r>
          </w:p>
        </w:tc>
        <w:tc>
          <w:tcPr>
            <w:tcW w:w="1300" w:type="dxa"/>
            <w:vAlign w:val="bottom"/>
            <w:gridSpan w:val="2"/>
            <w:shd w:val="clear" w:color="auto" w:fill="CCEEFF"/>
          </w:tcPr>
          <w:p>
            <w:pPr>
              <w:jc w:val="right"/>
              <w:ind w:right="103"/>
              <w:spacing w:after="0"/>
              <w:rPr>
                <w:sz w:val="20"/>
                <w:szCs w:val="20"/>
                <w:color w:val="auto"/>
              </w:rPr>
            </w:pPr>
            <w:r>
              <w:rPr>
                <w:rFonts w:ascii="Arial" w:cs="Arial" w:eastAsia="Arial" w:hAnsi="Arial"/>
                <w:sz w:val="16"/>
                <w:szCs w:val="16"/>
                <w:color w:val="auto"/>
              </w:rPr>
              <w:t>88.0</w:t>
            </w:r>
          </w:p>
        </w:tc>
        <w:tc>
          <w:tcPr>
            <w:tcW w:w="10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66</w:t>
            </w:r>
          </w:p>
        </w:tc>
        <w:tc>
          <w:tcPr>
            <w:tcW w:w="0" w:type="dxa"/>
            <w:vAlign w:val="bottom"/>
          </w:tcPr>
          <w:p>
            <w:pPr>
              <w:spacing w:after="0"/>
              <w:rPr>
                <w:sz w:val="1"/>
                <w:szCs w:val="1"/>
                <w:color w:val="auto"/>
              </w:rPr>
            </w:pPr>
          </w:p>
        </w:tc>
      </w:tr>
      <w:tr>
        <w:trPr>
          <w:trHeight w:val="262"/>
        </w:trPr>
        <w:tc>
          <w:tcPr>
            <w:tcW w:w="2040" w:type="dxa"/>
            <w:vAlign w:val="bottom"/>
          </w:tcPr>
          <w:p>
            <w:pPr>
              <w:ind w:left="20"/>
              <w:spacing w:after="0"/>
              <w:rPr>
                <w:sz w:val="20"/>
                <w:szCs w:val="20"/>
                <w:color w:val="auto"/>
              </w:rPr>
            </w:pPr>
            <w:r>
              <w:rPr>
                <w:rFonts w:ascii="Arial" w:cs="Arial" w:eastAsia="Arial" w:hAnsi="Arial"/>
                <w:sz w:val="16"/>
                <w:szCs w:val="16"/>
                <w:color w:val="auto"/>
              </w:rPr>
              <w:t>Puerto Rico</w:t>
            </w:r>
          </w:p>
        </w:tc>
        <w:tc>
          <w:tcPr>
            <w:tcW w:w="1120" w:type="dxa"/>
            <w:vAlign w:val="bottom"/>
          </w:tcPr>
          <w:p>
            <w:pPr>
              <w:jc w:val="right"/>
              <w:ind w:right="20"/>
              <w:spacing w:after="0"/>
              <w:rPr>
                <w:sz w:val="20"/>
                <w:szCs w:val="20"/>
                <w:color w:val="auto"/>
              </w:rPr>
            </w:pPr>
            <w:r>
              <w:rPr>
                <w:rFonts w:ascii="Arial" w:cs="Arial" w:eastAsia="Arial" w:hAnsi="Arial"/>
                <w:sz w:val="16"/>
                <w:szCs w:val="16"/>
                <w:color w:val="auto"/>
              </w:rPr>
              <w:t>1.0</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20" w:type="dxa"/>
            <w:vAlign w:val="bottom"/>
          </w:tcPr>
          <w:p>
            <w:pPr>
              <w:jc w:val="right"/>
              <w:ind w:right="20"/>
              <w:spacing w:after="0"/>
              <w:rPr>
                <w:sz w:val="20"/>
                <w:szCs w:val="20"/>
                <w:color w:val="auto"/>
              </w:rPr>
            </w:pPr>
            <w:r>
              <w:rPr>
                <w:rFonts w:ascii="Arial" w:cs="Arial" w:eastAsia="Arial" w:hAnsi="Arial"/>
                <w:sz w:val="16"/>
                <w:szCs w:val="16"/>
                <w:color w:val="auto"/>
              </w:rPr>
              <w:t>191</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00" w:type="dxa"/>
            <w:vAlign w:val="bottom"/>
          </w:tcPr>
          <w:p>
            <w:pPr>
              <w:jc w:val="right"/>
              <w:ind w:right="40"/>
              <w:spacing w:after="0"/>
              <w:rPr>
                <w:sz w:val="20"/>
                <w:szCs w:val="20"/>
                <w:color w:val="auto"/>
              </w:rPr>
            </w:pPr>
            <w:r>
              <w:rPr>
                <w:rFonts w:ascii="Arial" w:cs="Arial" w:eastAsia="Arial" w:hAnsi="Arial"/>
                <w:sz w:val="16"/>
                <w:szCs w:val="16"/>
                <w:color w:val="auto"/>
              </w:rPr>
              <w:t>202.59</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jc w:val="right"/>
              <w:ind w:right="40"/>
              <w:spacing w:after="0"/>
              <w:rPr>
                <w:sz w:val="20"/>
                <w:szCs w:val="20"/>
                <w:color w:val="auto"/>
              </w:rPr>
            </w:pPr>
            <w:r>
              <w:rPr>
                <w:rFonts w:ascii="Arial" w:cs="Arial" w:eastAsia="Arial" w:hAnsi="Arial"/>
                <w:sz w:val="16"/>
                <w:szCs w:val="16"/>
                <w:color w:val="auto"/>
              </w:rPr>
              <w:t>159</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00" w:type="dxa"/>
            <w:vAlign w:val="bottom"/>
          </w:tcPr>
          <w:p>
            <w:pPr>
              <w:jc w:val="right"/>
              <w:ind w:right="40"/>
              <w:spacing w:after="0"/>
              <w:rPr>
                <w:sz w:val="20"/>
                <w:szCs w:val="20"/>
                <w:color w:val="auto"/>
              </w:rPr>
            </w:pPr>
            <w:r>
              <w:rPr>
                <w:rFonts w:ascii="Arial" w:cs="Arial" w:eastAsia="Arial" w:hAnsi="Arial"/>
                <w:sz w:val="16"/>
                <w:szCs w:val="16"/>
                <w:color w:val="auto"/>
              </w:rPr>
              <w:t>168.25</w:t>
            </w:r>
          </w:p>
        </w:tc>
        <w:tc>
          <w:tcPr>
            <w:tcW w:w="1300" w:type="dxa"/>
            <w:vAlign w:val="bottom"/>
            <w:gridSpan w:val="2"/>
          </w:tcPr>
          <w:p>
            <w:pPr>
              <w:jc w:val="right"/>
              <w:ind w:right="103"/>
              <w:spacing w:after="0"/>
              <w:rPr>
                <w:sz w:val="20"/>
                <w:szCs w:val="20"/>
                <w:color w:val="auto"/>
              </w:rPr>
            </w:pPr>
            <w:r>
              <w:rPr>
                <w:rFonts w:ascii="Arial" w:cs="Arial" w:eastAsia="Arial" w:hAnsi="Arial"/>
                <w:sz w:val="16"/>
                <w:szCs w:val="16"/>
                <w:color w:val="auto"/>
              </w:rPr>
              <w:t>83.1</w:t>
            </w:r>
          </w:p>
        </w:tc>
        <w:tc>
          <w:tcPr>
            <w:tcW w:w="1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700" w:type="dxa"/>
            <w:vAlign w:val="bottom"/>
          </w:tcPr>
          <w:p>
            <w:pPr>
              <w:jc w:val="right"/>
              <w:ind w:right="39"/>
              <w:spacing w:after="0"/>
              <w:rPr>
                <w:sz w:val="20"/>
                <w:szCs w:val="20"/>
                <w:color w:val="auto"/>
              </w:rPr>
            </w:pPr>
            <w:r>
              <w:rPr>
                <w:rFonts w:ascii="Arial" w:cs="Arial" w:eastAsia="Arial" w:hAnsi="Arial"/>
                <w:sz w:val="16"/>
                <w:szCs w:val="16"/>
                <w:color w:val="auto"/>
              </w:rPr>
              <w:t>32</w:t>
            </w:r>
          </w:p>
        </w:tc>
        <w:tc>
          <w:tcPr>
            <w:tcW w:w="0" w:type="dxa"/>
            <w:vAlign w:val="bottom"/>
          </w:tcPr>
          <w:p>
            <w:pPr>
              <w:spacing w:after="0"/>
              <w:rPr>
                <w:sz w:val="1"/>
                <w:szCs w:val="1"/>
                <w:color w:val="auto"/>
              </w:rPr>
            </w:pPr>
          </w:p>
        </w:tc>
      </w:tr>
      <w:tr>
        <w:trPr>
          <w:trHeight w:val="278"/>
        </w:trPr>
        <w:tc>
          <w:tcPr>
            <w:tcW w:w="2040" w:type="dxa"/>
            <w:vAlign w:val="bottom"/>
            <w:shd w:val="clear" w:color="auto" w:fill="CCEEFF"/>
          </w:tcPr>
          <w:p>
            <w:pPr>
              <w:ind w:left="20"/>
              <w:spacing w:after="0"/>
              <w:rPr>
                <w:sz w:val="20"/>
                <w:szCs w:val="20"/>
                <w:color w:val="auto"/>
              </w:rPr>
            </w:pPr>
            <w:r>
              <w:rPr>
                <w:rFonts w:ascii="Arial" w:cs="Arial" w:eastAsia="Arial" w:hAnsi="Arial"/>
                <w:sz w:val="16"/>
                <w:szCs w:val="16"/>
                <w:color w:val="auto"/>
              </w:rPr>
              <w:t>South Carolina</w:t>
            </w:r>
          </w:p>
        </w:tc>
        <w:tc>
          <w:tcPr>
            <w:tcW w:w="112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0.3</w:t>
            </w: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113</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332.48</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101</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297.74</w:t>
            </w:r>
          </w:p>
        </w:tc>
        <w:tc>
          <w:tcPr>
            <w:tcW w:w="1300" w:type="dxa"/>
            <w:vAlign w:val="bottom"/>
            <w:gridSpan w:val="2"/>
            <w:shd w:val="clear" w:color="auto" w:fill="CCEEFF"/>
          </w:tcPr>
          <w:p>
            <w:pPr>
              <w:jc w:val="right"/>
              <w:ind w:right="103"/>
              <w:spacing w:after="0"/>
              <w:rPr>
                <w:sz w:val="20"/>
                <w:szCs w:val="20"/>
                <w:color w:val="auto"/>
              </w:rPr>
            </w:pPr>
            <w:r>
              <w:rPr>
                <w:rFonts w:ascii="Arial" w:cs="Arial" w:eastAsia="Arial" w:hAnsi="Arial"/>
                <w:sz w:val="16"/>
                <w:szCs w:val="16"/>
                <w:color w:val="auto"/>
              </w:rPr>
              <w:t>89.6</w:t>
            </w:r>
          </w:p>
        </w:tc>
        <w:tc>
          <w:tcPr>
            <w:tcW w:w="10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12</w:t>
            </w:r>
          </w:p>
        </w:tc>
        <w:tc>
          <w:tcPr>
            <w:tcW w:w="0" w:type="dxa"/>
            <w:vAlign w:val="bottom"/>
          </w:tcPr>
          <w:p>
            <w:pPr>
              <w:spacing w:after="0"/>
              <w:rPr>
                <w:sz w:val="1"/>
                <w:szCs w:val="1"/>
                <w:color w:val="auto"/>
              </w:rPr>
            </w:pPr>
          </w:p>
        </w:tc>
      </w:tr>
      <w:tr>
        <w:trPr>
          <w:trHeight w:val="262"/>
        </w:trPr>
        <w:tc>
          <w:tcPr>
            <w:tcW w:w="2040" w:type="dxa"/>
            <w:vAlign w:val="bottom"/>
          </w:tcPr>
          <w:p>
            <w:pPr>
              <w:ind w:left="20"/>
              <w:spacing w:after="0"/>
              <w:rPr>
                <w:sz w:val="20"/>
                <w:szCs w:val="20"/>
                <w:color w:val="auto"/>
              </w:rPr>
            </w:pPr>
            <w:r>
              <w:rPr>
                <w:rFonts w:ascii="Arial" w:cs="Arial" w:eastAsia="Arial" w:hAnsi="Arial"/>
                <w:sz w:val="16"/>
                <w:szCs w:val="16"/>
                <w:color w:val="auto"/>
              </w:rPr>
              <w:t>Texas</w:t>
            </w:r>
          </w:p>
        </w:tc>
        <w:tc>
          <w:tcPr>
            <w:tcW w:w="1120" w:type="dxa"/>
            <w:vAlign w:val="bottom"/>
          </w:tcPr>
          <w:p>
            <w:pPr>
              <w:jc w:val="right"/>
              <w:ind w:right="20"/>
              <w:spacing w:after="0"/>
              <w:rPr>
                <w:sz w:val="20"/>
                <w:szCs w:val="20"/>
                <w:color w:val="auto"/>
              </w:rPr>
            </w:pPr>
            <w:r>
              <w:rPr>
                <w:rFonts w:ascii="Arial" w:cs="Arial" w:eastAsia="Arial" w:hAnsi="Arial"/>
                <w:sz w:val="16"/>
                <w:szCs w:val="16"/>
                <w:color w:val="auto"/>
              </w:rPr>
              <w:t>0.7</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20" w:type="dxa"/>
            <w:vAlign w:val="bottom"/>
          </w:tcPr>
          <w:p>
            <w:pPr>
              <w:jc w:val="right"/>
              <w:ind w:right="20"/>
              <w:spacing w:after="0"/>
              <w:rPr>
                <w:sz w:val="20"/>
                <w:szCs w:val="20"/>
                <w:color w:val="auto"/>
              </w:rPr>
            </w:pPr>
            <w:r>
              <w:rPr>
                <w:rFonts w:ascii="Arial" w:cs="Arial" w:eastAsia="Arial" w:hAnsi="Arial"/>
                <w:sz w:val="16"/>
                <w:szCs w:val="16"/>
                <w:color w:val="auto"/>
              </w:rPr>
              <w:t>541</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00" w:type="dxa"/>
            <w:vAlign w:val="bottom"/>
          </w:tcPr>
          <w:p>
            <w:pPr>
              <w:jc w:val="right"/>
              <w:ind w:right="40"/>
              <w:spacing w:after="0"/>
              <w:rPr>
                <w:sz w:val="20"/>
                <w:szCs w:val="20"/>
                <w:color w:val="auto"/>
              </w:rPr>
            </w:pPr>
            <w:r>
              <w:rPr>
                <w:rFonts w:ascii="Arial" w:cs="Arial" w:eastAsia="Arial" w:hAnsi="Arial"/>
                <w:sz w:val="16"/>
                <w:szCs w:val="16"/>
                <w:color w:val="auto"/>
              </w:rPr>
              <w:t>778.50</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jc w:val="right"/>
              <w:ind w:right="40"/>
              <w:spacing w:after="0"/>
              <w:rPr>
                <w:sz w:val="20"/>
                <w:szCs w:val="20"/>
                <w:color w:val="auto"/>
              </w:rPr>
            </w:pPr>
            <w:r>
              <w:rPr>
                <w:rFonts w:ascii="Arial" w:cs="Arial" w:eastAsia="Arial" w:hAnsi="Arial"/>
                <w:sz w:val="16"/>
                <w:szCs w:val="16"/>
                <w:color w:val="auto"/>
              </w:rPr>
              <w:t>506</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00" w:type="dxa"/>
            <w:vAlign w:val="bottom"/>
          </w:tcPr>
          <w:p>
            <w:pPr>
              <w:jc w:val="right"/>
              <w:ind w:right="40"/>
              <w:spacing w:after="0"/>
              <w:rPr>
                <w:sz w:val="20"/>
                <w:szCs w:val="20"/>
                <w:color w:val="auto"/>
              </w:rPr>
            </w:pPr>
            <w:r>
              <w:rPr>
                <w:rFonts w:ascii="Arial" w:cs="Arial" w:eastAsia="Arial" w:hAnsi="Arial"/>
                <w:sz w:val="16"/>
                <w:szCs w:val="16"/>
                <w:color w:val="auto"/>
              </w:rPr>
              <w:t>728.19</w:t>
            </w:r>
          </w:p>
        </w:tc>
        <w:tc>
          <w:tcPr>
            <w:tcW w:w="1300" w:type="dxa"/>
            <w:vAlign w:val="bottom"/>
            <w:gridSpan w:val="2"/>
          </w:tcPr>
          <w:p>
            <w:pPr>
              <w:jc w:val="right"/>
              <w:ind w:right="103"/>
              <w:spacing w:after="0"/>
              <w:rPr>
                <w:sz w:val="20"/>
                <w:szCs w:val="20"/>
                <w:color w:val="auto"/>
              </w:rPr>
            </w:pPr>
            <w:r>
              <w:rPr>
                <w:rFonts w:ascii="Arial" w:cs="Arial" w:eastAsia="Arial" w:hAnsi="Arial"/>
                <w:sz w:val="16"/>
                <w:szCs w:val="16"/>
                <w:color w:val="auto"/>
              </w:rPr>
              <w:t>93.5</w:t>
            </w:r>
          </w:p>
        </w:tc>
        <w:tc>
          <w:tcPr>
            <w:tcW w:w="1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700" w:type="dxa"/>
            <w:vAlign w:val="bottom"/>
          </w:tcPr>
          <w:p>
            <w:pPr>
              <w:jc w:val="right"/>
              <w:ind w:right="39"/>
              <w:spacing w:after="0"/>
              <w:rPr>
                <w:sz w:val="20"/>
                <w:szCs w:val="20"/>
                <w:color w:val="auto"/>
              </w:rPr>
            </w:pPr>
            <w:r>
              <w:rPr>
                <w:rFonts w:ascii="Arial" w:cs="Arial" w:eastAsia="Arial" w:hAnsi="Arial"/>
                <w:sz w:val="16"/>
                <w:szCs w:val="16"/>
                <w:color w:val="auto"/>
              </w:rPr>
              <w:t>35</w:t>
            </w:r>
          </w:p>
        </w:tc>
        <w:tc>
          <w:tcPr>
            <w:tcW w:w="0" w:type="dxa"/>
            <w:vAlign w:val="bottom"/>
          </w:tcPr>
          <w:p>
            <w:pPr>
              <w:spacing w:after="0"/>
              <w:rPr>
                <w:sz w:val="1"/>
                <w:szCs w:val="1"/>
                <w:color w:val="auto"/>
              </w:rPr>
            </w:pPr>
          </w:p>
        </w:tc>
      </w:tr>
      <w:tr>
        <w:trPr>
          <w:trHeight w:val="278"/>
        </w:trPr>
        <w:tc>
          <w:tcPr>
            <w:tcW w:w="2040" w:type="dxa"/>
            <w:vAlign w:val="bottom"/>
            <w:shd w:val="clear" w:color="auto" w:fill="CCEEFF"/>
          </w:tcPr>
          <w:p>
            <w:pPr>
              <w:ind w:left="20"/>
              <w:spacing w:after="0"/>
              <w:rPr>
                <w:sz w:val="20"/>
                <w:szCs w:val="20"/>
                <w:color w:val="auto"/>
              </w:rPr>
            </w:pPr>
            <w:r>
              <w:rPr>
                <w:rFonts w:ascii="Arial" w:cs="Arial" w:eastAsia="Arial" w:hAnsi="Arial"/>
                <w:sz w:val="16"/>
                <w:szCs w:val="16"/>
                <w:color w:val="auto"/>
              </w:rPr>
              <w:t>Utah</w:t>
            </w:r>
          </w:p>
        </w:tc>
        <w:tc>
          <w:tcPr>
            <w:tcW w:w="112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0.2</w:t>
            </w: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89</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318.98</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71</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254.99</w:t>
            </w:r>
          </w:p>
        </w:tc>
        <w:tc>
          <w:tcPr>
            <w:tcW w:w="1300" w:type="dxa"/>
            <w:vAlign w:val="bottom"/>
            <w:gridSpan w:val="2"/>
            <w:shd w:val="clear" w:color="auto" w:fill="CCEEFF"/>
          </w:tcPr>
          <w:p>
            <w:pPr>
              <w:jc w:val="right"/>
              <w:ind w:right="103"/>
              <w:spacing w:after="0"/>
              <w:rPr>
                <w:sz w:val="20"/>
                <w:szCs w:val="20"/>
                <w:color w:val="auto"/>
              </w:rPr>
            </w:pPr>
            <w:r>
              <w:rPr>
                <w:rFonts w:ascii="Arial" w:cs="Arial" w:eastAsia="Arial" w:hAnsi="Arial"/>
                <w:sz w:val="16"/>
                <w:szCs w:val="16"/>
                <w:color w:val="auto"/>
              </w:rPr>
              <w:t>79.9</w:t>
            </w:r>
          </w:p>
        </w:tc>
        <w:tc>
          <w:tcPr>
            <w:tcW w:w="10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18</w:t>
            </w:r>
          </w:p>
        </w:tc>
        <w:tc>
          <w:tcPr>
            <w:tcW w:w="0" w:type="dxa"/>
            <w:vAlign w:val="bottom"/>
          </w:tcPr>
          <w:p>
            <w:pPr>
              <w:spacing w:after="0"/>
              <w:rPr>
                <w:sz w:val="1"/>
                <w:szCs w:val="1"/>
                <w:color w:val="auto"/>
              </w:rPr>
            </w:pPr>
          </w:p>
        </w:tc>
      </w:tr>
      <w:tr>
        <w:trPr>
          <w:trHeight w:val="262"/>
        </w:trPr>
        <w:tc>
          <w:tcPr>
            <w:tcW w:w="2040" w:type="dxa"/>
            <w:vAlign w:val="bottom"/>
          </w:tcPr>
          <w:p>
            <w:pPr>
              <w:ind w:left="20"/>
              <w:spacing w:after="0"/>
              <w:rPr>
                <w:sz w:val="20"/>
                <w:szCs w:val="20"/>
                <w:color w:val="auto"/>
              </w:rPr>
            </w:pPr>
            <w:r>
              <w:rPr>
                <w:rFonts w:ascii="Arial" w:cs="Arial" w:eastAsia="Arial" w:hAnsi="Arial"/>
                <w:sz w:val="16"/>
                <w:szCs w:val="16"/>
                <w:color w:val="auto"/>
              </w:rPr>
              <w:t>Washington</w:t>
            </w:r>
          </w:p>
        </w:tc>
        <w:tc>
          <w:tcPr>
            <w:tcW w:w="1120" w:type="dxa"/>
            <w:vAlign w:val="bottom"/>
          </w:tcPr>
          <w:p>
            <w:pPr>
              <w:jc w:val="right"/>
              <w:ind w:right="20"/>
              <w:spacing w:after="0"/>
              <w:rPr>
                <w:sz w:val="20"/>
                <w:szCs w:val="20"/>
                <w:color w:val="auto"/>
              </w:rPr>
            </w:pPr>
            <w:r>
              <w:rPr>
                <w:rFonts w:ascii="Arial" w:cs="Arial" w:eastAsia="Arial" w:hAnsi="Arial"/>
                <w:sz w:val="16"/>
                <w:szCs w:val="16"/>
                <w:color w:val="auto"/>
              </w:rPr>
              <w:t>2.3</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20" w:type="dxa"/>
            <w:vAlign w:val="bottom"/>
          </w:tcPr>
          <w:p>
            <w:pPr>
              <w:jc w:val="right"/>
              <w:ind w:right="20"/>
              <w:spacing w:after="0"/>
              <w:rPr>
                <w:sz w:val="20"/>
                <w:szCs w:val="20"/>
                <w:color w:val="auto"/>
              </w:rPr>
            </w:pPr>
            <w:r>
              <w:rPr>
                <w:rFonts w:ascii="Arial" w:cs="Arial" w:eastAsia="Arial" w:hAnsi="Arial"/>
                <w:sz w:val="16"/>
                <w:szCs w:val="16"/>
                <w:color w:val="auto"/>
              </w:rPr>
              <w:t>612</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00" w:type="dxa"/>
            <w:vAlign w:val="bottom"/>
          </w:tcPr>
          <w:p>
            <w:pPr>
              <w:jc w:val="right"/>
              <w:ind w:right="40"/>
              <w:spacing w:after="0"/>
              <w:rPr>
                <w:sz w:val="20"/>
                <w:szCs w:val="20"/>
                <w:color w:val="auto"/>
              </w:rPr>
            </w:pPr>
            <w:r>
              <w:rPr>
                <w:rFonts w:ascii="Arial" w:cs="Arial" w:eastAsia="Arial" w:hAnsi="Arial"/>
                <w:sz w:val="16"/>
                <w:szCs w:val="16"/>
                <w:color w:val="auto"/>
              </w:rPr>
              <w:t>276.73</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jc w:val="right"/>
              <w:ind w:right="40"/>
              <w:spacing w:after="0"/>
              <w:rPr>
                <w:sz w:val="20"/>
                <w:szCs w:val="20"/>
                <w:color w:val="auto"/>
              </w:rPr>
            </w:pPr>
            <w:r>
              <w:rPr>
                <w:rFonts w:ascii="Arial" w:cs="Arial" w:eastAsia="Arial" w:hAnsi="Arial"/>
                <w:sz w:val="16"/>
                <w:szCs w:val="16"/>
                <w:color w:val="auto"/>
              </w:rPr>
              <w:t>522</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00" w:type="dxa"/>
            <w:vAlign w:val="bottom"/>
          </w:tcPr>
          <w:p>
            <w:pPr>
              <w:jc w:val="right"/>
              <w:ind w:right="40"/>
              <w:spacing w:after="0"/>
              <w:rPr>
                <w:sz w:val="20"/>
                <w:szCs w:val="20"/>
                <w:color w:val="auto"/>
              </w:rPr>
            </w:pPr>
            <w:r>
              <w:rPr>
                <w:rFonts w:ascii="Arial" w:cs="Arial" w:eastAsia="Arial" w:hAnsi="Arial"/>
                <w:sz w:val="16"/>
                <w:szCs w:val="16"/>
                <w:color w:val="auto"/>
              </w:rPr>
              <w:t>236.11</w:t>
            </w:r>
          </w:p>
        </w:tc>
        <w:tc>
          <w:tcPr>
            <w:tcW w:w="1300" w:type="dxa"/>
            <w:vAlign w:val="bottom"/>
            <w:gridSpan w:val="2"/>
          </w:tcPr>
          <w:p>
            <w:pPr>
              <w:jc w:val="right"/>
              <w:ind w:right="103"/>
              <w:spacing w:after="0"/>
              <w:rPr>
                <w:sz w:val="20"/>
                <w:szCs w:val="20"/>
                <w:color w:val="auto"/>
              </w:rPr>
            </w:pPr>
            <w:r>
              <w:rPr>
                <w:rFonts w:ascii="Arial" w:cs="Arial" w:eastAsia="Arial" w:hAnsi="Arial"/>
                <w:sz w:val="16"/>
                <w:szCs w:val="16"/>
                <w:color w:val="auto"/>
              </w:rPr>
              <w:t>85.3</w:t>
            </w:r>
          </w:p>
        </w:tc>
        <w:tc>
          <w:tcPr>
            <w:tcW w:w="1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700" w:type="dxa"/>
            <w:vAlign w:val="bottom"/>
          </w:tcPr>
          <w:p>
            <w:pPr>
              <w:jc w:val="right"/>
              <w:ind w:right="39"/>
              <w:spacing w:after="0"/>
              <w:rPr>
                <w:sz w:val="20"/>
                <w:szCs w:val="20"/>
                <w:color w:val="auto"/>
              </w:rPr>
            </w:pPr>
            <w:r>
              <w:rPr>
                <w:rFonts w:ascii="Arial" w:cs="Arial" w:eastAsia="Arial" w:hAnsi="Arial"/>
                <w:sz w:val="16"/>
                <w:szCs w:val="16"/>
                <w:color w:val="auto"/>
              </w:rPr>
              <w:t>90</w:t>
            </w:r>
          </w:p>
        </w:tc>
        <w:tc>
          <w:tcPr>
            <w:tcW w:w="0" w:type="dxa"/>
            <w:vAlign w:val="bottom"/>
          </w:tcPr>
          <w:p>
            <w:pPr>
              <w:spacing w:after="0"/>
              <w:rPr>
                <w:sz w:val="1"/>
                <w:szCs w:val="1"/>
                <w:color w:val="auto"/>
              </w:rPr>
            </w:pPr>
          </w:p>
        </w:tc>
      </w:tr>
      <w:tr>
        <w:trPr>
          <w:trHeight w:val="278"/>
        </w:trPr>
        <w:tc>
          <w:tcPr>
            <w:tcW w:w="2040" w:type="dxa"/>
            <w:vAlign w:val="bottom"/>
            <w:shd w:val="clear" w:color="auto" w:fill="CCEEFF"/>
          </w:tcPr>
          <w:p>
            <w:pPr>
              <w:ind w:left="20"/>
              <w:spacing w:after="0"/>
              <w:rPr>
                <w:sz w:val="20"/>
                <w:szCs w:val="20"/>
                <w:color w:val="auto"/>
              </w:rPr>
            </w:pPr>
            <w:r>
              <w:rPr>
                <w:rFonts w:ascii="Arial" w:cs="Arial" w:eastAsia="Arial" w:hAnsi="Arial"/>
                <w:sz w:val="16"/>
                <w:szCs w:val="16"/>
                <w:color w:val="auto"/>
              </w:rPr>
              <w:t>Wisconsin</w:t>
            </w:r>
          </w:p>
        </w:tc>
        <w:tc>
          <w:tcPr>
            <w:tcW w:w="112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0.2</w:t>
            </w: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34</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175.77</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27</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141.78</w:t>
            </w:r>
          </w:p>
        </w:tc>
        <w:tc>
          <w:tcPr>
            <w:tcW w:w="1300" w:type="dxa"/>
            <w:vAlign w:val="bottom"/>
            <w:gridSpan w:val="2"/>
            <w:shd w:val="clear" w:color="auto" w:fill="CCEEFF"/>
          </w:tcPr>
          <w:p>
            <w:pPr>
              <w:jc w:val="right"/>
              <w:ind w:right="103"/>
              <w:spacing w:after="0"/>
              <w:rPr>
                <w:sz w:val="20"/>
                <w:szCs w:val="20"/>
                <w:color w:val="auto"/>
              </w:rPr>
            </w:pPr>
            <w:r>
              <w:rPr>
                <w:rFonts w:ascii="Arial" w:cs="Arial" w:eastAsia="Arial" w:hAnsi="Arial"/>
                <w:sz w:val="16"/>
                <w:szCs w:val="16"/>
                <w:color w:val="auto"/>
              </w:rPr>
              <w:t>80.7</w:t>
            </w:r>
          </w:p>
        </w:tc>
        <w:tc>
          <w:tcPr>
            <w:tcW w:w="10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7</w:t>
            </w:r>
          </w:p>
        </w:tc>
        <w:tc>
          <w:tcPr>
            <w:tcW w:w="0" w:type="dxa"/>
            <w:vAlign w:val="bottom"/>
          </w:tcPr>
          <w:p>
            <w:pPr>
              <w:spacing w:after="0"/>
              <w:rPr>
                <w:sz w:val="1"/>
                <w:szCs w:val="1"/>
                <w:color w:val="auto"/>
              </w:rPr>
            </w:pPr>
          </w:p>
        </w:tc>
      </w:tr>
      <w:tr>
        <w:trPr>
          <w:trHeight w:val="264"/>
        </w:trPr>
        <w:tc>
          <w:tcPr>
            <w:tcW w:w="2040" w:type="dxa"/>
            <w:vAlign w:val="bottom"/>
          </w:tcPr>
          <w:p>
            <w:pPr>
              <w:ind w:left="20"/>
              <w:spacing w:after="0"/>
              <w:rPr>
                <w:sz w:val="20"/>
                <w:szCs w:val="20"/>
                <w:color w:val="auto"/>
              </w:rPr>
            </w:pPr>
            <w:r>
              <w:rPr>
                <w:rFonts w:ascii="Arial" w:cs="Arial" w:eastAsia="Arial" w:hAnsi="Arial"/>
                <w:sz w:val="16"/>
                <w:szCs w:val="16"/>
                <w:color w:val="auto"/>
              </w:rPr>
              <w:t>Other (4)</w:t>
            </w:r>
          </w:p>
        </w:tc>
        <w:tc>
          <w:tcPr>
            <w:tcW w:w="12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22"/>
                <w:szCs w:val="22"/>
                <w:color w:val="auto"/>
              </w:rPr>
            </w:pPr>
          </w:p>
        </w:tc>
        <w:tc>
          <w:tcPr>
            <w:tcW w:w="1120" w:type="dxa"/>
            <w:vAlign w:val="bottom"/>
          </w:tcPr>
          <w:p>
            <w:pPr>
              <w:jc w:val="right"/>
              <w:ind w:right="20"/>
              <w:spacing w:after="0"/>
              <w:rPr>
                <w:sz w:val="20"/>
                <w:szCs w:val="20"/>
                <w:color w:val="auto"/>
              </w:rPr>
            </w:pPr>
            <w:r>
              <w:rPr>
                <w:rFonts w:ascii="Arial" w:cs="Arial" w:eastAsia="Arial" w:hAnsi="Arial"/>
                <w:sz w:val="16"/>
                <w:szCs w:val="16"/>
                <w:color w:val="auto"/>
              </w:rPr>
              <w:t>2</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22"/>
                <w:szCs w:val="22"/>
                <w:color w:val="auto"/>
              </w:rPr>
            </w:pPr>
          </w:p>
        </w:tc>
        <w:tc>
          <w:tcPr>
            <w:tcW w:w="1140" w:type="dxa"/>
            <w:vAlign w:val="bottom"/>
          </w:tcPr>
          <w:p>
            <w:pPr>
              <w:jc w:val="right"/>
              <w:ind w:right="40"/>
              <w:spacing w:after="0"/>
              <w:rPr>
                <w:sz w:val="20"/>
                <w:szCs w:val="20"/>
                <w:color w:val="auto"/>
              </w:rPr>
            </w:pPr>
            <w:r>
              <w:rPr>
                <w:rFonts w:ascii="Arial" w:cs="Arial" w:eastAsia="Arial" w:hAnsi="Arial"/>
                <w:sz w:val="16"/>
                <w:szCs w:val="16"/>
                <w:color w:val="auto"/>
              </w:rPr>
              <w:t>7</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0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2"/>
                <w:szCs w:val="22"/>
                <w:color w:val="auto"/>
              </w:rPr>
            </w:pPr>
          </w:p>
        </w:tc>
        <w:tc>
          <w:tcPr>
            <w:tcW w:w="130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44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(5)</w:t>
            </w:r>
          </w:p>
        </w:tc>
        <w:tc>
          <w:tcPr>
            <w:tcW w:w="0" w:type="dxa"/>
            <w:vAlign w:val="bottom"/>
          </w:tcPr>
          <w:p>
            <w:pPr>
              <w:spacing w:after="0"/>
              <w:rPr>
                <w:sz w:val="1"/>
                <w:szCs w:val="1"/>
                <w:color w:val="auto"/>
              </w:rPr>
            </w:pPr>
          </w:p>
        </w:tc>
      </w:tr>
      <w:tr>
        <w:trPr>
          <w:trHeight w:val="242"/>
        </w:trPr>
        <w:tc>
          <w:tcPr>
            <w:tcW w:w="2040" w:type="dxa"/>
            <w:vAlign w:val="bottom"/>
            <w:tcBorders>
              <w:top w:val="single" w:sz="8" w:color="CCEEFF"/>
              <w:bottom w:val="single" w:sz="8" w:color="CCEEFF"/>
            </w:tcBorders>
            <w:shd w:val="clear" w:color="auto" w:fill="CCEEFF"/>
          </w:tcPr>
          <w:p>
            <w:pPr>
              <w:spacing w:after="0"/>
              <w:rPr>
                <w:sz w:val="21"/>
                <w:szCs w:val="21"/>
                <w:color w:val="auto"/>
              </w:rPr>
            </w:pPr>
          </w:p>
        </w:tc>
        <w:tc>
          <w:tcPr>
            <w:tcW w:w="1120" w:type="dxa"/>
            <w:vAlign w:val="bottom"/>
            <w:tcBorders>
              <w:top w:val="single" w:sz="8" w:color="auto"/>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11.0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120" w:type="dxa"/>
            <w:vAlign w:val="bottom"/>
            <w:tcBorders>
              <w:top w:val="single" w:sz="8" w:color="auto"/>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3,994</w:t>
            </w:r>
          </w:p>
        </w:tc>
        <w:tc>
          <w:tcPr>
            <w:tcW w:w="360" w:type="dxa"/>
            <w:vAlign w:val="bottom"/>
            <w:tcBorders>
              <w:top w:val="single" w:sz="8" w:color="CCEEFF"/>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900" w:type="dxa"/>
            <w:vAlign w:val="bottom"/>
            <w:tcBorders>
              <w:top w:val="single" w:sz="8" w:color="CCEEFF"/>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362.04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140" w:type="dxa"/>
            <w:vAlign w:val="bottom"/>
            <w:tcBorders>
              <w:top w:val="single" w:sz="8" w:color="auto"/>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3,630</w:t>
            </w:r>
          </w:p>
        </w:tc>
        <w:tc>
          <w:tcPr>
            <w:tcW w:w="340" w:type="dxa"/>
            <w:vAlign w:val="bottom"/>
            <w:tcBorders>
              <w:top w:val="single" w:sz="8" w:color="CCEEFF"/>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900" w:type="dxa"/>
            <w:vAlign w:val="bottom"/>
            <w:tcBorders>
              <w:top w:val="single" w:sz="8" w:color="CCEEFF"/>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329.08</w:t>
            </w:r>
          </w:p>
        </w:tc>
        <w:tc>
          <w:tcPr>
            <w:tcW w:w="1300" w:type="dxa"/>
            <w:vAlign w:val="bottom"/>
            <w:tcBorders>
              <w:top w:val="single" w:sz="8" w:color="CCEEFF"/>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90.9%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44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700" w:type="dxa"/>
            <w:vAlign w:val="bottom"/>
            <w:tcBorders>
              <w:top w:val="single" w:sz="8" w:color="auto"/>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364</w:t>
            </w:r>
          </w:p>
        </w:tc>
        <w:tc>
          <w:tcPr>
            <w:tcW w:w="0" w:type="dxa"/>
            <w:vAlign w:val="bottom"/>
          </w:tcPr>
          <w:p>
            <w:pPr>
              <w:spacing w:after="0"/>
              <w:rPr>
                <w:sz w:val="1"/>
                <w:szCs w:val="1"/>
                <w:color w:val="auto"/>
              </w:rPr>
            </w:pPr>
          </w:p>
        </w:tc>
      </w:tr>
      <w:tr>
        <w:trPr>
          <w:trHeight w:val="20"/>
        </w:trPr>
        <w:tc>
          <w:tcPr>
            <w:tcW w:w="204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6"/>
        </w:trPr>
        <w:tc>
          <w:tcPr>
            <w:tcW w:w="2040" w:type="dxa"/>
            <w:vAlign w:val="bottom"/>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3720" w:type="dxa"/>
            <w:vAlign w:val="bottom"/>
            <w:tcBorders>
              <w:bottom w:val="single" w:sz="8" w:color="auto"/>
            </w:tcBorders>
            <w:gridSpan w:val="7"/>
          </w:tcPr>
          <w:p>
            <w:pPr>
              <w:jc w:val="right"/>
              <w:ind w:right="620"/>
              <w:spacing w:after="0"/>
              <w:rPr>
                <w:sz w:val="20"/>
                <w:szCs w:val="20"/>
                <w:color w:val="auto"/>
              </w:rPr>
            </w:pPr>
            <w:r>
              <w:rPr>
                <w:rFonts w:ascii="Arial" w:cs="Arial" w:eastAsia="Arial" w:hAnsi="Arial"/>
                <w:sz w:val="14"/>
                <w:szCs w:val="14"/>
                <w:b w:val="1"/>
                <w:bCs w:val="1"/>
                <w:color w:val="auto"/>
              </w:rPr>
              <w:t>Three Months Ended September 30, 2016</w:t>
            </w:r>
          </w:p>
        </w:tc>
        <w:tc>
          <w:tcPr>
            <w:tcW w:w="10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2040" w:type="dxa"/>
            <w:vAlign w:val="bottom"/>
          </w:tcPr>
          <w:p>
            <w:pPr>
              <w:spacing w:after="0"/>
              <w:rPr>
                <w:sz w:val="22"/>
                <w:szCs w:val="22"/>
                <w:color w:val="auto"/>
              </w:rPr>
            </w:pPr>
          </w:p>
        </w:tc>
        <w:tc>
          <w:tcPr>
            <w:tcW w:w="1240" w:type="dxa"/>
            <w:vAlign w:val="bottom"/>
            <w:gridSpan w:val="2"/>
            <w:vMerge w:val="restart"/>
          </w:tcPr>
          <w:p>
            <w:pPr>
              <w:ind w:left="300"/>
              <w:spacing w:after="0"/>
              <w:rPr>
                <w:sz w:val="20"/>
                <w:szCs w:val="20"/>
                <w:color w:val="auto"/>
              </w:rPr>
            </w:pPr>
            <w:r>
              <w:rPr>
                <w:rFonts w:ascii="Arial" w:cs="Arial" w:eastAsia="Arial" w:hAnsi="Arial"/>
                <w:sz w:val="14"/>
                <w:szCs w:val="14"/>
                <w:b w:val="1"/>
                <w:bCs w:val="1"/>
                <w:color w:val="auto"/>
              </w:rPr>
              <w:t>Member</w:t>
            </w:r>
          </w:p>
        </w:tc>
        <w:tc>
          <w:tcPr>
            <w:tcW w:w="340" w:type="dxa"/>
            <w:vAlign w:val="bottom"/>
          </w:tcPr>
          <w:p>
            <w:pPr>
              <w:spacing w:after="0"/>
              <w:rPr>
                <w:sz w:val="22"/>
                <w:szCs w:val="22"/>
                <w:color w:val="auto"/>
              </w:rPr>
            </w:pPr>
          </w:p>
        </w:tc>
        <w:tc>
          <w:tcPr>
            <w:tcW w:w="2480" w:type="dxa"/>
            <w:vAlign w:val="bottom"/>
            <w:gridSpan w:val="5"/>
          </w:tcPr>
          <w:p>
            <w:pPr>
              <w:ind w:left="400"/>
              <w:spacing w:after="0"/>
              <w:rPr>
                <w:sz w:val="20"/>
                <w:szCs w:val="20"/>
                <w:color w:val="auto"/>
              </w:rPr>
            </w:pPr>
            <w:r>
              <w:rPr>
                <w:rFonts w:ascii="Arial" w:cs="Arial" w:eastAsia="Arial" w:hAnsi="Arial"/>
                <w:sz w:val="14"/>
                <w:szCs w:val="14"/>
                <w:b w:val="1"/>
                <w:bCs w:val="1"/>
                <w:color w:val="auto"/>
              </w:rPr>
              <w:t>Premium Revenue</w:t>
            </w:r>
          </w:p>
        </w:tc>
        <w:tc>
          <w:tcPr>
            <w:tcW w:w="340" w:type="dxa"/>
            <w:vAlign w:val="bottom"/>
          </w:tcPr>
          <w:p>
            <w:pPr>
              <w:spacing w:after="0"/>
              <w:rPr>
                <w:sz w:val="22"/>
                <w:szCs w:val="22"/>
                <w:color w:val="auto"/>
              </w:rPr>
            </w:pPr>
          </w:p>
        </w:tc>
        <w:tc>
          <w:tcPr>
            <w:tcW w:w="2380" w:type="dxa"/>
            <w:vAlign w:val="bottom"/>
            <w:gridSpan w:val="4"/>
          </w:tcPr>
          <w:p>
            <w:pPr>
              <w:jc w:val="right"/>
              <w:ind w:right="600"/>
              <w:spacing w:after="0"/>
              <w:rPr>
                <w:sz w:val="20"/>
                <w:szCs w:val="20"/>
                <w:color w:val="auto"/>
              </w:rPr>
            </w:pPr>
            <w:r>
              <w:rPr>
                <w:rFonts w:ascii="Arial" w:cs="Arial" w:eastAsia="Arial" w:hAnsi="Arial"/>
                <w:sz w:val="14"/>
                <w:szCs w:val="14"/>
                <w:b w:val="1"/>
                <w:bCs w:val="1"/>
                <w:color w:val="auto"/>
              </w:rPr>
              <w:t>Medical Care Costs</w:t>
            </w:r>
          </w:p>
        </w:tc>
        <w:tc>
          <w:tcPr>
            <w:tcW w:w="10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0"/>
        </w:trPr>
        <w:tc>
          <w:tcPr>
            <w:tcW w:w="204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340" w:type="dxa"/>
            <w:vAlign w:val="bottom"/>
            <w:tcBorders>
              <w:top w:val="single" w:sz="8" w:color="auto"/>
            </w:tcBorders>
          </w:tcPr>
          <w:p>
            <w:pPr>
              <w:spacing w:after="0"/>
              <w:rPr>
                <w:sz w:val="5"/>
                <w:szCs w:val="5"/>
                <w:color w:val="auto"/>
              </w:rPr>
            </w:pPr>
          </w:p>
        </w:tc>
        <w:tc>
          <w:tcPr>
            <w:tcW w:w="1120" w:type="dxa"/>
            <w:vAlign w:val="bottom"/>
            <w:tcBorders>
              <w:top w:val="single" w:sz="8" w:color="auto"/>
            </w:tcBorders>
          </w:tcPr>
          <w:p>
            <w:pPr>
              <w:spacing w:after="0"/>
              <w:rPr>
                <w:sz w:val="5"/>
                <w:szCs w:val="5"/>
                <w:color w:val="auto"/>
              </w:rPr>
            </w:pPr>
          </w:p>
        </w:tc>
        <w:tc>
          <w:tcPr>
            <w:tcW w:w="120" w:type="dxa"/>
            <w:vAlign w:val="bottom"/>
            <w:tcBorders>
              <w:top w:val="single" w:sz="8" w:color="auto"/>
            </w:tcBorders>
          </w:tcPr>
          <w:p>
            <w:pPr>
              <w:spacing w:after="0"/>
              <w:rPr>
                <w:sz w:val="5"/>
                <w:szCs w:val="5"/>
                <w:color w:val="auto"/>
              </w:rPr>
            </w:pPr>
          </w:p>
        </w:tc>
        <w:tc>
          <w:tcPr>
            <w:tcW w:w="240" w:type="dxa"/>
            <w:vAlign w:val="bottom"/>
            <w:tcBorders>
              <w:top w:val="single" w:sz="8" w:color="auto"/>
            </w:tcBorders>
          </w:tcPr>
          <w:p>
            <w:pPr>
              <w:spacing w:after="0"/>
              <w:rPr>
                <w:sz w:val="5"/>
                <w:szCs w:val="5"/>
                <w:color w:val="auto"/>
              </w:rPr>
            </w:pPr>
          </w:p>
        </w:tc>
        <w:tc>
          <w:tcPr>
            <w:tcW w:w="900" w:type="dxa"/>
            <w:vAlign w:val="bottom"/>
            <w:tcBorders>
              <w:top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340" w:type="dxa"/>
            <w:vAlign w:val="bottom"/>
            <w:tcBorders>
              <w:top w:val="single" w:sz="8" w:color="auto"/>
            </w:tcBorders>
          </w:tcPr>
          <w:p>
            <w:pPr>
              <w:spacing w:after="0"/>
              <w:rPr>
                <w:sz w:val="5"/>
                <w:szCs w:val="5"/>
                <w:color w:val="auto"/>
              </w:rPr>
            </w:pPr>
          </w:p>
        </w:tc>
        <w:tc>
          <w:tcPr>
            <w:tcW w:w="1140" w:type="dxa"/>
            <w:vAlign w:val="bottom"/>
            <w:tcBorders>
              <w:top w:val="single" w:sz="8" w:color="auto"/>
            </w:tcBorders>
          </w:tcPr>
          <w:p>
            <w:pPr>
              <w:spacing w:after="0"/>
              <w:rPr>
                <w:sz w:val="5"/>
                <w:szCs w:val="5"/>
                <w:color w:val="auto"/>
              </w:rPr>
            </w:pPr>
          </w:p>
        </w:tc>
        <w:tc>
          <w:tcPr>
            <w:tcW w:w="100" w:type="dxa"/>
            <w:vAlign w:val="bottom"/>
            <w:tcBorders>
              <w:top w:val="single" w:sz="8" w:color="auto"/>
            </w:tcBorders>
          </w:tcPr>
          <w:p>
            <w:pPr>
              <w:spacing w:after="0"/>
              <w:rPr>
                <w:sz w:val="5"/>
                <w:szCs w:val="5"/>
                <w:color w:val="auto"/>
              </w:rPr>
            </w:pPr>
          </w:p>
        </w:tc>
        <w:tc>
          <w:tcPr>
            <w:tcW w:w="240" w:type="dxa"/>
            <w:vAlign w:val="bottom"/>
            <w:tcBorders>
              <w:top w:val="single" w:sz="8" w:color="auto"/>
            </w:tcBorders>
          </w:tcPr>
          <w:p>
            <w:pPr>
              <w:spacing w:after="0"/>
              <w:rPr>
                <w:sz w:val="5"/>
                <w:szCs w:val="5"/>
                <w:color w:val="auto"/>
              </w:rPr>
            </w:pPr>
          </w:p>
        </w:tc>
        <w:tc>
          <w:tcPr>
            <w:tcW w:w="900" w:type="dxa"/>
            <w:vAlign w:val="bottom"/>
            <w:tcBorders>
              <w:top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1200" w:type="dxa"/>
            <w:vAlign w:val="bottom"/>
          </w:tcPr>
          <w:p>
            <w:pPr>
              <w:spacing w:after="0"/>
              <w:rPr>
                <w:sz w:val="5"/>
                <w:szCs w:val="5"/>
                <w:color w:val="auto"/>
              </w:rPr>
            </w:pPr>
          </w:p>
        </w:tc>
        <w:tc>
          <w:tcPr>
            <w:tcW w:w="100" w:type="dxa"/>
            <w:vAlign w:val="bottom"/>
          </w:tcPr>
          <w:p>
            <w:pPr>
              <w:spacing w:after="0"/>
              <w:rPr>
                <w:sz w:val="5"/>
                <w:szCs w:val="5"/>
                <w:color w:val="auto"/>
              </w:rPr>
            </w:pPr>
          </w:p>
        </w:tc>
        <w:tc>
          <w:tcPr>
            <w:tcW w:w="440" w:type="dxa"/>
            <w:vAlign w:val="bottom"/>
          </w:tcPr>
          <w:p>
            <w:pPr>
              <w:spacing w:after="0"/>
              <w:rPr>
                <w:sz w:val="5"/>
                <w:szCs w:val="5"/>
                <w:color w:val="auto"/>
              </w:rPr>
            </w:pPr>
          </w:p>
        </w:tc>
        <w:tc>
          <w:tcPr>
            <w:tcW w:w="7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3"/>
        </w:trPr>
        <w:tc>
          <w:tcPr>
            <w:tcW w:w="2040" w:type="dxa"/>
            <w:vAlign w:val="bottom"/>
            <w:tcBorders>
              <w:bottom w:val="single" w:sz="8" w:color="CCEEFF"/>
            </w:tcBorders>
          </w:tcPr>
          <w:p>
            <w:pPr>
              <w:spacing w:after="0"/>
              <w:rPr>
                <w:sz w:val="17"/>
                <w:szCs w:val="17"/>
                <w:color w:val="auto"/>
              </w:rPr>
            </w:pPr>
          </w:p>
        </w:tc>
        <w:tc>
          <w:tcPr>
            <w:tcW w:w="1120" w:type="dxa"/>
            <w:vAlign w:val="bottom"/>
            <w:tcBorders>
              <w:bottom w:val="single" w:sz="8" w:color="auto"/>
            </w:tcBorders>
          </w:tcPr>
          <w:p>
            <w:pPr>
              <w:ind w:left="320"/>
              <w:spacing w:after="0"/>
              <w:rPr>
                <w:sz w:val="20"/>
                <w:szCs w:val="20"/>
                <w:color w:val="auto"/>
              </w:rPr>
            </w:pPr>
            <w:r>
              <w:rPr>
                <w:rFonts w:ascii="Arial" w:cs="Arial" w:eastAsia="Arial" w:hAnsi="Arial"/>
                <w:sz w:val="14"/>
                <w:szCs w:val="14"/>
                <w:b w:val="1"/>
                <w:bCs w:val="1"/>
                <w:color w:val="auto"/>
              </w:rPr>
              <w:t>Months</w:t>
            </w:r>
          </w:p>
        </w:tc>
        <w:tc>
          <w:tcPr>
            <w:tcW w:w="12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480"/>
              <w:spacing w:after="0"/>
              <w:rPr>
                <w:sz w:val="20"/>
                <w:szCs w:val="20"/>
                <w:color w:val="auto"/>
              </w:rPr>
            </w:pPr>
            <w:r>
              <w:rPr>
                <w:rFonts w:ascii="Arial" w:cs="Arial" w:eastAsia="Arial" w:hAnsi="Arial"/>
                <w:sz w:val="14"/>
                <w:szCs w:val="14"/>
                <w:b w:val="1"/>
                <w:bCs w:val="1"/>
                <w:color w:val="auto"/>
              </w:rPr>
              <w:t>Total</w:t>
            </w:r>
          </w:p>
        </w:tc>
        <w:tc>
          <w:tcPr>
            <w:tcW w:w="12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280"/>
              <w:spacing w:after="0"/>
              <w:rPr>
                <w:sz w:val="20"/>
                <w:szCs w:val="20"/>
                <w:color w:val="auto"/>
              </w:rPr>
            </w:pPr>
            <w:r>
              <w:rPr>
                <w:rFonts w:ascii="Arial" w:cs="Arial" w:eastAsia="Arial" w:hAnsi="Arial"/>
                <w:sz w:val="14"/>
                <w:szCs w:val="14"/>
                <w:b w:val="1"/>
                <w:bCs w:val="1"/>
                <w:color w:val="auto"/>
              </w:rPr>
              <w:t>PMPM</w:t>
            </w: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500"/>
              <w:spacing w:after="0"/>
              <w:rPr>
                <w:sz w:val="20"/>
                <w:szCs w:val="20"/>
                <w:color w:val="auto"/>
              </w:rPr>
            </w:pPr>
            <w:r>
              <w:rPr>
                <w:rFonts w:ascii="Arial" w:cs="Arial" w:eastAsia="Arial" w:hAnsi="Arial"/>
                <w:sz w:val="14"/>
                <w:szCs w:val="14"/>
                <w:b w:val="1"/>
                <w:bCs w:val="1"/>
                <w:color w:val="auto"/>
              </w:rPr>
              <w:t>Total</w:t>
            </w:r>
          </w:p>
        </w:tc>
        <w:tc>
          <w:tcPr>
            <w:tcW w:w="10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280"/>
              <w:spacing w:after="0"/>
              <w:rPr>
                <w:sz w:val="20"/>
                <w:szCs w:val="20"/>
                <w:color w:val="auto"/>
              </w:rPr>
            </w:pPr>
            <w:r>
              <w:rPr>
                <w:rFonts w:ascii="Arial" w:cs="Arial" w:eastAsia="Arial" w:hAnsi="Arial"/>
                <w:sz w:val="14"/>
                <w:szCs w:val="14"/>
                <w:b w:val="1"/>
                <w:bCs w:val="1"/>
                <w:color w:val="auto"/>
              </w:rPr>
              <w:t>PMPM</w:t>
            </w:r>
          </w:p>
        </w:tc>
        <w:tc>
          <w:tcPr>
            <w:tcW w:w="100" w:type="dxa"/>
            <w:vAlign w:val="bottom"/>
            <w:tcBorders>
              <w:bottom w:val="single" w:sz="8" w:color="CCEEFF"/>
            </w:tcBorders>
          </w:tcPr>
          <w:p>
            <w:pPr>
              <w:spacing w:after="0"/>
              <w:rPr>
                <w:sz w:val="17"/>
                <w:szCs w:val="17"/>
                <w:color w:val="auto"/>
              </w:rPr>
            </w:pPr>
          </w:p>
        </w:tc>
        <w:tc>
          <w:tcPr>
            <w:tcW w:w="1200" w:type="dxa"/>
            <w:vAlign w:val="bottom"/>
            <w:tcBorders>
              <w:bottom w:val="single" w:sz="8" w:color="auto"/>
            </w:tcBorders>
          </w:tcPr>
          <w:p>
            <w:pPr>
              <w:jc w:val="right"/>
              <w:ind w:right="363"/>
              <w:spacing w:after="0"/>
              <w:rPr>
                <w:sz w:val="20"/>
                <w:szCs w:val="20"/>
                <w:color w:val="auto"/>
              </w:rPr>
            </w:pPr>
            <w:r>
              <w:rPr>
                <w:rFonts w:ascii="Arial" w:cs="Arial" w:eastAsia="Arial" w:hAnsi="Arial"/>
                <w:sz w:val="14"/>
                <w:szCs w:val="14"/>
                <w:b w:val="1"/>
                <w:bCs w:val="1"/>
                <w:color w:val="auto"/>
              </w:rPr>
              <w:t>MCR</w:t>
            </w:r>
          </w:p>
        </w:tc>
        <w:tc>
          <w:tcPr>
            <w:tcW w:w="100" w:type="dxa"/>
            <w:vAlign w:val="bottom"/>
            <w:tcBorders>
              <w:bottom w:val="single" w:sz="8" w:color="CCEEFF"/>
            </w:tcBorders>
          </w:tcPr>
          <w:p>
            <w:pPr>
              <w:spacing w:after="0"/>
              <w:rPr>
                <w:sz w:val="17"/>
                <w:szCs w:val="17"/>
                <w:color w:val="auto"/>
              </w:rPr>
            </w:pPr>
          </w:p>
        </w:tc>
        <w:tc>
          <w:tcPr>
            <w:tcW w:w="114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Medical Margin</w:t>
            </w:r>
          </w:p>
        </w:tc>
        <w:tc>
          <w:tcPr>
            <w:tcW w:w="0" w:type="dxa"/>
            <w:vAlign w:val="bottom"/>
          </w:tcPr>
          <w:p>
            <w:pPr>
              <w:spacing w:after="0"/>
              <w:rPr>
                <w:sz w:val="1"/>
                <w:szCs w:val="1"/>
                <w:color w:val="auto"/>
              </w:rPr>
            </w:pPr>
          </w:p>
        </w:tc>
      </w:tr>
      <w:tr>
        <w:trPr>
          <w:trHeight w:val="251"/>
        </w:trPr>
        <w:tc>
          <w:tcPr>
            <w:tcW w:w="204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California</w:t>
            </w:r>
          </w:p>
        </w:tc>
        <w:tc>
          <w:tcPr>
            <w:tcW w:w="112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1.8</w:t>
            </w:r>
          </w:p>
        </w:tc>
        <w:tc>
          <w:tcPr>
            <w:tcW w:w="120" w:type="dxa"/>
            <w:vAlign w:val="bottom"/>
            <w:shd w:val="clear" w:color="auto" w:fill="CCEEFF"/>
          </w:tcPr>
          <w:p>
            <w:pPr>
              <w:spacing w:after="0"/>
              <w:rPr>
                <w:sz w:val="21"/>
                <w:szCs w:val="21"/>
                <w:color w:val="auto"/>
              </w:rPr>
            </w:pPr>
          </w:p>
        </w:tc>
        <w:tc>
          <w:tcPr>
            <w:tcW w:w="3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12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575</w:t>
            </w:r>
          </w:p>
        </w:tc>
        <w:tc>
          <w:tcPr>
            <w:tcW w:w="3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90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310.64</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14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493</w:t>
            </w:r>
          </w:p>
        </w:tc>
        <w:tc>
          <w:tcPr>
            <w:tcW w:w="3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90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266.81</w:t>
            </w: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85.9%</w:t>
            </w:r>
          </w:p>
        </w:tc>
        <w:tc>
          <w:tcPr>
            <w:tcW w:w="100" w:type="dxa"/>
            <w:vAlign w:val="bottom"/>
            <w:shd w:val="clear" w:color="auto" w:fill="CCEEFF"/>
          </w:tcPr>
          <w:p>
            <w:pPr>
              <w:spacing w:after="0"/>
              <w:rPr>
                <w:sz w:val="21"/>
                <w:szCs w:val="21"/>
                <w:color w:val="auto"/>
              </w:rPr>
            </w:pPr>
          </w:p>
        </w:tc>
        <w:tc>
          <w:tcPr>
            <w:tcW w:w="44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7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82</w:t>
            </w:r>
          </w:p>
        </w:tc>
        <w:tc>
          <w:tcPr>
            <w:tcW w:w="0" w:type="dxa"/>
            <w:vAlign w:val="bottom"/>
          </w:tcPr>
          <w:p>
            <w:pPr>
              <w:spacing w:after="0"/>
              <w:rPr>
                <w:sz w:val="1"/>
                <w:szCs w:val="1"/>
                <w:color w:val="auto"/>
              </w:rPr>
            </w:pPr>
          </w:p>
        </w:tc>
      </w:tr>
      <w:tr>
        <w:trPr>
          <w:trHeight w:val="262"/>
        </w:trPr>
        <w:tc>
          <w:tcPr>
            <w:tcW w:w="2040" w:type="dxa"/>
            <w:vAlign w:val="bottom"/>
          </w:tcPr>
          <w:p>
            <w:pPr>
              <w:ind w:left="20"/>
              <w:spacing w:after="0"/>
              <w:rPr>
                <w:sz w:val="20"/>
                <w:szCs w:val="20"/>
                <w:color w:val="auto"/>
              </w:rPr>
            </w:pPr>
            <w:r>
              <w:rPr>
                <w:rFonts w:ascii="Arial" w:cs="Arial" w:eastAsia="Arial" w:hAnsi="Arial"/>
                <w:sz w:val="16"/>
                <w:szCs w:val="16"/>
                <w:color w:val="auto"/>
              </w:rPr>
              <w:t>Florida</w:t>
            </w:r>
          </w:p>
        </w:tc>
        <w:tc>
          <w:tcPr>
            <w:tcW w:w="1120" w:type="dxa"/>
            <w:vAlign w:val="bottom"/>
          </w:tcPr>
          <w:p>
            <w:pPr>
              <w:jc w:val="right"/>
              <w:ind w:right="20"/>
              <w:spacing w:after="0"/>
              <w:rPr>
                <w:sz w:val="20"/>
                <w:szCs w:val="20"/>
                <w:color w:val="auto"/>
              </w:rPr>
            </w:pPr>
            <w:r>
              <w:rPr>
                <w:rFonts w:ascii="Arial" w:cs="Arial" w:eastAsia="Arial" w:hAnsi="Arial"/>
                <w:sz w:val="16"/>
                <w:szCs w:val="16"/>
                <w:color w:val="auto"/>
              </w:rPr>
              <w:t>1.0</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20" w:type="dxa"/>
            <w:vAlign w:val="bottom"/>
          </w:tcPr>
          <w:p>
            <w:pPr>
              <w:jc w:val="right"/>
              <w:ind w:right="20"/>
              <w:spacing w:after="0"/>
              <w:rPr>
                <w:sz w:val="20"/>
                <w:szCs w:val="20"/>
                <w:color w:val="auto"/>
              </w:rPr>
            </w:pPr>
            <w:r>
              <w:rPr>
                <w:rFonts w:ascii="Arial" w:cs="Arial" w:eastAsia="Arial" w:hAnsi="Arial"/>
                <w:sz w:val="16"/>
                <w:szCs w:val="16"/>
                <w:color w:val="auto"/>
              </w:rPr>
              <w:t>335</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00" w:type="dxa"/>
            <w:vAlign w:val="bottom"/>
          </w:tcPr>
          <w:p>
            <w:pPr>
              <w:jc w:val="right"/>
              <w:ind w:right="40"/>
              <w:spacing w:after="0"/>
              <w:rPr>
                <w:sz w:val="20"/>
                <w:szCs w:val="20"/>
                <w:color w:val="auto"/>
              </w:rPr>
            </w:pPr>
            <w:r>
              <w:rPr>
                <w:rFonts w:ascii="Arial" w:cs="Arial" w:eastAsia="Arial" w:hAnsi="Arial"/>
                <w:sz w:val="16"/>
                <w:szCs w:val="16"/>
                <w:color w:val="auto"/>
              </w:rPr>
              <w:t>323.98</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jc w:val="right"/>
              <w:ind w:right="40"/>
              <w:spacing w:after="0"/>
              <w:rPr>
                <w:sz w:val="20"/>
                <w:szCs w:val="20"/>
                <w:color w:val="auto"/>
              </w:rPr>
            </w:pPr>
            <w:r>
              <w:rPr>
                <w:rFonts w:ascii="Arial" w:cs="Arial" w:eastAsia="Arial" w:hAnsi="Arial"/>
                <w:sz w:val="16"/>
                <w:szCs w:val="16"/>
                <w:color w:val="auto"/>
              </w:rPr>
              <w:t>317</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00" w:type="dxa"/>
            <w:vAlign w:val="bottom"/>
          </w:tcPr>
          <w:p>
            <w:pPr>
              <w:jc w:val="right"/>
              <w:ind w:right="40"/>
              <w:spacing w:after="0"/>
              <w:rPr>
                <w:sz w:val="20"/>
                <w:szCs w:val="20"/>
                <w:color w:val="auto"/>
              </w:rPr>
            </w:pPr>
            <w:r>
              <w:rPr>
                <w:rFonts w:ascii="Arial" w:cs="Arial" w:eastAsia="Arial" w:hAnsi="Arial"/>
                <w:sz w:val="16"/>
                <w:szCs w:val="16"/>
                <w:color w:val="auto"/>
              </w:rPr>
              <w:t>305.71</w:t>
            </w:r>
          </w:p>
        </w:tc>
        <w:tc>
          <w:tcPr>
            <w:tcW w:w="1300" w:type="dxa"/>
            <w:vAlign w:val="bottom"/>
            <w:gridSpan w:val="2"/>
          </w:tcPr>
          <w:p>
            <w:pPr>
              <w:jc w:val="right"/>
              <w:ind w:right="103"/>
              <w:spacing w:after="0"/>
              <w:rPr>
                <w:sz w:val="20"/>
                <w:szCs w:val="20"/>
                <w:color w:val="auto"/>
              </w:rPr>
            </w:pPr>
            <w:r>
              <w:rPr>
                <w:rFonts w:ascii="Arial" w:cs="Arial" w:eastAsia="Arial" w:hAnsi="Arial"/>
                <w:sz w:val="16"/>
                <w:szCs w:val="16"/>
                <w:color w:val="auto"/>
              </w:rPr>
              <w:t>94.4</w:t>
            </w:r>
          </w:p>
        </w:tc>
        <w:tc>
          <w:tcPr>
            <w:tcW w:w="1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700" w:type="dxa"/>
            <w:vAlign w:val="bottom"/>
          </w:tcPr>
          <w:p>
            <w:pPr>
              <w:jc w:val="right"/>
              <w:ind w:right="39"/>
              <w:spacing w:after="0"/>
              <w:rPr>
                <w:sz w:val="20"/>
                <w:szCs w:val="20"/>
                <w:color w:val="auto"/>
              </w:rPr>
            </w:pPr>
            <w:r>
              <w:rPr>
                <w:rFonts w:ascii="Arial" w:cs="Arial" w:eastAsia="Arial" w:hAnsi="Arial"/>
                <w:sz w:val="16"/>
                <w:szCs w:val="16"/>
                <w:color w:val="auto"/>
              </w:rPr>
              <w:t>18</w:t>
            </w:r>
          </w:p>
        </w:tc>
        <w:tc>
          <w:tcPr>
            <w:tcW w:w="0" w:type="dxa"/>
            <w:vAlign w:val="bottom"/>
          </w:tcPr>
          <w:p>
            <w:pPr>
              <w:spacing w:after="0"/>
              <w:rPr>
                <w:sz w:val="1"/>
                <w:szCs w:val="1"/>
                <w:color w:val="auto"/>
              </w:rPr>
            </w:pPr>
          </w:p>
        </w:tc>
      </w:tr>
      <w:tr>
        <w:trPr>
          <w:trHeight w:val="278"/>
        </w:trPr>
        <w:tc>
          <w:tcPr>
            <w:tcW w:w="2040" w:type="dxa"/>
            <w:vAlign w:val="bottom"/>
            <w:shd w:val="clear" w:color="auto" w:fill="CCEEFF"/>
          </w:tcPr>
          <w:p>
            <w:pPr>
              <w:ind w:left="20"/>
              <w:spacing w:after="0"/>
              <w:rPr>
                <w:sz w:val="20"/>
                <w:szCs w:val="20"/>
                <w:color w:val="auto"/>
              </w:rPr>
            </w:pPr>
            <w:r>
              <w:rPr>
                <w:rFonts w:ascii="Arial" w:cs="Arial" w:eastAsia="Arial" w:hAnsi="Arial"/>
                <w:sz w:val="16"/>
                <w:szCs w:val="16"/>
                <w:color w:val="auto"/>
              </w:rPr>
              <w:t>Illinois</w:t>
            </w:r>
          </w:p>
        </w:tc>
        <w:tc>
          <w:tcPr>
            <w:tcW w:w="112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0.6</w:t>
            </w: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163</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275.26</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145</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244.86</w:t>
            </w:r>
          </w:p>
        </w:tc>
        <w:tc>
          <w:tcPr>
            <w:tcW w:w="1300" w:type="dxa"/>
            <w:vAlign w:val="bottom"/>
            <w:gridSpan w:val="2"/>
            <w:shd w:val="clear" w:color="auto" w:fill="CCEEFF"/>
          </w:tcPr>
          <w:p>
            <w:pPr>
              <w:jc w:val="right"/>
              <w:ind w:right="103"/>
              <w:spacing w:after="0"/>
              <w:rPr>
                <w:sz w:val="20"/>
                <w:szCs w:val="20"/>
                <w:color w:val="auto"/>
              </w:rPr>
            </w:pPr>
            <w:r>
              <w:rPr>
                <w:rFonts w:ascii="Arial" w:cs="Arial" w:eastAsia="Arial" w:hAnsi="Arial"/>
                <w:sz w:val="16"/>
                <w:szCs w:val="16"/>
                <w:color w:val="auto"/>
              </w:rPr>
              <w:t>89.0</w:t>
            </w:r>
          </w:p>
        </w:tc>
        <w:tc>
          <w:tcPr>
            <w:tcW w:w="10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18</w:t>
            </w:r>
          </w:p>
        </w:tc>
        <w:tc>
          <w:tcPr>
            <w:tcW w:w="0" w:type="dxa"/>
            <w:vAlign w:val="bottom"/>
          </w:tcPr>
          <w:p>
            <w:pPr>
              <w:spacing w:after="0"/>
              <w:rPr>
                <w:sz w:val="1"/>
                <w:szCs w:val="1"/>
                <w:color w:val="auto"/>
              </w:rPr>
            </w:pPr>
          </w:p>
        </w:tc>
      </w:tr>
      <w:tr>
        <w:trPr>
          <w:trHeight w:val="262"/>
        </w:trPr>
        <w:tc>
          <w:tcPr>
            <w:tcW w:w="2040" w:type="dxa"/>
            <w:vAlign w:val="bottom"/>
          </w:tcPr>
          <w:p>
            <w:pPr>
              <w:ind w:left="20"/>
              <w:spacing w:after="0"/>
              <w:rPr>
                <w:sz w:val="20"/>
                <w:szCs w:val="20"/>
                <w:color w:val="auto"/>
              </w:rPr>
            </w:pPr>
            <w:r>
              <w:rPr>
                <w:rFonts w:ascii="Arial" w:cs="Arial" w:eastAsia="Arial" w:hAnsi="Arial"/>
                <w:sz w:val="16"/>
                <w:szCs w:val="16"/>
                <w:color w:val="auto"/>
              </w:rPr>
              <w:t>Michigan</w:t>
            </w:r>
          </w:p>
        </w:tc>
        <w:tc>
          <w:tcPr>
            <w:tcW w:w="1120" w:type="dxa"/>
            <w:vAlign w:val="bottom"/>
          </w:tcPr>
          <w:p>
            <w:pPr>
              <w:jc w:val="right"/>
              <w:ind w:right="20"/>
              <w:spacing w:after="0"/>
              <w:rPr>
                <w:sz w:val="20"/>
                <w:szCs w:val="20"/>
                <w:color w:val="auto"/>
              </w:rPr>
            </w:pPr>
            <w:r>
              <w:rPr>
                <w:rFonts w:ascii="Arial" w:cs="Arial" w:eastAsia="Arial" w:hAnsi="Arial"/>
                <w:sz w:val="16"/>
                <w:szCs w:val="16"/>
                <w:color w:val="auto"/>
              </w:rPr>
              <w:t>1.2</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20" w:type="dxa"/>
            <w:vAlign w:val="bottom"/>
          </w:tcPr>
          <w:p>
            <w:pPr>
              <w:jc w:val="right"/>
              <w:ind w:right="20"/>
              <w:spacing w:after="0"/>
              <w:rPr>
                <w:sz w:val="20"/>
                <w:szCs w:val="20"/>
                <w:color w:val="auto"/>
              </w:rPr>
            </w:pPr>
            <w:r>
              <w:rPr>
                <w:rFonts w:ascii="Arial" w:cs="Arial" w:eastAsia="Arial" w:hAnsi="Arial"/>
                <w:sz w:val="16"/>
                <w:szCs w:val="16"/>
                <w:color w:val="auto"/>
              </w:rPr>
              <w:t>385</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00" w:type="dxa"/>
            <w:vAlign w:val="bottom"/>
          </w:tcPr>
          <w:p>
            <w:pPr>
              <w:jc w:val="right"/>
              <w:ind w:right="40"/>
              <w:spacing w:after="0"/>
              <w:rPr>
                <w:sz w:val="20"/>
                <w:szCs w:val="20"/>
                <w:color w:val="auto"/>
              </w:rPr>
            </w:pPr>
            <w:r>
              <w:rPr>
                <w:rFonts w:ascii="Arial" w:cs="Arial" w:eastAsia="Arial" w:hAnsi="Arial"/>
                <w:sz w:val="16"/>
                <w:szCs w:val="16"/>
                <w:color w:val="auto"/>
              </w:rPr>
              <w:t>335.34</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jc w:val="right"/>
              <w:ind w:right="40"/>
              <w:spacing w:after="0"/>
              <w:rPr>
                <w:sz w:val="20"/>
                <w:szCs w:val="20"/>
                <w:color w:val="auto"/>
              </w:rPr>
            </w:pPr>
            <w:r>
              <w:rPr>
                <w:rFonts w:ascii="Arial" w:cs="Arial" w:eastAsia="Arial" w:hAnsi="Arial"/>
                <w:sz w:val="16"/>
                <w:szCs w:val="16"/>
                <w:color w:val="auto"/>
              </w:rPr>
              <w:t>335</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00" w:type="dxa"/>
            <w:vAlign w:val="bottom"/>
          </w:tcPr>
          <w:p>
            <w:pPr>
              <w:jc w:val="right"/>
              <w:ind w:right="40"/>
              <w:spacing w:after="0"/>
              <w:rPr>
                <w:sz w:val="20"/>
                <w:szCs w:val="20"/>
                <w:color w:val="auto"/>
              </w:rPr>
            </w:pPr>
            <w:r>
              <w:rPr>
                <w:rFonts w:ascii="Arial" w:cs="Arial" w:eastAsia="Arial" w:hAnsi="Arial"/>
                <w:sz w:val="16"/>
                <w:szCs w:val="16"/>
                <w:color w:val="auto"/>
              </w:rPr>
              <w:t>291.69</w:t>
            </w:r>
          </w:p>
        </w:tc>
        <w:tc>
          <w:tcPr>
            <w:tcW w:w="1300" w:type="dxa"/>
            <w:vAlign w:val="bottom"/>
            <w:gridSpan w:val="2"/>
          </w:tcPr>
          <w:p>
            <w:pPr>
              <w:jc w:val="right"/>
              <w:ind w:right="103"/>
              <w:spacing w:after="0"/>
              <w:rPr>
                <w:sz w:val="20"/>
                <w:szCs w:val="20"/>
                <w:color w:val="auto"/>
              </w:rPr>
            </w:pPr>
            <w:r>
              <w:rPr>
                <w:rFonts w:ascii="Arial" w:cs="Arial" w:eastAsia="Arial" w:hAnsi="Arial"/>
                <w:sz w:val="16"/>
                <w:szCs w:val="16"/>
                <w:color w:val="auto"/>
              </w:rPr>
              <w:t>87.0</w:t>
            </w:r>
          </w:p>
        </w:tc>
        <w:tc>
          <w:tcPr>
            <w:tcW w:w="1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700" w:type="dxa"/>
            <w:vAlign w:val="bottom"/>
          </w:tcPr>
          <w:p>
            <w:pPr>
              <w:jc w:val="right"/>
              <w:ind w:right="39"/>
              <w:spacing w:after="0"/>
              <w:rPr>
                <w:sz w:val="20"/>
                <w:szCs w:val="20"/>
                <w:color w:val="auto"/>
              </w:rPr>
            </w:pPr>
            <w:r>
              <w:rPr>
                <w:rFonts w:ascii="Arial" w:cs="Arial" w:eastAsia="Arial" w:hAnsi="Arial"/>
                <w:sz w:val="16"/>
                <w:szCs w:val="16"/>
                <w:color w:val="auto"/>
              </w:rPr>
              <w:t>50</w:t>
            </w:r>
          </w:p>
        </w:tc>
        <w:tc>
          <w:tcPr>
            <w:tcW w:w="0" w:type="dxa"/>
            <w:vAlign w:val="bottom"/>
          </w:tcPr>
          <w:p>
            <w:pPr>
              <w:spacing w:after="0"/>
              <w:rPr>
                <w:sz w:val="1"/>
                <w:szCs w:val="1"/>
                <w:color w:val="auto"/>
              </w:rPr>
            </w:pPr>
          </w:p>
        </w:tc>
      </w:tr>
      <w:tr>
        <w:trPr>
          <w:trHeight w:val="278"/>
        </w:trPr>
        <w:tc>
          <w:tcPr>
            <w:tcW w:w="204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New Mexico</w:t>
            </w:r>
          </w:p>
        </w:tc>
        <w:tc>
          <w:tcPr>
            <w:tcW w:w="112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0.7</w:t>
            </w: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323</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451.06</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293</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409.24</w:t>
            </w:r>
          </w:p>
        </w:tc>
        <w:tc>
          <w:tcPr>
            <w:tcW w:w="1300" w:type="dxa"/>
            <w:vAlign w:val="bottom"/>
            <w:gridSpan w:val="2"/>
            <w:shd w:val="clear" w:color="auto" w:fill="CCEEFF"/>
          </w:tcPr>
          <w:p>
            <w:pPr>
              <w:jc w:val="right"/>
              <w:ind w:right="103"/>
              <w:spacing w:after="0"/>
              <w:rPr>
                <w:sz w:val="20"/>
                <w:szCs w:val="20"/>
                <w:color w:val="auto"/>
              </w:rPr>
            </w:pPr>
            <w:r>
              <w:rPr>
                <w:rFonts w:ascii="Arial" w:cs="Arial" w:eastAsia="Arial" w:hAnsi="Arial"/>
                <w:sz w:val="16"/>
                <w:szCs w:val="16"/>
                <w:color w:val="auto"/>
              </w:rPr>
              <w:t>90.7</w:t>
            </w:r>
          </w:p>
        </w:tc>
        <w:tc>
          <w:tcPr>
            <w:tcW w:w="10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30</w:t>
            </w:r>
          </w:p>
        </w:tc>
        <w:tc>
          <w:tcPr>
            <w:tcW w:w="0" w:type="dxa"/>
            <w:vAlign w:val="bottom"/>
          </w:tcPr>
          <w:p>
            <w:pPr>
              <w:spacing w:after="0"/>
              <w:rPr>
                <w:sz w:val="1"/>
                <w:szCs w:val="1"/>
                <w:color w:val="auto"/>
              </w:rPr>
            </w:pPr>
          </w:p>
        </w:tc>
      </w:tr>
      <w:tr>
        <w:trPr>
          <w:trHeight w:val="262"/>
        </w:trPr>
        <w:tc>
          <w:tcPr>
            <w:tcW w:w="2040" w:type="dxa"/>
            <w:vAlign w:val="bottom"/>
          </w:tcPr>
          <w:p>
            <w:pPr>
              <w:ind w:left="20"/>
              <w:spacing w:after="0"/>
              <w:rPr>
                <w:sz w:val="20"/>
                <w:szCs w:val="20"/>
                <w:color w:val="auto"/>
              </w:rPr>
            </w:pPr>
            <w:r>
              <w:rPr>
                <w:rFonts w:ascii="Arial" w:cs="Arial" w:eastAsia="Arial" w:hAnsi="Arial"/>
                <w:sz w:val="16"/>
                <w:szCs w:val="16"/>
                <w:color w:val="auto"/>
              </w:rPr>
              <w:t>New York (3)</w:t>
            </w:r>
          </w:p>
        </w:tc>
        <w:tc>
          <w:tcPr>
            <w:tcW w:w="1120" w:type="dxa"/>
            <w:vAlign w:val="bottom"/>
          </w:tcPr>
          <w:p>
            <w:pPr>
              <w:jc w:val="right"/>
              <w:ind w:right="20"/>
              <w:spacing w:after="0"/>
              <w:rPr>
                <w:sz w:val="20"/>
                <w:szCs w:val="20"/>
                <w:color w:val="auto"/>
              </w:rPr>
            </w:pPr>
            <w:r>
              <w:rPr>
                <w:rFonts w:ascii="Arial" w:cs="Arial" w:eastAsia="Arial" w:hAnsi="Arial"/>
                <w:sz w:val="16"/>
                <w:szCs w:val="16"/>
                <w:color w:val="auto"/>
              </w:rPr>
              <w:t>0.1</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20" w:type="dxa"/>
            <w:vAlign w:val="bottom"/>
          </w:tcPr>
          <w:p>
            <w:pPr>
              <w:jc w:val="right"/>
              <w:ind w:right="20"/>
              <w:spacing w:after="0"/>
              <w:rPr>
                <w:sz w:val="20"/>
                <w:szCs w:val="20"/>
                <w:color w:val="auto"/>
              </w:rPr>
            </w:pPr>
            <w:r>
              <w:rPr>
                <w:rFonts w:ascii="Arial" w:cs="Arial" w:eastAsia="Arial" w:hAnsi="Arial"/>
                <w:sz w:val="16"/>
                <w:szCs w:val="16"/>
                <w:color w:val="auto"/>
              </w:rPr>
              <w:t>32</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00" w:type="dxa"/>
            <w:vAlign w:val="bottom"/>
          </w:tcPr>
          <w:p>
            <w:pPr>
              <w:jc w:val="right"/>
              <w:ind w:right="40"/>
              <w:spacing w:after="0"/>
              <w:rPr>
                <w:sz w:val="20"/>
                <w:szCs w:val="20"/>
                <w:color w:val="auto"/>
              </w:rPr>
            </w:pPr>
            <w:r>
              <w:rPr>
                <w:rFonts w:ascii="Arial" w:cs="Arial" w:eastAsia="Arial" w:hAnsi="Arial"/>
                <w:sz w:val="16"/>
                <w:szCs w:val="16"/>
                <w:color w:val="auto"/>
              </w:rPr>
              <w:t>427.40</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jc w:val="right"/>
              <w:ind w:right="40"/>
              <w:spacing w:after="0"/>
              <w:rPr>
                <w:sz w:val="20"/>
                <w:szCs w:val="20"/>
                <w:color w:val="auto"/>
              </w:rPr>
            </w:pPr>
            <w:r>
              <w:rPr>
                <w:rFonts w:ascii="Arial" w:cs="Arial" w:eastAsia="Arial" w:hAnsi="Arial"/>
                <w:sz w:val="16"/>
                <w:szCs w:val="16"/>
                <w:color w:val="auto"/>
              </w:rPr>
              <w:t>30</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00" w:type="dxa"/>
            <w:vAlign w:val="bottom"/>
          </w:tcPr>
          <w:p>
            <w:pPr>
              <w:jc w:val="right"/>
              <w:ind w:right="40"/>
              <w:spacing w:after="0"/>
              <w:rPr>
                <w:sz w:val="20"/>
                <w:szCs w:val="20"/>
                <w:color w:val="auto"/>
              </w:rPr>
            </w:pPr>
            <w:r>
              <w:rPr>
                <w:rFonts w:ascii="Arial" w:cs="Arial" w:eastAsia="Arial" w:hAnsi="Arial"/>
                <w:sz w:val="16"/>
                <w:szCs w:val="16"/>
                <w:color w:val="auto"/>
              </w:rPr>
              <w:t>403.71</w:t>
            </w:r>
          </w:p>
        </w:tc>
        <w:tc>
          <w:tcPr>
            <w:tcW w:w="1300" w:type="dxa"/>
            <w:vAlign w:val="bottom"/>
            <w:gridSpan w:val="2"/>
          </w:tcPr>
          <w:p>
            <w:pPr>
              <w:jc w:val="right"/>
              <w:ind w:right="103"/>
              <w:spacing w:after="0"/>
              <w:rPr>
                <w:sz w:val="20"/>
                <w:szCs w:val="20"/>
                <w:color w:val="auto"/>
              </w:rPr>
            </w:pPr>
            <w:r>
              <w:rPr>
                <w:rFonts w:ascii="Arial" w:cs="Arial" w:eastAsia="Arial" w:hAnsi="Arial"/>
                <w:sz w:val="16"/>
                <w:szCs w:val="16"/>
                <w:color w:val="auto"/>
              </w:rPr>
              <w:t>94.5</w:t>
            </w:r>
          </w:p>
        </w:tc>
        <w:tc>
          <w:tcPr>
            <w:tcW w:w="1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700" w:type="dxa"/>
            <w:vAlign w:val="bottom"/>
          </w:tcPr>
          <w:p>
            <w:pPr>
              <w:jc w:val="right"/>
              <w:ind w:right="39"/>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278"/>
        </w:trPr>
        <w:tc>
          <w:tcPr>
            <w:tcW w:w="2040" w:type="dxa"/>
            <w:vAlign w:val="bottom"/>
            <w:shd w:val="clear" w:color="auto" w:fill="CCEEFF"/>
          </w:tcPr>
          <w:p>
            <w:pPr>
              <w:ind w:left="20"/>
              <w:spacing w:after="0"/>
              <w:rPr>
                <w:sz w:val="20"/>
                <w:szCs w:val="20"/>
                <w:color w:val="auto"/>
              </w:rPr>
            </w:pPr>
            <w:r>
              <w:rPr>
                <w:rFonts w:ascii="Arial" w:cs="Arial" w:eastAsia="Arial" w:hAnsi="Arial"/>
                <w:sz w:val="16"/>
                <w:szCs w:val="16"/>
                <w:color w:val="auto"/>
              </w:rPr>
              <w:t>Ohio</w:t>
            </w:r>
          </w:p>
        </w:tc>
        <w:tc>
          <w:tcPr>
            <w:tcW w:w="112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1.0</w:t>
            </w: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492</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497.08</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417</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421.95</w:t>
            </w:r>
          </w:p>
        </w:tc>
        <w:tc>
          <w:tcPr>
            <w:tcW w:w="1300" w:type="dxa"/>
            <w:vAlign w:val="bottom"/>
            <w:gridSpan w:val="2"/>
            <w:shd w:val="clear" w:color="auto" w:fill="CCEEFF"/>
          </w:tcPr>
          <w:p>
            <w:pPr>
              <w:jc w:val="right"/>
              <w:ind w:right="103"/>
              <w:spacing w:after="0"/>
              <w:rPr>
                <w:sz w:val="20"/>
                <w:szCs w:val="20"/>
                <w:color w:val="auto"/>
              </w:rPr>
            </w:pPr>
            <w:r>
              <w:rPr>
                <w:rFonts w:ascii="Arial" w:cs="Arial" w:eastAsia="Arial" w:hAnsi="Arial"/>
                <w:sz w:val="16"/>
                <w:szCs w:val="16"/>
                <w:color w:val="auto"/>
              </w:rPr>
              <w:t>84.9</w:t>
            </w:r>
          </w:p>
        </w:tc>
        <w:tc>
          <w:tcPr>
            <w:tcW w:w="10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75</w:t>
            </w:r>
          </w:p>
        </w:tc>
        <w:tc>
          <w:tcPr>
            <w:tcW w:w="0" w:type="dxa"/>
            <w:vAlign w:val="bottom"/>
          </w:tcPr>
          <w:p>
            <w:pPr>
              <w:spacing w:after="0"/>
              <w:rPr>
                <w:sz w:val="1"/>
                <w:szCs w:val="1"/>
                <w:color w:val="auto"/>
              </w:rPr>
            </w:pPr>
          </w:p>
        </w:tc>
      </w:tr>
      <w:tr>
        <w:trPr>
          <w:trHeight w:val="262"/>
        </w:trPr>
        <w:tc>
          <w:tcPr>
            <w:tcW w:w="2040" w:type="dxa"/>
            <w:vAlign w:val="bottom"/>
          </w:tcPr>
          <w:p>
            <w:pPr>
              <w:ind w:left="20"/>
              <w:spacing w:after="0"/>
              <w:rPr>
                <w:sz w:val="20"/>
                <w:szCs w:val="20"/>
                <w:color w:val="auto"/>
              </w:rPr>
            </w:pPr>
            <w:r>
              <w:rPr>
                <w:rFonts w:ascii="Arial" w:cs="Arial" w:eastAsia="Arial" w:hAnsi="Arial"/>
                <w:sz w:val="16"/>
                <w:szCs w:val="16"/>
                <w:color w:val="auto"/>
              </w:rPr>
              <w:t>Puerto Rico</w:t>
            </w:r>
          </w:p>
        </w:tc>
        <w:tc>
          <w:tcPr>
            <w:tcW w:w="1120" w:type="dxa"/>
            <w:vAlign w:val="bottom"/>
          </w:tcPr>
          <w:p>
            <w:pPr>
              <w:jc w:val="right"/>
              <w:ind w:right="20"/>
              <w:spacing w:after="0"/>
              <w:rPr>
                <w:sz w:val="20"/>
                <w:szCs w:val="20"/>
                <w:color w:val="auto"/>
              </w:rPr>
            </w:pPr>
            <w:r>
              <w:rPr>
                <w:rFonts w:ascii="Arial" w:cs="Arial" w:eastAsia="Arial" w:hAnsi="Arial"/>
                <w:sz w:val="16"/>
                <w:szCs w:val="16"/>
                <w:color w:val="auto"/>
              </w:rPr>
              <w:t>1.0</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20" w:type="dxa"/>
            <w:vAlign w:val="bottom"/>
          </w:tcPr>
          <w:p>
            <w:pPr>
              <w:jc w:val="right"/>
              <w:ind w:right="20"/>
              <w:spacing w:after="0"/>
              <w:rPr>
                <w:sz w:val="20"/>
                <w:szCs w:val="20"/>
                <w:color w:val="auto"/>
              </w:rPr>
            </w:pPr>
            <w:r>
              <w:rPr>
                <w:rFonts w:ascii="Arial" w:cs="Arial" w:eastAsia="Arial" w:hAnsi="Arial"/>
                <w:sz w:val="16"/>
                <w:szCs w:val="16"/>
                <w:color w:val="auto"/>
              </w:rPr>
              <w:t>184</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00" w:type="dxa"/>
            <w:vAlign w:val="bottom"/>
          </w:tcPr>
          <w:p>
            <w:pPr>
              <w:jc w:val="right"/>
              <w:ind w:right="40"/>
              <w:spacing w:after="0"/>
              <w:rPr>
                <w:sz w:val="20"/>
                <w:szCs w:val="20"/>
                <w:color w:val="auto"/>
              </w:rPr>
            </w:pPr>
            <w:r>
              <w:rPr>
                <w:rFonts w:ascii="Arial" w:cs="Arial" w:eastAsia="Arial" w:hAnsi="Arial"/>
                <w:sz w:val="16"/>
                <w:szCs w:val="16"/>
                <w:color w:val="auto"/>
              </w:rPr>
              <w:t>183.46</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jc w:val="right"/>
              <w:ind w:right="40"/>
              <w:spacing w:after="0"/>
              <w:rPr>
                <w:sz w:val="20"/>
                <w:szCs w:val="20"/>
                <w:color w:val="auto"/>
              </w:rPr>
            </w:pPr>
            <w:r>
              <w:rPr>
                <w:rFonts w:ascii="Arial" w:cs="Arial" w:eastAsia="Arial" w:hAnsi="Arial"/>
                <w:sz w:val="16"/>
                <w:szCs w:val="16"/>
                <w:color w:val="auto"/>
              </w:rPr>
              <w:t>167</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00" w:type="dxa"/>
            <w:vAlign w:val="bottom"/>
          </w:tcPr>
          <w:p>
            <w:pPr>
              <w:jc w:val="right"/>
              <w:ind w:right="40"/>
              <w:spacing w:after="0"/>
              <w:rPr>
                <w:sz w:val="20"/>
                <w:szCs w:val="20"/>
                <w:color w:val="auto"/>
              </w:rPr>
            </w:pPr>
            <w:r>
              <w:rPr>
                <w:rFonts w:ascii="Arial" w:cs="Arial" w:eastAsia="Arial" w:hAnsi="Arial"/>
                <w:sz w:val="16"/>
                <w:szCs w:val="16"/>
                <w:color w:val="auto"/>
              </w:rPr>
              <w:t>167.44</w:t>
            </w:r>
          </w:p>
        </w:tc>
        <w:tc>
          <w:tcPr>
            <w:tcW w:w="1300" w:type="dxa"/>
            <w:vAlign w:val="bottom"/>
            <w:gridSpan w:val="2"/>
          </w:tcPr>
          <w:p>
            <w:pPr>
              <w:jc w:val="right"/>
              <w:ind w:right="103"/>
              <w:spacing w:after="0"/>
              <w:rPr>
                <w:sz w:val="20"/>
                <w:szCs w:val="20"/>
                <w:color w:val="auto"/>
              </w:rPr>
            </w:pPr>
            <w:r>
              <w:rPr>
                <w:rFonts w:ascii="Arial" w:cs="Arial" w:eastAsia="Arial" w:hAnsi="Arial"/>
                <w:sz w:val="16"/>
                <w:szCs w:val="16"/>
                <w:color w:val="auto"/>
              </w:rPr>
              <w:t>91.3</w:t>
            </w:r>
          </w:p>
        </w:tc>
        <w:tc>
          <w:tcPr>
            <w:tcW w:w="1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700" w:type="dxa"/>
            <w:vAlign w:val="bottom"/>
          </w:tcPr>
          <w:p>
            <w:pPr>
              <w:jc w:val="right"/>
              <w:ind w:right="39"/>
              <w:spacing w:after="0"/>
              <w:rPr>
                <w:sz w:val="20"/>
                <w:szCs w:val="20"/>
                <w:color w:val="auto"/>
              </w:rPr>
            </w:pPr>
            <w:r>
              <w:rPr>
                <w:rFonts w:ascii="Arial" w:cs="Arial" w:eastAsia="Arial" w:hAnsi="Arial"/>
                <w:sz w:val="16"/>
                <w:szCs w:val="16"/>
                <w:color w:val="auto"/>
              </w:rPr>
              <w:t>17</w:t>
            </w:r>
          </w:p>
        </w:tc>
        <w:tc>
          <w:tcPr>
            <w:tcW w:w="0" w:type="dxa"/>
            <w:vAlign w:val="bottom"/>
          </w:tcPr>
          <w:p>
            <w:pPr>
              <w:spacing w:after="0"/>
              <w:rPr>
                <w:sz w:val="1"/>
                <w:szCs w:val="1"/>
                <w:color w:val="auto"/>
              </w:rPr>
            </w:pPr>
          </w:p>
        </w:tc>
      </w:tr>
      <w:tr>
        <w:trPr>
          <w:trHeight w:val="278"/>
        </w:trPr>
        <w:tc>
          <w:tcPr>
            <w:tcW w:w="2040" w:type="dxa"/>
            <w:vAlign w:val="bottom"/>
            <w:shd w:val="clear" w:color="auto" w:fill="CCEEFF"/>
          </w:tcPr>
          <w:p>
            <w:pPr>
              <w:ind w:left="20"/>
              <w:spacing w:after="0"/>
              <w:rPr>
                <w:sz w:val="20"/>
                <w:szCs w:val="20"/>
                <w:color w:val="auto"/>
              </w:rPr>
            </w:pPr>
            <w:r>
              <w:rPr>
                <w:rFonts w:ascii="Arial" w:cs="Arial" w:eastAsia="Arial" w:hAnsi="Arial"/>
                <w:sz w:val="16"/>
                <w:szCs w:val="16"/>
                <w:color w:val="auto"/>
              </w:rPr>
              <w:t>South Carolina</w:t>
            </w:r>
          </w:p>
        </w:tc>
        <w:tc>
          <w:tcPr>
            <w:tcW w:w="112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0.3</w:t>
            </w: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102</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312.28</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94</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285.97</w:t>
            </w:r>
          </w:p>
        </w:tc>
        <w:tc>
          <w:tcPr>
            <w:tcW w:w="1300" w:type="dxa"/>
            <w:vAlign w:val="bottom"/>
            <w:gridSpan w:val="2"/>
            <w:shd w:val="clear" w:color="auto" w:fill="CCEEFF"/>
          </w:tcPr>
          <w:p>
            <w:pPr>
              <w:jc w:val="right"/>
              <w:ind w:right="103"/>
              <w:spacing w:after="0"/>
              <w:rPr>
                <w:sz w:val="20"/>
                <w:szCs w:val="20"/>
                <w:color w:val="auto"/>
              </w:rPr>
            </w:pPr>
            <w:r>
              <w:rPr>
                <w:rFonts w:ascii="Arial" w:cs="Arial" w:eastAsia="Arial" w:hAnsi="Arial"/>
                <w:sz w:val="16"/>
                <w:szCs w:val="16"/>
                <w:color w:val="auto"/>
              </w:rPr>
              <w:t>91.6</w:t>
            </w:r>
          </w:p>
        </w:tc>
        <w:tc>
          <w:tcPr>
            <w:tcW w:w="10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8</w:t>
            </w:r>
          </w:p>
        </w:tc>
        <w:tc>
          <w:tcPr>
            <w:tcW w:w="0" w:type="dxa"/>
            <w:vAlign w:val="bottom"/>
          </w:tcPr>
          <w:p>
            <w:pPr>
              <w:spacing w:after="0"/>
              <w:rPr>
                <w:sz w:val="1"/>
                <w:szCs w:val="1"/>
                <w:color w:val="auto"/>
              </w:rPr>
            </w:pPr>
          </w:p>
        </w:tc>
      </w:tr>
      <w:tr>
        <w:trPr>
          <w:trHeight w:val="262"/>
        </w:trPr>
        <w:tc>
          <w:tcPr>
            <w:tcW w:w="2040" w:type="dxa"/>
            <w:vAlign w:val="bottom"/>
          </w:tcPr>
          <w:p>
            <w:pPr>
              <w:ind w:left="20"/>
              <w:spacing w:after="0"/>
              <w:rPr>
                <w:sz w:val="20"/>
                <w:szCs w:val="20"/>
                <w:color w:val="auto"/>
              </w:rPr>
            </w:pPr>
            <w:r>
              <w:rPr>
                <w:rFonts w:ascii="Arial" w:cs="Arial" w:eastAsia="Arial" w:hAnsi="Arial"/>
                <w:sz w:val="16"/>
                <w:szCs w:val="16"/>
                <w:color w:val="auto"/>
              </w:rPr>
              <w:t>Texas</w:t>
            </w:r>
          </w:p>
        </w:tc>
        <w:tc>
          <w:tcPr>
            <w:tcW w:w="1120" w:type="dxa"/>
            <w:vAlign w:val="bottom"/>
          </w:tcPr>
          <w:p>
            <w:pPr>
              <w:jc w:val="right"/>
              <w:ind w:right="20"/>
              <w:spacing w:after="0"/>
              <w:rPr>
                <w:sz w:val="20"/>
                <w:szCs w:val="20"/>
                <w:color w:val="auto"/>
              </w:rPr>
            </w:pPr>
            <w:r>
              <w:rPr>
                <w:rFonts w:ascii="Arial" w:cs="Arial" w:eastAsia="Arial" w:hAnsi="Arial"/>
                <w:sz w:val="16"/>
                <w:szCs w:val="16"/>
                <w:color w:val="auto"/>
              </w:rPr>
              <w:t>0.7</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20" w:type="dxa"/>
            <w:vAlign w:val="bottom"/>
          </w:tcPr>
          <w:p>
            <w:pPr>
              <w:jc w:val="right"/>
              <w:ind w:right="20"/>
              <w:spacing w:after="0"/>
              <w:rPr>
                <w:sz w:val="20"/>
                <w:szCs w:val="20"/>
                <w:color w:val="auto"/>
              </w:rPr>
            </w:pPr>
            <w:r>
              <w:rPr>
                <w:rFonts w:ascii="Arial" w:cs="Arial" w:eastAsia="Arial" w:hAnsi="Arial"/>
                <w:sz w:val="16"/>
                <w:szCs w:val="16"/>
                <w:color w:val="auto"/>
              </w:rPr>
              <w:t>534</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00" w:type="dxa"/>
            <w:vAlign w:val="bottom"/>
          </w:tcPr>
          <w:p>
            <w:pPr>
              <w:jc w:val="right"/>
              <w:ind w:right="40"/>
              <w:spacing w:after="0"/>
              <w:rPr>
                <w:sz w:val="20"/>
                <w:szCs w:val="20"/>
                <w:color w:val="auto"/>
              </w:rPr>
            </w:pPr>
            <w:r>
              <w:rPr>
                <w:rFonts w:ascii="Arial" w:cs="Arial" w:eastAsia="Arial" w:hAnsi="Arial"/>
                <w:sz w:val="16"/>
                <w:szCs w:val="16"/>
                <w:color w:val="auto"/>
              </w:rPr>
              <w:t>728.84</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jc w:val="right"/>
              <w:ind w:right="40"/>
              <w:spacing w:after="0"/>
              <w:rPr>
                <w:sz w:val="20"/>
                <w:szCs w:val="20"/>
                <w:color w:val="auto"/>
              </w:rPr>
            </w:pPr>
            <w:r>
              <w:rPr>
                <w:rFonts w:ascii="Arial" w:cs="Arial" w:eastAsia="Arial" w:hAnsi="Arial"/>
                <w:sz w:val="16"/>
                <w:szCs w:val="16"/>
                <w:color w:val="auto"/>
              </w:rPr>
              <w:t>484</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00" w:type="dxa"/>
            <w:vAlign w:val="bottom"/>
          </w:tcPr>
          <w:p>
            <w:pPr>
              <w:jc w:val="right"/>
              <w:ind w:right="40"/>
              <w:spacing w:after="0"/>
              <w:rPr>
                <w:sz w:val="20"/>
                <w:szCs w:val="20"/>
                <w:color w:val="auto"/>
              </w:rPr>
            </w:pPr>
            <w:r>
              <w:rPr>
                <w:rFonts w:ascii="Arial" w:cs="Arial" w:eastAsia="Arial" w:hAnsi="Arial"/>
                <w:sz w:val="16"/>
                <w:szCs w:val="16"/>
                <w:color w:val="auto"/>
              </w:rPr>
              <w:t>662.79</w:t>
            </w:r>
          </w:p>
        </w:tc>
        <w:tc>
          <w:tcPr>
            <w:tcW w:w="1300" w:type="dxa"/>
            <w:vAlign w:val="bottom"/>
            <w:gridSpan w:val="2"/>
          </w:tcPr>
          <w:p>
            <w:pPr>
              <w:jc w:val="right"/>
              <w:ind w:right="103"/>
              <w:spacing w:after="0"/>
              <w:rPr>
                <w:sz w:val="20"/>
                <w:szCs w:val="20"/>
                <w:color w:val="auto"/>
              </w:rPr>
            </w:pPr>
            <w:r>
              <w:rPr>
                <w:rFonts w:ascii="Arial" w:cs="Arial" w:eastAsia="Arial" w:hAnsi="Arial"/>
                <w:sz w:val="16"/>
                <w:szCs w:val="16"/>
                <w:color w:val="auto"/>
              </w:rPr>
              <w:t>90.9</w:t>
            </w:r>
          </w:p>
        </w:tc>
        <w:tc>
          <w:tcPr>
            <w:tcW w:w="1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700" w:type="dxa"/>
            <w:vAlign w:val="bottom"/>
          </w:tcPr>
          <w:p>
            <w:pPr>
              <w:jc w:val="right"/>
              <w:ind w:right="39"/>
              <w:spacing w:after="0"/>
              <w:rPr>
                <w:sz w:val="20"/>
                <w:szCs w:val="20"/>
                <w:color w:val="auto"/>
              </w:rPr>
            </w:pPr>
            <w:r>
              <w:rPr>
                <w:rFonts w:ascii="Arial" w:cs="Arial" w:eastAsia="Arial" w:hAnsi="Arial"/>
                <w:sz w:val="16"/>
                <w:szCs w:val="16"/>
                <w:color w:val="auto"/>
              </w:rPr>
              <w:t>50</w:t>
            </w:r>
          </w:p>
        </w:tc>
        <w:tc>
          <w:tcPr>
            <w:tcW w:w="0" w:type="dxa"/>
            <w:vAlign w:val="bottom"/>
          </w:tcPr>
          <w:p>
            <w:pPr>
              <w:spacing w:after="0"/>
              <w:rPr>
                <w:sz w:val="1"/>
                <w:szCs w:val="1"/>
                <w:color w:val="auto"/>
              </w:rPr>
            </w:pPr>
          </w:p>
        </w:tc>
      </w:tr>
      <w:tr>
        <w:trPr>
          <w:trHeight w:val="278"/>
        </w:trPr>
        <w:tc>
          <w:tcPr>
            <w:tcW w:w="2040" w:type="dxa"/>
            <w:vAlign w:val="bottom"/>
            <w:shd w:val="clear" w:color="auto" w:fill="CCEEFF"/>
          </w:tcPr>
          <w:p>
            <w:pPr>
              <w:ind w:left="20"/>
              <w:spacing w:after="0"/>
              <w:rPr>
                <w:sz w:val="20"/>
                <w:szCs w:val="20"/>
                <w:color w:val="auto"/>
              </w:rPr>
            </w:pPr>
            <w:r>
              <w:rPr>
                <w:rFonts w:ascii="Arial" w:cs="Arial" w:eastAsia="Arial" w:hAnsi="Arial"/>
                <w:sz w:val="16"/>
                <w:szCs w:val="16"/>
                <w:color w:val="auto"/>
              </w:rPr>
              <w:t>Utah</w:t>
            </w:r>
          </w:p>
        </w:tc>
        <w:tc>
          <w:tcPr>
            <w:tcW w:w="112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0.3</w:t>
            </w: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83</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288.59</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71</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242.77</w:t>
            </w:r>
          </w:p>
        </w:tc>
        <w:tc>
          <w:tcPr>
            <w:tcW w:w="1300" w:type="dxa"/>
            <w:vAlign w:val="bottom"/>
            <w:gridSpan w:val="2"/>
            <w:shd w:val="clear" w:color="auto" w:fill="CCEEFF"/>
          </w:tcPr>
          <w:p>
            <w:pPr>
              <w:jc w:val="right"/>
              <w:ind w:right="103"/>
              <w:spacing w:after="0"/>
              <w:rPr>
                <w:sz w:val="20"/>
                <w:szCs w:val="20"/>
                <w:color w:val="auto"/>
              </w:rPr>
            </w:pPr>
            <w:r>
              <w:rPr>
                <w:rFonts w:ascii="Arial" w:cs="Arial" w:eastAsia="Arial" w:hAnsi="Arial"/>
                <w:sz w:val="16"/>
                <w:szCs w:val="16"/>
                <w:color w:val="auto"/>
              </w:rPr>
              <w:t>84.1</w:t>
            </w:r>
          </w:p>
        </w:tc>
        <w:tc>
          <w:tcPr>
            <w:tcW w:w="10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12</w:t>
            </w:r>
          </w:p>
        </w:tc>
        <w:tc>
          <w:tcPr>
            <w:tcW w:w="0" w:type="dxa"/>
            <w:vAlign w:val="bottom"/>
          </w:tcPr>
          <w:p>
            <w:pPr>
              <w:spacing w:after="0"/>
              <w:rPr>
                <w:sz w:val="1"/>
                <w:szCs w:val="1"/>
                <w:color w:val="auto"/>
              </w:rPr>
            </w:pPr>
          </w:p>
        </w:tc>
      </w:tr>
      <w:tr>
        <w:trPr>
          <w:trHeight w:val="262"/>
        </w:trPr>
        <w:tc>
          <w:tcPr>
            <w:tcW w:w="2040" w:type="dxa"/>
            <w:vAlign w:val="bottom"/>
          </w:tcPr>
          <w:p>
            <w:pPr>
              <w:ind w:left="20"/>
              <w:spacing w:after="0"/>
              <w:rPr>
                <w:sz w:val="20"/>
                <w:szCs w:val="20"/>
                <w:color w:val="auto"/>
              </w:rPr>
            </w:pPr>
            <w:r>
              <w:rPr>
                <w:rFonts w:ascii="Arial" w:cs="Arial" w:eastAsia="Arial" w:hAnsi="Arial"/>
                <w:sz w:val="16"/>
                <w:szCs w:val="16"/>
                <w:color w:val="auto"/>
              </w:rPr>
              <w:t>Washington</w:t>
            </w:r>
          </w:p>
        </w:tc>
        <w:tc>
          <w:tcPr>
            <w:tcW w:w="1120" w:type="dxa"/>
            <w:vAlign w:val="bottom"/>
          </w:tcPr>
          <w:p>
            <w:pPr>
              <w:jc w:val="right"/>
              <w:ind w:right="20"/>
              <w:spacing w:after="0"/>
              <w:rPr>
                <w:sz w:val="20"/>
                <w:szCs w:val="20"/>
                <w:color w:val="auto"/>
              </w:rPr>
            </w:pPr>
            <w:r>
              <w:rPr>
                <w:rFonts w:ascii="Arial" w:cs="Arial" w:eastAsia="Arial" w:hAnsi="Arial"/>
                <w:sz w:val="16"/>
                <w:szCs w:val="16"/>
                <w:color w:val="auto"/>
              </w:rPr>
              <w:t>2.0</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20" w:type="dxa"/>
            <w:vAlign w:val="bottom"/>
          </w:tcPr>
          <w:p>
            <w:pPr>
              <w:jc w:val="right"/>
              <w:ind w:right="20"/>
              <w:spacing w:after="0"/>
              <w:rPr>
                <w:sz w:val="20"/>
                <w:szCs w:val="20"/>
                <w:color w:val="auto"/>
              </w:rPr>
            </w:pPr>
            <w:r>
              <w:rPr>
                <w:rFonts w:ascii="Arial" w:cs="Arial" w:eastAsia="Arial" w:hAnsi="Arial"/>
                <w:sz w:val="16"/>
                <w:szCs w:val="16"/>
                <w:color w:val="auto"/>
              </w:rPr>
              <w:t>546</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00" w:type="dxa"/>
            <w:vAlign w:val="bottom"/>
          </w:tcPr>
          <w:p>
            <w:pPr>
              <w:jc w:val="right"/>
              <w:ind w:right="40"/>
              <w:spacing w:after="0"/>
              <w:rPr>
                <w:sz w:val="20"/>
                <w:szCs w:val="20"/>
                <w:color w:val="auto"/>
              </w:rPr>
            </w:pPr>
            <w:r>
              <w:rPr>
                <w:rFonts w:ascii="Arial" w:cs="Arial" w:eastAsia="Arial" w:hAnsi="Arial"/>
                <w:sz w:val="16"/>
                <w:szCs w:val="16"/>
                <w:color w:val="auto"/>
              </w:rPr>
              <w:t>264.01</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jc w:val="right"/>
              <w:ind w:right="40"/>
              <w:spacing w:after="0"/>
              <w:rPr>
                <w:sz w:val="20"/>
                <w:szCs w:val="20"/>
                <w:color w:val="auto"/>
              </w:rPr>
            </w:pPr>
            <w:r>
              <w:rPr>
                <w:rFonts w:ascii="Arial" w:cs="Arial" w:eastAsia="Arial" w:hAnsi="Arial"/>
                <w:sz w:val="16"/>
                <w:szCs w:val="16"/>
                <w:color w:val="auto"/>
              </w:rPr>
              <w:t>500</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00" w:type="dxa"/>
            <w:vAlign w:val="bottom"/>
          </w:tcPr>
          <w:p>
            <w:pPr>
              <w:jc w:val="right"/>
              <w:ind w:right="40"/>
              <w:spacing w:after="0"/>
              <w:rPr>
                <w:sz w:val="20"/>
                <w:szCs w:val="20"/>
                <w:color w:val="auto"/>
              </w:rPr>
            </w:pPr>
            <w:r>
              <w:rPr>
                <w:rFonts w:ascii="Arial" w:cs="Arial" w:eastAsia="Arial" w:hAnsi="Arial"/>
                <w:sz w:val="16"/>
                <w:szCs w:val="16"/>
                <w:color w:val="auto"/>
              </w:rPr>
              <w:t>241.49</w:t>
            </w:r>
          </w:p>
        </w:tc>
        <w:tc>
          <w:tcPr>
            <w:tcW w:w="1300" w:type="dxa"/>
            <w:vAlign w:val="bottom"/>
            <w:gridSpan w:val="2"/>
          </w:tcPr>
          <w:p>
            <w:pPr>
              <w:jc w:val="right"/>
              <w:ind w:right="103"/>
              <w:spacing w:after="0"/>
              <w:rPr>
                <w:sz w:val="20"/>
                <w:szCs w:val="20"/>
                <w:color w:val="auto"/>
              </w:rPr>
            </w:pPr>
            <w:r>
              <w:rPr>
                <w:rFonts w:ascii="Arial" w:cs="Arial" w:eastAsia="Arial" w:hAnsi="Arial"/>
                <w:sz w:val="16"/>
                <w:szCs w:val="16"/>
                <w:color w:val="auto"/>
              </w:rPr>
              <w:t>91.5</w:t>
            </w:r>
          </w:p>
        </w:tc>
        <w:tc>
          <w:tcPr>
            <w:tcW w:w="1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700" w:type="dxa"/>
            <w:vAlign w:val="bottom"/>
          </w:tcPr>
          <w:p>
            <w:pPr>
              <w:jc w:val="right"/>
              <w:ind w:right="39"/>
              <w:spacing w:after="0"/>
              <w:rPr>
                <w:sz w:val="20"/>
                <w:szCs w:val="20"/>
                <w:color w:val="auto"/>
              </w:rPr>
            </w:pPr>
            <w:r>
              <w:rPr>
                <w:rFonts w:ascii="Arial" w:cs="Arial" w:eastAsia="Arial" w:hAnsi="Arial"/>
                <w:sz w:val="16"/>
                <w:szCs w:val="16"/>
                <w:color w:val="auto"/>
              </w:rPr>
              <w:t>46</w:t>
            </w:r>
          </w:p>
        </w:tc>
        <w:tc>
          <w:tcPr>
            <w:tcW w:w="0" w:type="dxa"/>
            <w:vAlign w:val="bottom"/>
          </w:tcPr>
          <w:p>
            <w:pPr>
              <w:spacing w:after="0"/>
              <w:rPr>
                <w:sz w:val="1"/>
                <w:szCs w:val="1"/>
                <w:color w:val="auto"/>
              </w:rPr>
            </w:pPr>
          </w:p>
        </w:tc>
      </w:tr>
      <w:tr>
        <w:trPr>
          <w:trHeight w:val="278"/>
        </w:trPr>
        <w:tc>
          <w:tcPr>
            <w:tcW w:w="2040" w:type="dxa"/>
            <w:vAlign w:val="bottom"/>
            <w:shd w:val="clear" w:color="auto" w:fill="CCEEFF"/>
          </w:tcPr>
          <w:p>
            <w:pPr>
              <w:ind w:left="20"/>
              <w:spacing w:after="0"/>
              <w:rPr>
                <w:sz w:val="20"/>
                <w:szCs w:val="20"/>
                <w:color w:val="auto"/>
              </w:rPr>
            </w:pPr>
            <w:r>
              <w:rPr>
                <w:rFonts w:ascii="Arial" w:cs="Arial" w:eastAsia="Arial" w:hAnsi="Arial"/>
                <w:sz w:val="16"/>
                <w:szCs w:val="16"/>
                <w:color w:val="auto"/>
              </w:rPr>
              <w:t>Wisconsin</w:t>
            </w:r>
          </w:p>
        </w:tc>
        <w:tc>
          <w:tcPr>
            <w:tcW w:w="112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0.3</w:t>
            </w: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35</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166.82</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26</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125.86</w:t>
            </w:r>
          </w:p>
        </w:tc>
        <w:tc>
          <w:tcPr>
            <w:tcW w:w="1300" w:type="dxa"/>
            <w:vAlign w:val="bottom"/>
            <w:gridSpan w:val="2"/>
            <w:shd w:val="clear" w:color="auto" w:fill="CCEEFF"/>
          </w:tcPr>
          <w:p>
            <w:pPr>
              <w:jc w:val="right"/>
              <w:ind w:right="103"/>
              <w:spacing w:after="0"/>
              <w:rPr>
                <w:sz w:val="20"/>
                <w:szCs w:val="20"/>
                <w:color w:val="auto"/>
              </w:rPr>
            </w:pPr>
            <w:r>
              <w:rPr>
                <w:rFonts w:ascii="Arial" w:cs="Arial" w:eastAsia="Arial" w:hAnsi="Arial"/>
                <w:sz w:val="16"/>
                <w:szCs w:val="16"/>
                <w:color w:val="auto"/>
              </w:rPr>
              <w:t>75.4</w:t>
            </w:r>
          </w:p>
        </w:tc>
        <w:tc>
          <w:tcPr>
            <w:tcW w:w="10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9</w:t>
            </w:r>
          </w:p>
        </w:tc>
        <w:tc>
          <w:tcPr>
            <w:tcW w:w="0" w:type="dxa"/>
            <w:vAlign w:val="bottom"/>
          </w:tcPr>
          <w:p>
            <w:pPr>
              <w:spacing w:after="0"/>
              <w:rPr>
                <w:sz w:val="1"/>
                <w:szCs w:val="1"/>
                <w:color w:val="auto"/>
              </w:rPr>
            </w:pPr>
          </w:p>
        </w:tc>
      </w:tr>
      <w:tr>
        <w:trPr>
          <w:trHeight w:val="264"/>
        </w:trPr>
        <w:tc>
          <w:tcPr>
            <w:tcW w:w="2040" w:type="dxa"/>
            <w:vAlign w:val="bottom"/>
          </w:tcPr>
          <w:p>
            <w:pPr>
              <w:ind w:left="20"/>
              <w:spacing w:after="0"/>
              <w:rPr>
                <w:sz w:val="20"/>
                <w:szCs w:val="20"/>
                <w:color w:val="auto"/>
              </w:rPr>
            </w:pPr>
            <w:r>
              <w:rPr>
                <w:rFonts w:ascii="Arial" w:cs="Arial" w:eastAsia="Arial" w:hAnsi="Arial"/>
                <w:sz w:val="16"/>
                <w:szCs w:val="16"/>
                <w:color w:val="auto"/>
              </w:rPr>
              <w:t>Other (4)</w:t>
            </w:r>
          </w:p>
        </w:tc>
        <w:tc>
          <w:tcPr>
            <w:tcW w:w="12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22"/>
                <w:szCs w:val="22"/>
                <w:color w:val="auto"/>
              </w:rPr>
            </w:pPr>
          </w:p>
        </w:tc>
        <w:tc>
          <w:tcPr>
            <w:tcW w:w="1120" w:type="dxa"/>
            <w:vAlign w:val="bottom"/>
          </w:tcPr>
          <w:p>
            <w:pPr>
              <w:jc w:val="right"/>
              <w:ind w:right="20"/>
              <w:spacing w:after="0"/>
              <w:rPr>
                <w:sz w:val="20"/>
                <w:szCs w:val="20"/>
                <w:color w:val="auto"/>
              </w:rPr>
            </w:pPr>
            <w:r>
              <w:rPr>
                <w:rFonts w:ascii="Arial" w:cs="Arial" w:eastAsia="Arial" w:hAnsi="Arial"/>
                <w:sz w:val="16"/>
                <w:szCs w:val="16"/>
                <w:color w:val="auto"/>
              </w:rPr>
              <w:t>3</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22"/>
                <w:szCs w:val="22"/>
                <w:color w:val="auto"/>
              </w:rPr>
            </w:pPr>
          </w:p>
        </w:tc>
        <w:tc>
          <w:tcPr>
            <w:tcW w:w="1140" w:type="dxa"/>
            <w:vAlign w:val="bottom"/>
          </w:tcPr>
          <w:p>
            <w:pPr>
              <w:jc w:val="right"/>
              <w:ind w:right="40"/>
              <w:spacing w:after="0"/>
              <w:rPr>
                <w:sz w:val="20"/>
                <w:szCs w:val="20"/>
                <w:color w:val="auto"/>
              </w:rPr>
            </w:pPr>
            <w:r>
              <w:rPr>
                <w:rFonts w:ascii="Arial" w:cs="Arial" w:eastAsia="Arial" w:hAnsi="Arial"/>
                <w:sz w:val="16"/>
                <w:szCs w:val="16"/>
                <w:color w:val="auto"/>
              </w:rPr>
              <w:t>24</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0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2"/>
                <w:szCs w:val="22"/>
                <w:color w:val="auto"/>
              </w:rPr>
            </w:pPr>
          </w:p>
        </w:tc>
        <w:tc>
          <w:tcPr>
            <w:tcW w:w="130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44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(21)</w:t>
            </w:r>
          </w:p>
        </w:tc>
        <w:tc>
          <w:tcPr>
            <w:tcW w:w="0" w:type="dxa"/>
            <w:vAlign w:val="bottom"/>
          </w:tcPr>
          <w:p>
            <w:pPr>
              <w:spacing w:after="0"/>
              <w:rPr>
                <w:sz w:val="1"/>
                <w:szCs w:val="1"/>
                <w:color w:val="auto"/>
              </w:rPr>
            </w:pPr>
          </w:p>
        </w:tc>
      </w:tr>
      <w:tr>
        <w:trPr>
          <w:trHeight w:val="242"/>
        </w:trPr>
        <w:tc>
          <w:tcPr>
            <w:tcW w:w="2040" w:type="dxa"/>
            <w:vAlign w:val="bottom"/>
            <w:tcBorders>
              <w:top w:val="single" w:sz="8" w:color="CCEEFF"/>
              <w:bottom w:val="single" w:sz="8" w:color="CCEEFF"/>
            </w:tcBorders>
            <w:shd w:val="clear" w:color="auto" w:fill="CCEEFF"/>
          </w:tcPr>
          <w:p>
            <w:pPr>
              <w:spacing w:after="0"/>
              <w:rPr>
                <w:sz w:val="21"/>
                <w:szCs w:val="21"/>
                <w:color w:val="auto"/>
              </w:rPr>
            </w:pPr>
          </w:p>
        </w:tc>
        <w:tc>
          <w:tcPr>
            <w:tcW w:w="1120" w:type="dxa"/>
            <w:vAlign w:val="bottom"/>
            <w:tcBorders>
              <w:top w:val="single" w:sz="8" w:color="auto"/>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11.0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120" w:type="dxa"/>
            <w:vAlign w:val="bottom"/>
            <w:tcBorders>
              <w:top w:val="single" w:sz="8" w:color="auto"/>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3,792</w:t>
            </w:r>
          </w:p>
        </w:tc>
        <w:tc>
          <w:tcPr>
            <w:tcW w:w="360" w:type="dxa"/>
            <w:vAlign w:val="bottom"/>
            <w:tcBorders>
              <w:top w:val="single" w:sz="8" w:color="CCEEFF"/>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900" w:type="dxa"/>
            <w:vAlign w:val="bottom"/>
            <w:tcBorders>
              <w:top w:val="single" w:sz="8" w:color="CCEEFF"/>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343.68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140" w:type="dxa"/>
            <w:vAlign w:val="bottom"/>
            <w:tcBorders>
              <w:top w:val="single" w:sz="8" w:color="auto"/>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3,396</w:t>
            </w:r>
          </w:p>
        </w:tc>
        <w:tc>
          <w:tcPr>
            <w:tcW w:w="340" w:type="dxa"/>
            <w:vAlign w:val="bottom"/>
            <w:tcBorders>
              <w:top w:val="single" w:sz="8" w:color="CCEEFF"/>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900" w:type="dxa"/>
            <w:vAlign w:val="bottom"/>
            <w:tcBorders>
              <w:top w:val="single" w:sz="8" w:color="CCEEFF"/>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307.84</w:t>
            </w:r>
          </w:p>
        </w:tc>
        <w:tc>
          <w:tcPr>
            <w:tcW w:w="1300" w:type="dxa"/>
            <w:vAlign w:val="bottom"/>
            <w:tcBorders>
              <w:top w:val="single" w:sz="8" w:color="CCEEFF"/>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89.6%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44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700" w:type="dxa"/>
            <w:vAlign w:val="bottom"/>
            <w:tcBorders>
              <w:top w:val="single" w:sz="8" w:color="auto"/>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396</w:t>
            </w:r>
          </w:p>
        </w:tc>
        <w:tc>
          <w:tcPr>
            <w:tcW w:w="0" w:type="dxa"/>
            <w:vAlign w:val="bottom"/>
          </w:tcPr>
          <w:p>
            <w:pPr>
              <w:spacing w:after="0"/>
              <w:rPr>
                <w:sz w:val="1"/>
                <w:szCs w:val="1"/>
                <w:color w:val="auto"/>
              </w:rPr>
            </w:pPr>
          </w:p>
        </w:tc>
      </w:tr>
      <w:tr>
        <w:trPr>
          <w:trHeight w:val="20"/>
        </w:trPr>
        <w:tc>
          <w:tcPr>
            <w:tcW w:w="204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16" w:right="239" w:bottom="1440" w:gutter="0" w:footer="0" w:header="0"/>
        </w:sectPr>
      </w:pPr>
    </w:p>
    <w:p>
      <w:pPr>
        <w:spacing w:after="0" w:line="128" w:lineRule="exact"/>
        <w:rPr>
          <w:sz w:val="20"/>
          <w:szCs w:val="20"/>
          <w:color w:val="auto"/>
        </w:rPr>
      </w:pPr>
    </w:p>
    <w:p>
      <w:pPr>
        <w:ind w:left="7860"/>
        <w:spacing w:after="0"/>
        <w:rPr>
          <w:sz w:val="20"/>
          <w:szCs w:val="20"/>
          <w:color w:val="auto"/>
        </w:rPr>
      </w:pPr>
      <w:r>
        <w:rPr>
          <w:rFonts w:ascii="Arial" w:cs="Arial" w:eastAsia="Arial" w:hAnsi="Arial"/>
          <w:sz w:val="18"/>
          <w:szCs w:val="18"/>
          <w:color w:val="auto"/>
        </w:rPr>
        <w:t>Molina Healthcare, Inc. 2017 Form 10-Q | 49</w:t>
      </w:r>
    </w:p>
    <w:p>
      <w:pPr>
        <w:sectPr>
          <w:pgSz w:w="11900" w:h="16838" w:orient="portrait"/>
          <w:cols w:equalWidth="0" w:num="1">
            <w:col w:w="11420"/>
          </w:cols>
          <w:pgMar w:left="240" w:top="116" w:right="239" w:bottom="1440" w:gutter="0" w:footer="0" w:header="0"/>
          <w:type w:val="continuous"/>
        </w:sectPr>
      </w:pPr>
    </w:p>
    <w:bookmarkStart w:id="49" w:name="page50"/>
    <w:bookmarkEnd w:id="4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tbl>
      <w:tblPr>
        <w:tblLayout w:type="fixed"/>
        <w:tblInd w:w="40" w:type="dxa"/>
        <w:tblCellMar>
          <w:top w:w="0" w:type="dxa"/>
          <w:left w:w="0" w:type="dxa"/>
          <w:bottom w:w="0" w:type="dxa"/>
          <w:right w:w="0" w:type="dxa"/>
        </w:tblCellMar>
      </w:tblPr>
      <w:tr>
        <w:trPr>
          <w:trHeight w:val="203"/>
        </w:trPr>
        <w:tc>
          <w:tcPr>
            <w:tcW w:w="2040" w:type="dxa"/>
            <w:vAlign w:val="bottom"/>
          </w:tcPr>
          <w:p>
            <w:pPr>
              <w:spacing w:after="0"/>
              <w:rPr>
                <w:sz w:val="17"/>
                <w:szCs w:val="17"/>
                <w:color w:val="auto"/>
              </w:rPr>
            </w:pPr>
          </w:p>
        </w:tc>
        <w:tc>
          <w:tcPr>
            <w:tcW w:w="11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3720" w:type="dxa"/>
            <w:vAlign w:val="bottom"/>
            <w:tcBorders>
              <w:bottom w:val="single" w:sz="8" w:color="auto"/>
            </w:tcBorders>
            <w:gridSpan w:val="7"/>
          </w:tcPr>
          <w:p>
            <w:pPr>
              <w:jc w:val="right"/>
              <w:ind w:right="660"/>
              <w:spacing w:after="0"/>
              <w:rPr>
                <w:sz w:val="20"/>
                <w:szCs w:val="20"/>
                <w:color w:val="auto"/>
              </w:rPr>
            </w:pPr>
            <w:r>
              <w:rPr>
                <w:rFonts w:ascii="Arial" w:cs="Arial" w:eastAsia="Arial" w:hAnsi="Arial"/>
                <w:sz w:val="14"/>
                <w:szCs w:val="14"/>
                <w:b w:val="1"/>
                <w:bCs w:val="1"/>
                <w:color w:val="auto"/>
              </w:rPr>
              <w:t>Nine Months Ended September 30, 2017</w:t>
            </w:r>
          </w:p>
        </w:tc>
        <w:tc>
          <w:tcPr>
            <w:tcW w:w="10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64"/>
        </w:trPr>
        <w:tc>
          <w:tcPr>
            <w:tcW w:w="2040" w:type="dxa"/>
            <w:vAlign w:val="bottom"/>
          </w:tcPr>
          <w:p>
            <w:pPr>
              <w:spacing w:after="0"/>
              <w:rPr>
                <w:sz w:val="22"/>
                <w:szCs w:val="22"/>
                <w:color w:val="auto"/>
              </w:rPr>
            </w:pPr>
          </w:p>
        </w:tc>
        <w:tc>
          <w:tcPr>
            <w:tcW w:w="1240" w:type="dxa"/>
            <w:vAlign w:val="bottom"/>
            <w:gridSpan w:val="2"/>
            <w:vMerge w:val="restart"/>
          </w:tcPr>
          <w:p>
            <w:pPr>
              <w:ind w:left="300"/>
              <w:spacing w:after="0"/>
              <w:rPr>
                <w:sz w:val="20"/>
                <w:szCs w:val="20"/>
                <w:color w:val="auto"/>
              </w:rPr>
            </w:pPr>
            <w:r>
              <w:rPr>
                <w:rFonts w:ascii="Arial" w:cs="Arial" w:eastAsia="Arial" w:hAnsi="Arial"/>
                <w:sz w:val="14"/>
                <w:szCs w:val="14"/>
                <w:b w:val="1"/>
                <w:bCs w:val="1"/>
                <w:color w:val="auto"/>
              </w:rPr>
              <w:t>Member</w:t>
            </w:r>
          </w:p>
        </w:tc>
        <w:tc>
          <w:tcPr>
            <w:tcW w:w="340" w:type="dxa"/>
            <w:vAlign w:val="bottom"/>
          </w:tcPr>
          <w:p>
            <w:pPr>
              <w:spacing w:after="0"/>
              <w:rPr>
                <w:sz w:val="22"/>
                <w:szCs w:val="22"/>
                <w:color w:val="auto"/>
              </w:rPr>
            </w:pPr>
          </w:p>
        </w:tc>
        <w:tc>
          <w:tcPr>
            <w:tcW w:w="2480" w:type="dxa"/>
            <w:vAlign w:val="bottom"/>
            <w:gridSpan w:val="5"/>
          </w:tcPr>
          <w:p>
            <w:pPr>
              <w:ind w:left="400"/>
              <w:spacing w:after="0"/>
              <w:rPr>
                <w:sz w:val="20"/>
                <w:szCs w:val="20"/>
                <w:color w:val="auto"/>
              </w:rPr>
            </w:pPr>
            <w:r>
              <w:rPr>
                <w:rFonts w:ascii="Arial" w:cs="Arial" w:eastAsia="Arial" w:hAnsi="Arial"/>
                <w:sz w:val="14"/>
                <w:szCs w:val="14"/>
                <w:b w:val="1"/>
                <w:bCs w:val="1"/>
                <w:color w:val="auto"/>
              </w:rPr>
              <w:t>Premium Revenue</w:t>
            </w:r>
          </w:p>
        </w:tc>
        <w:tc>
          <w:tcPr>
            <w:tcW w:w="340" w:type="dxa"/>
            <w:vAlign w:val="bottom"/>
          </w:tcPr>
          <w:p>
            <w:pPr>
              <w:spacing w:after="0"/>
              <w:rPr>
                <w:sz w:val="22"/>
                <w:szCs w:val="22"/>
                <w:color w:val="auto"/>
              </w:rPr>
            </w:pPr>
          </w:p>
        </w:tc>
        <w:tc>
          <w:tcPr>
            <w:tcW w:w="2380" w:type="dxa"/>
            <w:vAlign w:val="bottom"/>
            <w:gridSpan w:val="4"/>
          </w:tcPr>
          <w:p>
            <w:pPr>
              <w:jc w:val="right"/>
              <w:ind w:right="600"/>
              <w:spacing w:after="0"/>
              <w:rPr>
                <w:sz w:val="20"/>
                <w:szCs w:val="20"/>
                <w:color w:val="auto"/>
              </w:rPr>
            </w:pPr>
            <w:r>
              <w:rPr>
                <w:rFonts w:ascii="Arial" w:cs="Arial" w:eastAsia="Arial" w:hAnsi="Arial"/>
                <w:sz w:val="14"/>
                <w:szCs w:val="14"/>
                <w:b w:val="1"/>
                <w:bCs w:val="1"/>
                <w:color w:val="auto"/>
              </w:rPr>
              <w:t>Medical Care Costs</w:t>
            </w:r>
          </w:p>
        </w:tc>
        <w:tc>
          <w:tcPr>
            <w:tcW w:w="10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0"/>
        </w:trPr>
        <w:tc>
          <w:tcPr>
            <w:tcW w:w="204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340" w:type="dxa"/>
            <w:vAlign w:val="bottom"/>
            <w:tcBorders>
              <w:top w:val="single" w:sz="8" w:color="auto"/>
            </w:tcBorders>
          </w:tcPr>
          <w:p>
            <w:pPr>
              <w:spacing w:after="0"/>
              <w:rPr>
                <w:sz w:val="5"/>
                <w:szCs w:val="5"/>
                <w:color w:val="auto"/>
              </w:rPr>
            </w:pPr>
          </w:p>
        </w:tc>
        <w:tc>
          <w:tcPr>
            <w:tcW w:w="1120" w:type="dxa"/>
            <w:vAlign w:val="bottom"/>
            <w:tcBorders>
              <w:top w:val="single" w:sz="8" w:color="auto"/>
            </w:tcBorders>
          </w:tcPr>
          <w:p>
            <w:pPr>
              <w:spacing w:after="0"/>
              <w:rPr>
                <w:sz w:val="5"/>
                <w:szCs w:val="5"/>
                <w:color w:val="auto"/>
              </w:rPr>
            </w:pPr>
          </w:p>
        </w:tc>
        <w:tc>
          <w:tcPr>
            <w:tcW w:w="120" w:type="dxa"/>
            <w:vAlign w:val="bottom"/>
            <w:tcBorders>
              <w:top w:val="single" w:sz="8" w:color="auto"/>
            </w:tcBorders>
          </w:tcPr>
          <w:p>
            <w:pPr>
              <w:spacing w:after="0"/>
              <w:rPr>
                <w:sz w:val="5"/>
                <w:szCs w:val="5"/>
                <w:color w:val="auto"/>
              </w:rPr>
            </w:pPr>
          </w:p>
        </w:tc>
        <w:tc>
          <w:tcPr>
            <w:tcW w:w="240" w:type="dxa"/>
            <w:vAlign w:val="bottom"/>
            <w:tcBorders>
              <w:top w:val="single" w:sz="8" w:color="auto"/>
            </w:tcBorders>
          </w:tcPr>
          <w:p>
            <w:pPr>
              <w:spacing w:after="0"/>
              <w:rPr>
                <w:sz w:val="5"/>
                <w:szCs w:val="5"/>
                <w:color w:val="auto"/>
              </w:rPr>
            </w:pPr>
          </w:p>
        </w:tc>
        <w:tc>
          <w:tcPr>
            <w:tcW w:w="900" w:type="dxa"/>
            <w:vAlign w:val="bottom"/>
            <w:tcBorders>
              <w:top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340" w:type="dxa"/>
            <w:vAlign w:val="bottom"/>
            <w:tcBorders>
              <w:top w:val="single" w:sz="8" w:color="auto"/>
            </w:tcBorders>
          </w:tcPr>
          <w:p>
            <w:pPr>
              <w:spacing w:after="0"/>
              <w:rPr>
                <w:sz w:val="5"/>
                <w:szCs w:val="5"/>
                <w:color w:val="auto"/>
              </w:rPr>
            </w:pPr>
          </w:p>
        </w:tc>
        <w:tc>
          <w:tcPr>
            <w:tcW w:w="1140" w:type="dxa"/>
            <w:vAlign w:val="bottom"/>
            <w:tcBorders>
              <w:top w:val="single" w:sz="8" w:color="auto"/>
            </w:tcBorders>
          </w:tcPr>
          <w:p>
            <w:pPr>
              <w:spacing w:after="0"/>
              <w:rPr>
                <w:sz w:val="5"/>
                <w:szCs w:val="5"/>
                <w:color w:val="auto"/>
              </w:rPr>
            </w:pPr>
          </w:p>
        </w:tc>
        <w:tc>
          <w:tcPr>
            <w:tcW w:w="100" w:type="dxa"/>
            <w:vAlign w:val="bottom"/>
            <w:tcBorders>
              <w:top w:val="single" w:sz="8" w:color="auto"/>
            </w:tcBorders>
          </w:tcPr>
          <w:p>
            <w:pPr>
              <w:spacing w:after="0"/>
              <w:rPr>
                <w:sz w:val="5"/>
                <w:szCs w:val="5"/>
                <w:color w:val="auto"/>
              </w:rPr>
            </w:pPr>
          </w:p>
        </w:tc>
        <w:tc>
          <w:tcPr>
            <w:tcW w:w="240" w:type="dxa"/>
            <w:vAlign w:val="bottom"/>
            <w:tcBorders>
              <w:top w:val="single" w:sz="8" w:color="auto"/>
            </w:tcBorders>
          </w:tcPr>
          <w:p>
            <w:pPr>
              <w:spacing w:after="0"/>
              <w:rPr>
                <w:sz w:val="5"/>
                <w:szCs w:val="5"/>
                <w:color w:val="auto"/>
              </w:rPr>
            </w:pPr>
          </w:p>
        </w:tc>
        <w:tc>
          <w:tcPr>
            <w:tcW w:w="900" w:type="dxa"/>
            <w:vAlign w:val="bottom"/>
            <w:tcBorders>
              <w:top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1200" w:type="dxa"/>
            <w:vAlign w:val="bottom"/>
          </w:tcPr>
          <w:p>
            <w:pPr>
              <w:spacing w:after="0"/>
              <w:rPr>
                <w:sz w:val="5"/>
                <w:szCs w:val="5"/>
                <w:color w:val="auto"/>
              </w:rPr>
            </w:pPr>
          </w:p>
        </w:tc>
        <w:tc>
          <w:tcPr>
            <w:tcW w:w="100" w:type="dxa"/>
            <w:vAlign w:val="bottom"/>
          </w:tcPr>
          <w:p>
            <w:pPr>
              <w:spacing w:after="0"/>
              <w:rPr>
                <w:sz w:val="5"/>
                <w:szCs w:val="5"/>
                <w:color w:val="auto"/>
              </w:rPr>
            </w:pPr>
          </w:p>
        </w:tc>
        <w:tc>
          <w:tcPr>
            <w:tcW w:w="380" w:type="dxa"/>
            <w:vAlign w:val="bottom"/>
          </w:tcPr>
          <w:p>
            <w:pPr>
              <w:spacing w:after="0"/>
              <w:rPr>
                <w:sz w:val="5"/>
                <w:szCs w:val="5"/>
                <w:color w:val="auto"/>
              </w:rPr>
            </w:pPr>
          </w:p>
        </w:tc>
        <w:tc>
          <w:tcPr>
            <w:tcW w:w="7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3"/>
        </w:trPr>
        <w:tc>
          <w:tcPr>
            <w:tcW w:w="2040" w:type="dxa"/>
            <w:vAlign w:val="bottom"/>
            <w:tcBorders>
              <w:bottom w:val="single" w:sz="8" w:color="CCEEFF"/>
            </w:tcBorders>
          </w:tcPr>
          <w:p>
            <w:pPr>
              <w:spacing w:after="0"/>
              <w:rPr>
                <w:sz w:val="17"/>
                <w:szCs w:val="17"/>
                <w:color w:val="auto"/>
              </w:rPr>
            </w:pPr>
          </w:p>
        </w:tc>
        <w:tc>
          <w:tcPr>
            <w:tcW w:w="1120" w:type="dxa"/>
            <w:vAlign w:val="bottom"/>
            <w:tcBorders>
              <w:bottom w:val="single" w:sz="8" w:color="auto"/>
            </w:tcBorders>
          </w:tcPr>
          <w:p>
            <w:pPr>
              <w:ind w:left="320"/>
              <w:spacing w:after="0"/>
              <w:rPr>
                <w:sz w:val="20"/>
                <w:szCs w:val="20"/>
                <w:color w:val="auto"/>
              </w:rPr>
            </w:pPr>
            <w:r>
              <w:rPr>
                <w:rFonts w:ascii="Arial" w:cs="Arial" w:eastAsia="Arial" w:hAnsi="Arial"/>
                <w:sz w:val="14"/>
                <w:szCs w:val="14"/>
                <w:b w:val="1"/>
                <w:bCs w:val="1"/>
                <w:color w:val="auto"/>
              </w:rPr>
              <w:t>Months</w:t>
            </w:r>
          </w:p>
        </w:tc>
        <w:tc>
          <w:tcPr>
            <w:tcW w:w="12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480"/>
              <w:spacing w:after="0"/>
              <w:rPr>
                <w:sz w:val="20"/>
                <w:szCs w:val="20"/>
                <w:color w:val="auto"/>
              </w:rPr>
            </w:pPr>
            <w:r>
              <w:rPr>
                <w:rFonts w:ascii="Arial" w:cs="Arial" w:eastAsia="Arial" w:hAnsi="Arial"/>
                <w:sz w:val="14"/>
                <w:szCs w:val="14"/>
                <w:b w:val="1"/>
                <w:bCs w:val="1"/>
                <w:color w:val="auto"/>
              </w:rPr>
              <w:t>Total</w:t>
            </w:r>
          </w:p>
        </w:tc>
        <w:tc>
          <w:tcPr>
            <w:tcW w:w="12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280"/>
              <w:spacing w:after="0"/>
              <w:rPr>
                <w:sz w:val="20"/>
                <w:szCs w:val="20"/>
                <w:color w:val="auto"/>
              </w:rPr>
            </w:pPr>
            <w:r>
              <w:rPr>
                <w:rFonts w:ascii="Arial" w:cs="Arial" w:eastAsia="Arial" w:hAnsi="Arial"/>
                <w:sz w:val="14"/>
                <w:szCs w:val="14"/>
                <w:b w:val="1"/>
                <w:bCs w:val="1"/>
                <w:color w:val="auto"/>
              </w:rPr>
              <w:t>PMPM</w:t>
            </w: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500"/>
              <w:spacing w:after="0"/>
              <w:rPr>
                <w:sz w:val="20"/>
                <w:szCs w:val="20"/>
                <w:color w:val="auto"/>
              </w:rPr>
            </w:pPr>
            <w:r>
              <w:rPr>
                <w:rFonts w:ascii="Arial" w:cs="Arial" w:eastAsia="Arial" w:hAnsi="Arial"/>
                <w:sz w:val="14"/>
                <w:szCs w:val="14"/>
                <w:b w:val="1"/>
                <w:bCs w:val="1"/>
                <w:color w:val="auto"/>
              </w:rPr>
              <w:t>Total</w:t>
            </w:r>
          </w:p>
        </w:tc>
        <w:tc>
          <w:tcPr>
            <w:tcW w:w="10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280"/>
              <w:spacing w:after="0"/>
              <w:rPr>
                <w:sz w:val="20"/>
                <w:szCs w:val="20"/>
                <w:color w:val="auto"/>
              </w:rPr>
            </w:pPr>
            <w:r>
              <w:rPr>
                <w:rFonts w:ascii="Arial" w:cs="Arial" w:eastAsia="Arial" w:hAnsi="Arial"/>
                <w:sz w:val="14"/>
                <w:szCs w:val="14"/>
                <w:b w:val="1"/>
                <w:bCs w:val="1"/>
                <w:color w:val="auto"/>
              </w:rPr>
              <w:t>PMPM</w:t>
            </w:r>
          </w:p>
        </w:tc>
        <w:tc>
          <w:tcPr>
            <w:tcW w:w="100" w:type="dxa"/>
            <w:vAlign w:val="bottom"/>
            <w:tcBorders>
              <w:bottom w:val="single" w:sz="8" w:color="CCEEFF"/>
            </w:tcBorders>
          </w:tcPr>
          <w:p>
            <w:pPr>
              <w:spacing w:after="0"/>
              <w:rPr>
                <w:sz w:val="17"/>
                <w:szCs w:val="17"/>
                <w:color w:val="auto"/>
              </w:rPr>
            </w:pPr>
          </w:p>
        </w:tc>
        <w:tc>
          <w:tcPr>
            <w:tcW w:w="1200" w:type="dxa"/>
            <w:vAlign w:val="bottom"/>
            <w:tcBorders>
              <w:bottom w:val="single" w:sz="8" w:color="auto"/>
            </w:tcBorders>
          </w:tcPr>
          <w:p>
            <w:pPr>
              <w:jc w:val="right"/>
              <w:ind w:right="363"/>
              <w:spacing w:after="0"/>
              <w:rPr>
                <w:sz w:val="20"/>
                <w:szCs w:val="20"/>
                <w:color w:val="auto"/>
              </w:rPr>
            </w:pPr>
            <w:r>
              <w:rPr>
                <w:rFonts w:ascii="Arial" w:cs="Arial" w:eastAsia="Arial" w:hAnsi="Arial"/>
                <w:sz w:val="14"/>
                <w:szCs w:val="14"/>
                <w:b w:val="1"/>
                <w:bCs w:val="1"/>
                <w:color w:val="auto"/>
              </w:rPr>
              <w:t>MCR</w:t>
            </w:r>
          </w:p>
        </w:tc>
        <w:tc>
          <w:tcPr>
            <w:tcW w:w="100" w:type="dxa"/>
            <w:vAlign w:val="bottom"/>
            <w:tcBorders>
              <w:bottom w:val="single" w:sz="8" w:color="CCEEFF"/>
            </w:tcBorders>
          </w:tcPr>
          <w:p>
            <w:pPr>
              <w:spacing w:after="0"/>
              <w:rPr>
                <w:sz w:val="17"/>
                <w:szCs w:val="17"/>
                <w:color w:val="auto"/>
              </w:rPr>
            </w:pPr>
          </w:p>
        </w:tc>
        <w:tc>
          <w:tcPr>
            <w:tcW w:w="114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Medical Margin</w:t>
            </w:r>
          </w:p>
        </w:tc>
        <w:tc>
          <w:tcPr>
            <w:tcW w:w="0" w:type="dxa"/>
            <w:vAlign w:val="bottom"/>
          </w:tcPr>
          <w:p>
            <w:pPr>
              <w:spacing w:after="0"/>
              <w:rPr>
                <w:sz w:val="1"/>
                <w:szCs w:val="1"/>
                <w:color w:val="auto"/>
              </w:rPr>
            </w:pPr>
          </w:p>
        </w:tc>
      </w:tr>
      <w:tr>
        <w:trPr>
          <w:trHeight w:val="251"/>
        </w:trPr>
        <w:tc>
          <w:tcPr>
            <w:tcW w:w="204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California</w:t>
            </w:r>
          </w:p>
        </w:tc>
        <w:tc>
          <w:tcPr>
            <w:tcW w:w="112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5.6</w:t>
            </w:r>
          </w:p>
        </w:tc>
        <w:tc>
          <w:tcPr>
            <w:tcW w:w="120" w:type="dxa"/>
            <w:vAlign w:val="bottom"/>
            <w:shd w:val="clear" w:color="auto" w:fill="CCEEFF"/>
          </w:tcPr>
          <w:p>
            <w:pPr>
              <w:spacing w:after="0"/>
              <w:rPr>
                <w:sz w:val="21"/>
                <w:szCs w:val="21"/>
                <w:color w:val="auto"/>
              </w:rPr>
            </w:pPr>
          </w:p>
        </w:tc>
        <w:tc>
          <w:tcPr>
            <w:tcW w:w="3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12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1,771</w:t>
            </w:r>
          </w:p>
        </w:tc>
        <w:tc>
          <w:tcPr>
            <w:tcW w:w="3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90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316.83</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14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1,586</w:t>
            </w:r>
          </w:p>
        </w:tc>
        <w:tc>
          <w:tcPr>
            <w:tcW w:w="3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90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283.82</w:t>
            </w: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89.6%</w:t>
            </w:r>
          </w:p>
        </w:tc>
        <w:tc>
          <w:tcPr>
            <w:tcW w:w="100" w:type="dxa"/>
            <w:vAlign w:val="bottom"/>
            <w:shd w:val="clear" w:color="auto" w:fill="CCEEFF"/>
          </w:tcPr>
          <w:p>
            <w:pPr>
              <w:spacing w:after="0"/>
              <w:rPr>
                <w:sz w:val="21"/>
                <w:szCs w:val="21"/>
                <w:color w:val="auto"/>
              </w:rPr>
            </w:pPr>
          </w:p>
        </w:tc>
        <w:tc>
          <w:tcPr>
            <w:tcW w:w="38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7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185</w:t>
            </w:r>
          </w:p>
        </w:tc>
        <w:tc>
          <w:tcPr>
            <w:tcW w:w="0" w:type="dxa"/>
            <w:vAlign w:val="bottom"/>
          </w:tcPr>
          <w:p>
            <w:pPr>
              <w:spacing w:after="0"/>
              <w:rPr>
                <w:sz w:val="1"/>
                <w:szCs w:val="1"/>
                <w:color w:val="auto"/>
              </w:rPr>
            </w:pPr>
          </w:p>
        </w:tc>
      </w:tr>
      <w:tr>
        <w:trPr>
          <w:trHeight w:val="262"/>
        </w:trPr>
        <w:tc>
          <w:tcPr>
            <w:tcW w:w="2040" w:type="dxa"/>
            <w:vAlign w:val="bottom"/>
          </w:tcPr>
          <w:p>
            <w:pPr>
              <w:ind w:left="20"/>
              <w:spacing w:after="0"/>
              <w:rPr>
                <w:sz w:val="20"/>
                <w:szCs w:val="20"/>
                <w:color w:val="auto"/>
              </w:rPr>
            </w:pPr>
            <w:r>
              <w:rPr>
                <w:rFonts w:ascii="Arial" w:cs="Arial" w:eastAsia="Arial" w:hAnsi="Arial"/>
                <w:sz w:val="16"/>
                <w:szCs w:val="16"/>
                <w:color w:val="auto"/>
              </w:rPr>
              <w:t>Florida</w:t>
            </w:r>
          </w:p>
        </w:tc>
        <w:tc>
          <w:tcPr>
            <w:tcW w:w="1120" w:type="dxa"/>
            <w:vAlign w:val="bottom"/>
          </w:tcPr>
          <w:p>
            <w:pPr>
              <w:jc w:val="right"/>
              <w:ind w:right="20"/>
              <w:spacing w:after="0"/>
              <w:rPr>
                <w:sz w:val="20"/>
                <w:szCs w:val="20"/>
                <w:color w:val="auto"/>
              </w:rPr>
            </w:pPr>
            <w:r>
              <w:rPr>
                <w:rFonts w:ascii="Arial" w:cs="Arial" w:eastAsia="Arial" w:hAnsi="Arial"/>
                <w:sz w:val="16"/>
                <w:szCs w:val="16"/>
                <w:color w:val="auto"/>
              </w:rPr>
              <w:t>3.2</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20" w:type="dxa"/>
            <w:vAlign w:val="bottom"/>
          </w:tcPr>
          <w:p>
            <w:pPr>
              <w:jc w:val="right"/>
              <w:ind w:right="20"/>
              <w:spacing w:after="0"/>
              <w:rPr>
                <w:sz w:val="20"/>
                <w:szCs w:val="20"/>
                <w:color w:val="auto"/>
              </w:rPr>
            </w:pPr>
            <w:r>
              <w:rPr>
                <w:rFonts w:ascii="Arial" w:cs="Arial" w:eastAsia="Arial" w:hAnsi="Arial"/>
                <w:sz w:val="16"/>
                <w:szCs w:val="16"/>
                <w:color w:val="auto"/>
              </w:rPr>
              <w:t>1,132</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00" w:type="dxa"/>
            <w:vAlign w:val="bottom"/>
          </w:tcPr>
          <w:p>
            <w:pPr>
              <w:jc w:val="right"/>
              <w:ind w:right="40"/>
              <w:spacing w:after="0"/>
              <w:rPr>
                <w:sz w:val="20"/>
                <w:szCs w:val="20"/>
                <w:color w:val="auto"/>
              </w:rPr>
            </w:pPr>
            <w:r>
              <w:rPr>
                <w:rFonts w:ascii="Arial" w:cs="Arial" w:eastAsia="Arial" w:hAnsi="Arial"/>
                <w:sz w:val="16"/>
                <w:szCs w:val="16"/>
                <w:color w:val="auto"/>
              </w:rPr>
              <w:t>347.41</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jc w:val="right"/>
              <w:ind w:right="40"/>
              <w:spacing w:after="0"/>
              <w:rPr>
                <w:sz w:val="20"/>
                <w:szCs w:val="20"/>
                <w:color w:val="auto"/>
              </w:rPr>
            </w:pPr>
            <w:r>
              <w:rPr>
                <w:rFonts w:ascii="Arial" w:cs="Arial" w:eastAsia="Arial" w:hAnsi="Arial"/>
                <w:sz w:val="16"/>
                <w:szCs w:val="16"/>
                <w:color w:val="auto"/>
              </w:rPr>
              <w:t>1,112</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00" w:type="dxa"/>
            <w:vAlign w:val="bottom"/>
          </w:tcPr>
          <w:p>
            <w:pPr>
              <w:jc w:val="right"/>
              <w:ind w:right="40"/>
              <w:spacing w:after="0"/>
              <w:rPr>
                <w:sz w:val="20"/>
                <w:szCs w:val="20"/>
                <w:color w:val="auto"/>
              </w:rPr>
            </w:pPr>
            <w:r>
              <w:rPr>
                <w:rFonts w:ascii="Arial" w:cs="Arial" w:eastAsia="Arial" w:hAnsi="Arial"/>
                <w:sz w:val="16"/>
                <w:szCs w:val="16"/>
                <w:color w:val="auto"/>
              </w:rPr>
              <w:t>341.15</w:t>
            </w:r>
          </w:p>
        </w:tc>
        <w:tc>
          <w:tcPr>
            <w:tcW w:w="1300" w:type="dxa"/>
            <w:vAlign w:val="bottom"/>
            <w:gridSpan w:val="2"/>
          </w:tcPr>
          <w:p>
            <w:pPr>
              <w:jc w:val="right"/>
              <w:ind w:right="103"/>
              <w:spacing w:after="0"/>
              <w:rPr>
                <w:sz w:val="20"/>
                <w:szCs w:val="20"/>
                <w:color w:val="auto"/>
              </w:rPr>
            </w:pPr>
            <w:r>
              <w:rPr>
                <w:rFonts w:ascii="Arial" w:cs="Arial" w:eastAsia="Arial" w:hAnsi="Arial"/>
                <w:sz w:val="16"/>
                <w:szCs w:val="16"/>
                <w:color w:val="auto"/>
              </w:rPr>
              <w:t>98.2</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760" w:type="dxa"/>
            <w:vAlign w:val="bottom"/>
          </w:tcPr>
          <w:p>
            <w:pPr>
              <w:jc w:val="right"/>
              <w:ind w:right="39"/>
              <w:spacing w:after="0"/>
              <w:rPr>
                <w:sz w:val="20"/>
                <w:szCs w:val="20"/>
                <w:color w:val="auto"/>
              </w:rPr>
            </w:pPr>
            <w:r>
              <w:rPr>
                <w:rFonts w:ascii="Arial" w:cs="Arial" w:eastAsia="Arial" w:hAnsi="Arial"/>
                <w:sz w:val="16"/>
                <w:szCs w:val="16"/>
                <w:color w:val="auto"/>
              </w:rPr>
              <w:t>20</w:t>
            </w:r>
          </w:p>
        </w:tc>
        <w:tc>
          <w:tcPr>
            <w:tcW w:w="0" w:type="dxa"/>
            <w:vAlign w:val="bottom"/>
          </w:tcPr>
          <w:p>
            <w:pPr>
              <w:spacing w:after="0"/>
              <w:rPr>
                <w:sz w:val="1"/>
                <w:szCs w:val="1"/>
                <w:color w:val="auto"/>
              </w:rPr>
            </w:pPr>
          </w:p>
        </w:tc>
      </w:tr>
      <w:tr>
        <w:trPr>
          <w:trHeight w:val="278"/>
        </w:trPr>
        <w:tc>
          <w:tcPr>
            <w:tcW w:w="2040" w:type="dxa"/>
            <w:vAlign w:val="bottom"/>
            <w:shd w:val="clear" w:color="auto" w:fill="CCEEFF"/>
          </w:tcPr>
          <w:p>
            <w:pPr>
              <w:ind w:left="20"/>
              <w:spacing w:after="0"/>
              <w:rPr>
                <w:sz w:val="20"/>
                <w:szCs w:val="20"/>
                <w:color w:val="auto"/>
              </w:rPr>
            </w:pPr>
            <w:r>
              <w:rPr>
                <w:rFonts w:ascii="Arial" w:cs="Arial" w:eastAsia="Arial" w:hAnsi="Arial"/>
                <w:sz w:val="16"/>
                <w:szCs w:val="16"/>
                <w:color w:val="auto"/>
              </w:rPr>
              <w:t>Illinois</w:t>
            </w:r>
          </w:p>
        </w:tc>
        <w:tc>
          <w:tcPr>
            <w:tcW w:w="112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1.6</w:t>
            </w: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447</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284.18</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492</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312.54</w:t>
            </w:r>
          </w:p>
        </w:tc>
        <w:tc>
          <w:tcPr>
            <w:tcW w:w="1300" w:type="dxa"/>
            <w:vAlign w:val="bottom"/>
            <w:gridSpan w:val="2"/>
            <w:shd w:val="clear" w:color="auto" w:fill="CCEEFF"/>
          </w:tcPr>
          <w:p>
            <w:pPr>
              <w:jc w:val="right"/>
              <w:ind w:right="103"/>
              <w:spacing w:after="0"/>
              <w:rPr>
                <w:sz w:val="20"/>
                <w:szCs w:val="20"/>
                <w:color w:val="auto"/>
              </w:rPr>
            </w:pPr>
            <w:r>
              <w:rPr>
                <w:rFonts w:ascii="Arial" w:cs="Arial" w:eastAsia="Arial" w:hAnsi="Arial"/>
                <w:sz w:val="16"/>
                <w:szCs w:val="16"/>
                <w:color w:val="auto"/>
              </w:rPr>
              <w:t>110.0</w:t>
            </w: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w:t>
            </w:r>
          </w:p>
        </w:tc>
        <w:tc>
          <w:tcPr>
            <w:tcW w:w="0" w:type="dxa"/>
            <w:vAlign w:val="bottom"/>
          </w:tcPr>
          <w:p>
            <w:pPr>
              <w:spacing w:after="0"/>
              <w:rPr>
                <w:sz w:val="1"/>
                <w:szCs w:val="1"/>
                <w:color w:val="auto"/>
              </w:rPr>
            </w:pPr>
          </w:p>
        </w:tc>
      </w:tr>
      <w:tr>
        <w:trPr>
          <w:trHeight w:val="262"/>
        </w:trPr>
        <w:tc>
          <w:tcPr>
            <w:tcW w:w="2040" w:type="dxa"/>
            <w:vAlign w:val="bottom"/>
          </w:tcPr>
          <w:p>
            <w:pPr>
              <w:ind w:left="20"/>
              <w:spacing w:after="0"/>
              <w:rPr>
                <w:sz w:val="20"/>
                <w:szCs w:val="20"/>
                <w:color w:val="auto"/>
              </w:rPr>
            </w:pPr>
            <w:r>
              <w:rPr>
                <w:rFonts w:ascii="Arial" w:cs="Arial" w:eastAsia="Arial" w:hAnsi="Arial"/>
                <w:sz w:val="16"/>
                <w:szCs w:val="16"/>
                <w:color w:val="auto"/>
              </w:rPr>
              <w:t>Michigan</w:t>
            </w:r>
          </w:p>
        </w:tc>
        <w:tc>
          <w:tcPr>
            <w:tcW w:w="1120" w:type="dxa"/>
            <w:vAlign w:val="bottom"/>
          </w:tcPr>
          <w:p>
            <w:pPr>
              <w:jc w:val="right"/>
              <w:ind w:right="20"/>
              <w:spacing w:after="0"/>
              <w:rPr>
                <w:sz w:val="20"/>
                <w:szCs w:val="20"/>
                <w:color w:val="auto"/>
              </w:rPr>
            </w:pPr>
            <w:r>
              <w:rPr>
                <w:rFonts w:ascii="Arial" w:cs="Arial" w:eastAsia="Arial" w:hAnsi="Arial"/>
                <w:sz w:val="16"/>
                <w:szCs w:val="16"/>
                <w:color w:val="auto"/>
              </w:rPr>
              <w:t>3.5</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20" w:type="dxa"/>
            <w:vAlign w:val="bottom"/>
          </w:tcPr>
          <w:p>
            <w:pPr>
              <w:jc w:val="right"/>
              <w:ind w:right="20"/>
              <w:spacing w:after="0"/>
              <w:rPr>
                <w:sz w:val="20"/>
                <w:szCs w:val="20"/>
                <w:color w:val="auto"/>
              </w:rPr>
            </w:pPr>
            <w:r>
              <w:rPr>
                <w:rFonts w:ascii="Arial" w:cs="Arial" w:eastAsia="Arial" w:hAnsi="Arial"/>
                <w:sz w:val="16"/>
                <w:szCs w:val="16"/>
                <w:color w:val="auto"/>
              </w:rPr>
              <w:t>1,162</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00" w:type="dxa"/>
            <w:vAlign w:val="bottom"/>
          </w:tcPr>
          <w:p>
            <w:pPr>
              <w:jc w:val="right"/>
              <w:ind w:right="40"/>
              <w:spacing w:after="0"/>
              <w:rPr>
                <w:sz w:val="20"/>
                <w:szCs w:val="20"/>
                <w:color w:val="auto"/>
              </w:rPr>
            </w:pPr>
            <w:r>
              <w:rPr>
                <w:rFonts w:ascii="Arial" w:cs="Arial" w:eastAsia="Arial" w:hAnsi="Arial"/>
                <w:sz w:val="16"/>
                <w:szCs w:val="16"/>
                <w:color w:val="auto"/>
              </w:rPr>
              <w:t>332.60</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jc w:val="right"/>
              <w:ind w:right="40"/>
              <w:spacing w:after="0"/>
              <w:rPr>
                <w:sz w:val="20"/>
                <w:szCs w:val="20"/>
                <w:color w:val="auto"/>
              </w:rPr>
            </w:pPr>
            <w:r>
              <w:rPr>
                <w:rFonts w:ascii="Arial" w:cs="Arial" w:eastAsia="Arial" w:hAnsi="Arial"/>
                <w:sz w:val="16"/>
                <w:szCs w:val="16"/>
                <w:color w:val="auto"/>
              </w:rPr>
              <w:t>1,035</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00" w:type="dxa"/>
            <w:vAlign w:val="bottom"/>
          </w:tcPr>
          <w:p>
            <w:pPr>
              <w:jc w:val="right"/>
              <w:ind w:right="40"/>
              <w:spacing w:after="0"/>
              <w:rPr>
                <w:sz w:val="20"/>
                <w:szCs w:val="20"/>
                <w:color w:val="auto"/>
              </w:rPr>
            </w:pPr>
            <w:r>
              <w:rPr>
                <w:rFonts w:ascii="Arial" w:cs="Arial" w:eastAsia="Arial" w:hAnsi="Arial"/>
                <w:sz w:val="16"/>
                <w:szCs w:val="16"/>
                <w:color w:val="auto"/>
              </w:rPr>
              <w:t>296.28</w:t>
            </w:r>
          </w:p>
        </w:tc>
        <w:tc>
          <w:tcPr>
            <w:tcW w:w="1300" w:type="dxa"/>
            <w:vAlign w:val="bottom"/>
            <w:gridSpan w:val="2"/>
          </w:tcPr>
          <w:p>
            <w:pPr>
              <w:jc w:val="right"/>
              <w:ind w:right="103"/>
              <w:spacing w:after="0"/>
              <w:rPr>
                <w:sz w:val="20"/>
                <w:szCs w:val="20"/>
                <w:color w:val="auto"/>
              </w:rPr>
            </w:pPr>
            <w:r>
              <w:rPr>
                <w:rFonts w:ascii="Arial" w:cs="Arial" w:eastAsia="Arial" w:hAnsi="Arial"/>
                <w:sz w:val="16"/>
                <w:szCs w:val="16"/>
                <w:color w:val="auto"/>
              </w:rPr>
              <w:t>89.1</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760" w:type="dxa"/>
            <w:vAlign w:val="bottom"/>
          </w:tcPr>
          <w:p>
            <w:pPr>
              <w:jc w:val="right"/>
              <w:ind w:right="39"/>
              <w:spacing w:after="0"/>
              <w:rPr>
                <w:sz w:val="20"/>
                <w:szCs w:val="20"/>
                <w:color w:val="auto"/>
              </w:rPr>
            </w:pPr>
            <w:r>
              <w:rPr>
                <w:rFonts w:ascii="Arial" w:cs="Arial" w:eastAsia="Arial" w:hAnsi="Arial"/>
                <w:sz w:val="16"/>
                <w:szCs w:val="16"/>
                <w:color w:val="auto"/>
              </w:rPr>
              <w:t>127</w:t>
            </w:r>
          </w:p>
        </w:tc>
        <w:tc>
          <w:tcPr>
            <w:tcW w:w="0" w:type="dxa"/>
            <w:vAlign w:val="bottom"/>
          </w:tcPr>
          <w:p>
            <w:pPr>
              <w:spacing w:after="0"/>
              <w:rPr>
                <w:sz w:val="1"/>
                <w:szCs w:val="1"/>
                <w:color w:val="auto"/>
              </w:rPr>
            </w:pPr>
          </w:p>
        </w:tc>
      </w:tr>
      <w:tr>
        <w:trPr>
          <w:trHeight w:val="278"/>
        </w:trPr>
        <w:tc>
          <w:tcPr>
            <w:tcW w:w="204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New Mexico</w:t>
            </w:r>
          </w:p>
        </w:tc>
        <w:tc>
          <w:tcPr>
            <w:tcW w:w="112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2.2</w:t>
            </w: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933</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431.70</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887</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410.24</w:t>
            </w:r>
          </w:p>
        </w:tc>
        <w:tc>
          <w:tcPr>
            <w:tcW w:w="1300" w:type="dxa"/>
            <w:vAlign w:val="bottom"/>
            <w:gridSpan w:val="2"/>
            <w:shd w:val="clear" w:color="auto" w:fill="CCEEFF"/>
          </w:tcPr>
          <w:p>
            <w:pPr>
              <w:jc w:val="right"/>
              <w:ind w:right="103"/>
              <w:spacing w:after="0"/>
              <w:rPr>
                <w:sz w:val="20"/>
                <w:szCs w:val="20"/>
                <w:color w:val="auto"/>
              </w:rPr>
            </w:pPr>
            <w:r>
              <w:rPr>
                <w:rFonts w:ascii="Arial" w:cs="Arial" w:eastAsia="Arial" w:hAnsi="Arial"/>
                <w:sz w:val="16"/>
                <w:szCs w:val="16"/>
                <w:color w:val="auto"/>
              </w:rPr>
              <w:t>95.0</w:t>
            </w: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7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46</w:t>
            </w:r>
          </w:p>
        </w:tc>
        <w:tc>
          <w:tcPr>
            <w:tcW w:w="0" w:type="dxa"/>
            <w:vAlign w:val="bottom"/>
          </w:tcPr>
          <w:p>
            <w:pPr>
              <w:spacing w:after="0"/>
              <w:rPr>
                <w:sz w:val="1"/>
                <w:szCs w:val="1"/>
                <w:color w:val="auto"/>
              </w:rPr>
            </w:pPr>
          </w:p>
        </w:tc>
      </w:tr>
      <w:tr>
        <w:trPr>
          <w:trHeight w:val="262"/>
        </w:trPr>
        <w:tc>
          <w:tcPr>
            <w:tcW w:w="2040" w:type="dxa"/>
            <w:vAlign w:val="bottom"/>
          </w:tcPr>
          <w:p>
            <w:pPr>
              <w:ind w:left="20"/>
              <w:spacing w:after="0"/>
              <w:rPr>
                <w:sz w:val="20"/>
                <w:szCs w:val="20"/>
                <w:color w:val="auto"/>
              </w:rPr>
            </w:pPr>
            <w:r>
              <w:rPr>
                <w:rFonts w:ascii="Arial" w:cs="Arial" w:eastAsia="Arial" w:hAnsi="Arial"/>
                <w:sz w:val="16"/>
                <w:szCs w:val="16"/>
                <w:color w:val="auto"/>
              </w:rPr>
              <w:t>New York (3)</w:t>
            </w:r>
          </w:p>
        </w:tc>
        <w:tc>
          <w:tcPr>
            <w:tcW w:w="1120" w:type="dxa"/>
            <w:vAlign w:val="bottom"/>
          </w:tcPr>
          <w:p>
            <w:pPr>
              <w:jc w:val="right"/>
              <w:ind w:right="20"/>
              <w:spacing w:after="0"/>
              <w:rPr>
                <w:sz w:val="20"/>
                <w:szCs w:val="20"/>
                <w:color w:val="auto"/>
              </w:rPr>
            </w:pPr>
            <w:r>
              <w:rPr>
                <w:rFonts w:ascii="Arial" w:cs="Arial" w:eastAsia="Arial" w:hAnsi="Arial"/>
                <w:sz w:val="16"/>
                <w:szCs w:val="16"/>
                <w:color w:val="auto"/>
              </w:rPr>
              <w:t>0.3</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20" w:type="dxa"/>
            <w:vAlign w:val="bottom"/>
          </w:tcPr>
          <w:p>
            <w:pPr>
              <w:jc w:val="right"/>
              <w:ind w:right="20"/>
              <w:spacing w:after="0"/>
              <w:rPr>
                <w:sz w:val="20"/>
                <w:szCs w:val="20"/>
                <w:color w:val="auto"/>
              </w:rPr>
            </w:pPr>
            <w:r>
              <w:rPr>
                <w:rFonts w:ascii="Arial" w:cs="Arial" w:eastAsia="Arial" w:hAnsi="Arial"/>
                <w:sz w:val="16"/>
                <w:szCs w:val="16"/>
                <w:color w:val="auto"/>
              </w:rPr>
              <w:t>135</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00" w:type="dxa"/>
            <w:vAlign w:val="bottom"/>
          </w:tcPr>
          <w:p>
            <w:pPr>
              <w:jc w:val="right"/>
              <w:ind w:right="40"/>
              <w:spacing w:after="0"/>
              <w:rPr>
                <w:sz w:val="20"/>
                <w:szCs w:val="20"/>
                <w:color w:val="auto"/>
              </w:rPr>
            </w:pPr>
            <w:r>
              <w:rPr>
                <w:rFonts w:ascii="Arial" w:cs="Arial" w:eastAsia="Arial" w:hAnsi="Arial"/>
                <w:sz w:val="16"/>
                <w:szCs w:val="16"/>
                <w:color w:val="auto"/>
              </w:rPr>
              <w:t>444.77</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jc w:val="right"/>
              <w:ind w:right="40"/>
              <w:spacing w:after="0"/>
              <w:rPr>
                <w:sz w:val="20"/>
                <w:szCs w:val="20"/>
                <w:color w:val="auto"/>
              </w:rPr>
            </w:pPr>
            <w:r>
              <w:rPr>
                <w:rFonts w:ascii="Arial" w:cs="Arial" w:eastAsia="Arial" w:hAnsi="Arial"/>
                <w:sz w:val="16"/>
                <w:szCs w:val="16"/>
                <w:color w:val="auto"/>
              </w:rPr>
              <w:t>128</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00" w:type="dxa"/>
            <w:vAlign w:val="bottom"/>
          </w:tcPr>
          <w:p>
            <w:pPr>
              <w:jc w:val="right"/>
              <w:ind w:right="40"/>
              <w:spacing w:after="0"/>
              <w:rPr>
                <w:sz w:val="20"/>
                <w:szCs w:val="20"/>
                <w:color w:val="auto"/>
              </w:rPr>
            </w:pPr>
            <w:r>
              <w:rPr>
                <w:rFonts w:ascii="Arial" w:cs="Arial" w:eastAsia="Arial" w:hAnsi="Arial"/>
                <w:sz w:val="16"/>
                <w:szCs w:val="16"/>
                <w:color w:val="auto"/>
              </w:rPr>
              <w:t>421.58</w:t>
            </w:r>
          </w:p>
        </w:tc>
        <w:tc>
          <w:tcPr>
            <w:tcW w:w="1300" w:type="dxa"/>
            <w:vAlign w:val="bottom"/>
            <w:gridSpan w:val="2"/>
          </w:tcPr>
          <w:p>
            <w:pPr>
              <w:jc w:val="right"/>
              <w:ind w:right="103"/>
              <w:spacing w:after="0"/>
              <w:rPr>
                <w:sz w:val="20"/>
                <w:szCs w:val="20"/>
                <w:color w:val="auto"/>
              </w:rPr>
            </w:pPr>
            <w:r>
              <w:rPr>
                <w:rFonts w:ascii="Arial" w:cs="Arial" w:eastAsia="Arial" w:hAnsi="Arial"/>
                <w:sz w:val="16"/>
                <w:szCs w:val="16"/>
                <w:color w:val="auto"/>
              </w:rPr>
              <w:t>94.8</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760" w:type="dxa"/>
            <w:vAlign w:val="bottom"/>
          </w:tcPr>
          <w:p>
            <w:pPr>
              <w:jc w:val="right"/>
              <w:ind w:right="39"/>
              <w:spacing w:after="0"/>
              <w:rPr>
                <w:sz w:val="20"/>
                <w:szCs w:val="20"/>
                <w:color w:val="auto"/>
              </w:rPr>
            </w:pPr>
            <w:r>
              <w:rPr>
                <w:rFonts w:ascii="Arial" w:cs="Arial" w:eastAsia="Arial" w:hAnsi="Arial"/>
                <w:sz w:val="16"/>
                <w:szCs w:val="16"/>
                <w:color w:val="auto"/>
              </w:rPr>
              <w:t>7</w:t>
            </w:r>
          </w:p>
        </w:tc>
        <w:tc>
          <w:tcPr>
            <w:tcW w:w="0" w:type="dxa"/>
            <w:vAlign w:val="bottom"/>
          </w:tcPr>
          <w:p>
            <w:pPr>
              <w:spacing w:after="0"/>
              <w:rPr>
                <w:sz w:val="1"/>
                <w:szCs w:val="1"/>
                <w:color w:val="auto"/>
              </w:rPr>
            </w:pPr>
          </w:p>
        </w:tc>
      </w:tr>
      <w:tr>
        <w:trPr>
          <w:trHeight w:val="278"/>
        </w:trPr>
        <w:tc>
          <w:tcPr>
            <w:tcW w:w="2040" w:type="dxa"/>
            <w:vAlign w:val="bottom"/>
            <w:shd w:val="clear" w:color="auto" w:fill="CCEEFF"/>
          </w:tcPr>
          <w:p>
            <w:pPr>
              <w:ind w:left="20"/>
              <w:spacing w:after="0"/>
              <w:rPr>
                <w:sz w:val="20"/>
                <w:szCs w:val="20"/>
                <w:color w:val="auto"/>
              </w:rPr>
            </w:pPr>
            <w:r>
              <w:rPr>
                <w:rFonts w:ascii="Arial" w:cs="Arial" w:eastAsia="Arial" w:hAnsi="Arial"/>
                <w:sz w:val="16"/>
                <w:szCs w:val="16"/>
                <w:color w:val="auto"/>
              </w:rPr>
              <w:t>Ohio</w:t>
            </w:r>
          </w:p>
        </w:tc>
        <w:tc>
          <w:tcPr>
            <w:tcW w:w="112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2.9</w:t>
            </w: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1,598</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541.56</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1,434</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486.02</w:t>
            </w:r>
          </w:p>
        </w:tc>
        <w:tc>
          <w:tcPr>
            <w:tcW w:w="1300" w:type="dxa"/>
            <w:vAlign w:val="bottom"/>
            <w:gridSpan w:val="2"/>
            <w:shd w:val="clear" w:color="auto" w:fill="CCEEFF"/>
          </w:tcPr>
          <w:p>
            <w:pPr>
              <w:jc w:val="right"/>
              <w:ind w:right="103"/>
              <w:spacing w:after="0"/>
              <w:rPr>
                <w:sz w:val="20"/>
                <w:szCs w:val="20"/>
                <w:color w:val="auto"/>
              </w:rPr>
            </w:pPr>
            <w:r>
              <w:rPr>
                <w:rFonts w:ascii="Arial" w:cs="Arial" w:eastAsia="Arial" w:hAnsi="Arial"/>
                <w:sz w:val="16"/>
                <w:szCs w:val="16"/>
                <w:color w:val="auto"/>
              </w:rPr>
              <w:t>89.7</w:t>
            </w: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7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164</w:t>
            </w:r>
          </w:p>
        </w:tc>
        <w:tc>
          <w:tcPr>
            <w:tcW w:w="0" w:type="dxa"/>
            <w:vAlign w:val="bottom"/>
          </w:tcPr>
          <w:p>
            <w:pPr>
              <w:spacing w:after="0"/>
              <w:rPr>
                <w:sz w:val="1"/>
                <w:szCs w:val="1"/>
                <w:color w:val="auto"/>
              </w:rPr>
            </w:pPr>
          </w:p>
        </w:tc>
      </w:tr>
      <w:tr>
        <w:trPr>
          <w:trHeight w:val="262"/>
        </w:trPr>
        <w:tc>
          <w:tcPr>
            <w:tcW w:w="2040" w:type="dxa"/>
            <w:vAlign w:val="bottom"/>
          </w:tcPr>
          <w:p>
            <w:pPr>
              <w:ind w:left="20"/>
              <w:spacing w:after="0"/>
              <w:rPr>
                <w:sz w:val="20"/>
                <w:szCs w:val="20"/>
                <w:color w:val="auto"/>
              </w:rPr>
            </w:pPr>
            <w:r>
              <w:rPr>
                <w:rFonts w:ascii="Arial" w:cs="Arial" w:eastAsia="Arial" w:hAnsi="Arial"/>
                <w:sz w:val="16"/>
                <w:szCs w:val="16"/>
                <w:color w:val="auto"/>
              </w:rPr>
              <w:t>Puerto Rico</w:t>
            </w:r>
          </w:p>
        </w:tc>
        <w:tc>
          <w:tcPr>
            <w:tcW w:w="1120" w:type="dxa"/>
            <w:vAlign w:val="bottom"/>
          </w:tcPr>
          <w:p>
            <w:pPr>
              <w:jc w:val="right"/>
              <w:ind w:right="20"/>
              <w:spacing w:after="0"/>
              <w:rPr>
                <w:sz w:val="20"/>
                <w:szCs w:val="20"/>
                <w:color w:val="auto"/>
              </w:rPr>
            </w:pPr>
            <w:r>
              <w:rPr>
                <w:rFonts w:ascii="Arial" w:cs="Arial" w:eastAsia="Arial" w:hAnsi="Arial"/>
                <w:sz w:val="16"/>
                <w:szCs w:val="16"/>
                <w:color w:val="auto"/>
              </w:rPr>
              <w:t>2.9</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20" w:type="dxa"/>
            <w:vAlign w:val="bottom"/>
          </w:tcPr>
          <w:p>
            <w:pPr>
              <w:jc w:val="right"/>
              <w:ind w:right="20"/>
              <w:spacing w:after="0"/>
              <w:rPr>
                <w:sz w:val="20"/>
                <w:szCs w:val="20"/>
                <w:color w:val="auto"/>
              </w:rPr>
            </w:pPr>
            <w:r>
              <w:rPr>
                <w:rFonts w:ascii="Arial" w:cs="Arial" w:eastAsia="Arial" w:hAnsi="Arial"/>
                <w:sz w:val="16"/>
                <w:szCs w:val="16"/>
                <w:color w:val="auto"/>
              </w:rPr>
              <w:t>553</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00" w:type="dxa"/>
            <w:vAlign w:val="bottom"/>
          </w:tcPr>
          <w:p>
            <w:pPr>
              <w:jc w:val="right"/>
              <w:ind w:right="40"/>
              <w:spacing w:after="0"/>
              <w:rPr>
                <w:sz w:val="20"/>
                <w:szCs w:val="20"/>
                <w:color w:val="auto"/>
              </w:rPr>
            </w:pPr>
            <w:r>
              <w:rPr>
                <w:rFonts w:ascii="Arial" w:cs="Arial" w:eastAsia="Arial" w:hAnsi="Arial"/>
                <w:sz w:val="16"/>
                <w:szCs w:val="16"/>
                <w:color w:val="auto"/>
              </w:rPr>
              <w:t>190.99</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jc w:val="right"/>
              <w:ind w:right="40"/>
              <w:spacing w:after="0"/>
              <w:rPr>
                <w:sz w:val="20"/>
                <w:szCs w:val="20"/>
                <w:color w:val="auto"/>
              </w:rPr>
            </w:pPr>
            <w:r>
              <w:rPr>
                <w:rFonts w:ascii="Arial" w:cs="Arial" w:eastAsia="Arial" w:hAnsi="Arial"/>
                <w:sz w:val="16"/>
                <w:szCs w:val="16"/>
                <w:color w:val="auto"/>
              </w:rPr>
              <w:t>513</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00" w:type="dxa"/>
            <w:vAlign w:val="bottom"/>
          </w:tcPr>
          <w:p>
            <w:pPr>
              <w:jc w:val="right"/>
              <w:ind w:right="40"/>
              <w:spacing w:after="0"/>
              <w:rPr>
                <w:sz w:val="20"/>
                <w:szCs w:val="20"/>
                <w:color w:val="auto"/>
              </w:rPr>
            </w:pPr>
            <w:r>
              <w:rPr>
                <w:rFonts w:ascii="Arial" w:cs="Arial" w:eastAsia="Arial" w:hAnsi="Arial"/>
                <w:sz w:val="16"/>
                <w:szCs w:val="16"/>
                <w:color w:val="auto"/>
              </w:rPr>
              <w:t>177.01</w:t>
            </w:r>
          </w:p>
        </w:tc>
        <w:tc>
          <w:tcPr>
            <w:tcW w:w="1300" w:type="dxa"/>
            <w:vAlign w:val="bottom"/>
            <w:gridSpan w:val="2"/>
          </w:tcPr>
          <w:p>
            <w:pPr>
              <w:jc w:val="right"/>
              <w:ind w:right="103"/>
              <w:spacing w:after="0"/>
              <w:rPr>
                <w:sz w:val="20"/>
                <w:szCs w:val="20"/>
                <w:color w:val="auto"/>
              </w:rPr>
            </w:pPr>
            <w:r>
              <w:rPr>
                <w:rFonts w:ascii="Arial" w:cs="Arial" w:eastAsia="Arial" w:hAnsi="Arial"/>
                <w:sz w:val="16"/>
                <w:szCs w:val="16"/>
                <w:color w:val="auto"/>
              </w:rPr>
              <w:t>92.7</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760" w:type="dxa"/>
            <w:vAlign w:val="bottom"/>
          </w:tcPr>
          <w:p>
            <w:pPr>
              <w:jc w:val="right"/>
              <w:ind w:right="39"/>
              <w:spacing w:after="0"/>
              <w:rPr>
                <w:sz w:val="20"/>
                <w:szCs w:val="20"/>
                <w:color w:val="auto"/>
              </w:rPr>
            </w:pPr>
            <w:r>
              <w:rPr>
                <w:rFonts w:ascii="Arial" w:cs="Arial" w:eastAsia="Arial" w:hAnsi="Arial"/>
                <w:sz w:val="16"/>
                <w:szCs w:val="16"/>
                <w:color w:val="auto"/>
              </w:rPr>
              <w:t>40</w:t>
            </w:r>
          </w:p>
        </w:tc>
        <w:tc>
          <w:tcPr>
            <w:tcW w:w="0" w:type="dxa"/>
            <w:vAlign w:val="bottom"/>
          </w:tcPr>
          <w:p>
            <w:pPr>
              <w:spacing w:after="0"/>
              <w:rPr>
                <w:sz w:val="1"/>
                <w:szCs w:val="1"/>
                <w:color w:val="auto"/>
              </w:rPr>
            </w:pPr>
          </w:p>
        </w:tc>
      </w:tr>
      <w:tr>
        <w:trPr>
          <w:trHeight w:val="278"/>
        </w:trPr>
        <w:tc>
          <w:tcPr>
            <w:tcW w:w="2040" w:type="dxa"/>
            <w:vAlign w:val="bottom"/>
            <w:shd w:val="clear" w:color="auto" w:fill="CCEEFF"/>
          </w:tcPr>
          <w:p>
            <w:pPr>
              <w:ind w:left="20"/>
              <w:spacing w:after="0"/>
              <w:rPr>
                <w:sz w:val="20"/>
                <w:szCs w:val="20"/>
                <w:color w:val="auto"/>
              </w:rPr>
            </w:pPr>
            <w:r>
              <w:rPr>
                <w:rFonts w:ascii="Arial" w:cs="Arial" w:eastAsia="Arial" w:hAnsi="Arial"/>
                <w:sz w:val="16"/>
                <w:szCs w:val="16"/>
                <w:color w:val="auto"/>
              </w:rPr>
              <w:t>South Carolina</w:t>
            </w:r>
          </w:p>
        </w:tc>
        <w:tc>
          <w:tcPr>
            <w:tcW w:w="112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1.0</w:t>
            </w: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329</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325.43</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301</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298.43</w:t>
            </w:r>
          </w:p>
        </w:tc>
        <w:tc>
          <w:tcPr>
            <w:tcW w:w="1300" w:type="dxa"/>
            <w:vAlign w:val="bottom"/>
            <w:gridSpan w:val="2"/>
            <w:shd w:val="clear" w:color="auto" w:fill="CCEEFF"/>
          </w:tcPr>
          <w:p>
            <w:pPr>
              <w:jc w:val="right"/>
              <w:ind w:right="103"/>
              <w:spacing w:after="0"/>
              <w:rPr>
                <w:sz w:val="20"/>
                <w:szCs w:val="20"/>
                <w:color w:val="auto"/>
              </w:rPr>
            </w:pPr>
            <w:r>
              <w:rPr>
                <w:rFonts w:ascii="Arial" w:cs="Arial" w:eastAsia="Arial" w:hAnsi="Arial"/>
                <w:sz w:val="16"/>
                <w:szCs w:val="16"/>
                <w:color w:val="auto"/>
              </w:rPr>
              <w:t>91.7</w:t>
            </w: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7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28</w:t>
            </w:r>
          </w:p>
        </w:tc>
        <w:tc>
          <w:tcPr>
            <w:tcW w:w="0" w:type="dxa"/>
            <w:vAlign w:val="bottom"/>
          </w:tcPr>
          <w:p>
            <w:pPr>
              <w:spacing w:after="0"/>
              <w:rPr>
                <w:sz w:val="1"/>
                <w:szCs w:val="1"/>
                <w:color w:val="auto"/>
              </w:rPr>
            </w:pPr>
          </w:p>
        </w:tc>
      </w:tr>
      <w:tr>
        <w:trPr>
          <w:trHeight w:val="262"/>
        </w:trPr>
        <w:tc>
          <w:tcPr>
            <w:tcW w:w="2040" w:type="dxa"/>
            <w:vAlign w:val="bottom"/>
          </w:tcPr>
          <w:p>
            <w:pPr>
              <w:ind w:left="20"/>
              <w:spacing w:after="0"/>
              <w:rPr>
                <w:sz w:val="20"/>
                <w:szCs w:val="20"/>
                <w:color w:val="auto"/>
              </w:rPr>
            </w:pPr>
            <w:r>
              <w:rPr>
                <w:rFonts w:ascii="Arial" w:cs="Arial" w:eastAsia="Arial" w:hAnsi="Arial"/>
                <w:sz w:val="16"/>
                <w:szCs w:val="16"/>
                <w:color w:val="auto"/>
              </w:rPr>
              <w:t>Texas</w:t>
            </w:r>
          </w:p>
        </w:tc>
        <w:tc>
          <w:tcPr>
            <w:tcW w:w="1120" w:type="dxa"/>
            <w:vAlign w:val="bottom"/>
          </w:tcPr>
          <w:p>
            <w:pPr>
              <w:jc w:val="right"/>
              <w:ind w:right="20"/>
              <w:spacing w:after="0"/>
              <w:rPr>
                <w:sz w:val="20"/>
                <w:szCs w:val="20"/>
                <w:color w:val="auto"/>
              </w:rPr>
            </w:pPr>
            <w:r>
              <w:rPr>
                <w:rFonts w:ascii="Arial" w:cs="Arial" w:eastAsia="Arial" w:hAnsi="Arial"/>
                <w:sz w:val="16"/>
                <w:szCs w:val="16"/>
                <w:color w:val="auto"/>
              </w:rPr>
              <w:t>2.1</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20" w:type="dxa"/>
            <w:vAlign w:val="bottom"/>
          </w:tcPr>
          <w:p>
            <w:pPr>
              <w:jc w:val="right"/>
              <w:ind w:right="20"/>
              <w:spacing w:after="0"/>
              <w:rPr>
                <w:sz w:val="20"/>
                <w:szCs w:val="20"/>
                <w:color w:val="auto"/>
              </w:rPr>
            </w:pPr>
            <w:r>
              <w:rPr>
                <w:rFonts w:ascii="Arial" w:cs="Arial" w:eastAsia="Arial" w:hAnsi="Arial"/>
                <w:sz w:val="16"/>
                <w:szCs w:val="16"/>
                <w:color w:val="auto"/>
              </w:rPr>
              <w:t>1,592</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00" w:type="dxa"/>
            <w:vAlign w:val="bottom"/>
          </w:tcPr>
          <w:p>
            <w:pPr>
              <w:jc w:val="right"/>
              <w:ind w:right="40"/>
              <w:spacing w:after="0"/>
              <w:rPr>
                <w:sz w:val="20"/>
                <w:szCs w:val="20"/>
                <w:color w:val="auto"/>
              </w:rPr>
            </w:pPr>
            <w:r>
              <w:rPr>
                <w:rFonts w:ascii="Arial" w:cs="Arial" w:eastAsia="Arial" w:hAnsi="Arial"/>
                <w:sz w:val="16"/>
                <w:szCs w:val="16"/>
                <w:color w:val="auto"/>
              </w:rPr>
              <w:t>760.76</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jc w:val="right"/>
              <w:ind w:right="40"/>
              <w:spacing w:after="0"/>
              <w:rPr>
                <w:sz w:val="20"/>
                <w:szCs w:val="20"/>
                <w:color w:val="auto"/>
              </w:rPr>
            </w:pPr>
            <w:r>
              <w:rPr>
                <w:rFonts w:ascii="Arial" w:cs="Arial" w:eastAsia="Arial" w:hAnsi="Arial"/>
                <w:sz w:val="16"/>
                <w:szCs w:val="16"/>
                <w:color w:val="auto"/>
              </w:rPr>
              <w:t>1,468</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00" w:type="dxa"/>
            <w:vAlign w:val="bottom"/>
          </w:tcPr>
          <w:p>
            <w:pPr>
              <w:jc w:val="right"/>
              <w:ind w:right="40"/>
              <w:spacing w:after="0"/>
              <w:rPr>
                <w:sz w:val="20"/>
                <w:szCs w:val="20"/>
                <w:color w:val="auto"/>
              </w:rPr>
            </w:pPr>
            <w:r>
              <w:rPr>
                <w:rFonts w:ascii="Arial" w:cs="Arial" w:eastAsia="Arial" w:hAnsi="Arial"/>
                <w:sz w:val="16"/>
                <w:szCs w:val="16"/>
                <w:color w:val="auto"/>
              </w:rPr>
              <w:t>701.32</w:t>
            </w:r>
          </w:p>
        </w:tc>
        <w:tc>
          <w:tcPr>
            <w:tcW w:w="1300" w:type="dxa"/>
            <w:vAlign w:val="bottom"/>
            <w:gridSpan w:val="2"/>
          </w:tcPr>
          <w:p>
            <w:pPr>
              <w:jc w:val="right"/>
              <w:ind w:right="103"/>
              <w:spacing w:after="0"/>
              <w:rPr>
                <w:sz w:val="20"/>
                <w:szCs w:val="20"/>
                <w:color w:val="auto"/>
              </w:rPr>
            </w:pPr>
            <w:r>
              <w:rPr>
                <w:rFonts w:ascii="Arial" w:cs="Arial" w:eastAsia="Arial" w:hAnsi="Arial"/>
                <w:sz w:val="16"/>
                <w:szCs w:val="16"/>
                <w:color w:val="auto"/>
              </w:rPr>
              <w:t>92.2</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760" w:type="dxa"/>
            <w:vAlign w:val="bottom"/>
          </w:tcPr>
          <w:p>
            <w:pPr>
              <w:jc w:val="right"/>
              <w:ind w:right="39"/>
              <w:spacing w:after="0"/>
              <w:rPr>
                <w:sz w:val="20"/>
                <w:szCs w:val="20"/>
                <w:color w:val="auto"/>
              </w:rPr>
            </w:pPr>
            <w:r>
              <w:rPr>
                <w:rFonts w:ascii="Arial" w:cs="Arial" w:eastAsia="Arial" w:hAnsi="Arial"/>
                <w:sz w:val="16"/>
                <w:szCs w:val="16"/>
                <w:color w:val="auto"/>
              </w:rPr>
              <w:t>124</w:t>
            </w:r>
          </w:p>
        </w:tc>
        <w:tc>
          <w:tcPr>
            <w:tcW w:w="0" w:type="dxa"/>
            <w:vAlign w:val="bottom"/>
          </w:tcPr>
          <w:p>
            <w:pPr>
              <w:spacing w:after="0"/>
              <w:rPr>
                <w:sz w:val="1"/>
                <w:szCs w:val="1"/>
                <w:color w:val="auto"/>
              </w:rPr>
            </w:pPr>
          </w:p>
        </w:tc>
      </w:tr>
      <w:tr>
        <w:trPr>
          <w:trHeight w:val="278"/>
        </w:trPr>
        <w:tc>
          <w:tcPr>
            <w:tcW w:w="2040" w:type="dxa"/>
            <w:vAlign w:val="bottom"/>
            <w:shd w:val="clear" w:color="auto" w:fill="CCEEFF"/>
          </w:tcPr>
          <w:p>
            <w:pPr>
              <w:ind w:left="20"/>
              <w:spacing w:after="0"/>
              <w:rPr>
                <w:sz w:val="20"/>
                <w:szCs w:val="20"/>
                <w:color w:val="auto"/>
              </w:rPr>
            </w:pPr>
            <w:r>
              <w:rPr>
                <w:rFonts w:ascii="Arial" w:cs="Arial" w:eastAsia="Arial" w:hAnsi="Arial"/>
                <w:sz w:val="16"/>
                <w:szCs w:val="16"/>
                <w:color w:val="auto"/>
              </w:rPr>
              <w:t>Utah</w:t>
            </w:r>
          </w:p>
        </w:tc>
        <w:tc>
          <w:tcPr>
            <w:tcW w:w="112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0.8</w:t>
            </w: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267</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315.35</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219</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258.64</w:t>
            </w:r>
          </w:p>
        </w:tc>
        <w:tc>
          <w:tcPr>
            <w:tcW w:w="1300" w:type="dxa"/>
            <w:vAlign w:val="bottom"/>
            <w:gridSpan w:val="2"/>
            <w:shd w:val="clear" w:color="auto" w:fill="CCEEFF"/>
          </w:tcPr>
          <w:p>
            <w:pPr>
              <w:jc w:val="right"/>
              <w:ind w:right="103"/>
              <w:spacing w:after="0"/>
              <w:rPr>
                <w:sz w:val="20"/>
                <w:szCs w:val="20"/>
                <w:color w:val="auto"/>
              </w:rPr>
            </w:pPr>
            <w:r>
              <w:rPr>
                <w:rFonts w:ascii="Arial" w:cs="Arial" w:eastAsia="Arial" w:hAnsi="Arial"/>
                <w:sz w:val="16"/>
                <w:szCs w:val="16"/>
                <w:color w:val="auto"/>
              </w:rPr>
              <w:t>82.0</w:t>
            </w: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7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48</w:t>
            </w:r>
          </w:p>
        </w:tc>
        <w:tc>
          <w:tcPr>
            <w:tcW w:w="0" w:type="dxa"/>
            <w:vAlign w:val="bottom"/>
          </w:tcPr>
          <w:p>
            <w:pPr>
              <w:spacing w:after="0"/>
              <w:rPr>
                <w:sz w:val="1"/>
                <w:szCs w:val="1"/>
                <w:color w:val="auto"/>
              </w:rPr>
            </w:pPr>
          </w:p>
        </w:tc>
      </w:tr>
      <w:tr>
        <w:trPr>
          <w:trHeight w:val="262"/>
        </w:trPr>
        <w:tc>
          <w:tcPr>
            <w:tcW w:w="2040" w:type="dxa"/>
            <w:vAlign w:val="bottom"/>
          </w:tcPr>
          <w:p>
            <w:pPr>
              <w:ind w:left="20"/>
              <w:spacing w:after="0"/>
              <w:rPr>
                <w:sz w:val="20"/>
                <w:szCs w:val="20"/>
                <w:color w:val="auto"/>
              </w:rPr>
            </w:pPr>
            <w:r>
              <w:rPr>
                <w:rFonts w:ascii="Arial" w:cs="Arial" w:eastAsia="Arial" w:hAnsi="Arial"/>
                <w:sz w:val="16"/>
                <w:szCs w:val="16"/>
                <w:color w:val="auto"/>
              </w:rPr>
              <w:t>Washington</w:t>
            </w:r>
          </w:p>
        </w:tc>
        <w:tc>
          <w:tcPr>
            <w:tcW w:w="1120" w:type="dxa"/>
            <w:vAlign w:val="bottom"/>
          </w:tcPr>
          <w:p>
            <w:pPr>
              <w:jc w:val="right"/>
              <w:ind w:right="20"/>
              <w:spacing w:after="0"/>
              <w:rPr>
                <w:sz w:val="20"/>
                <w:szCs w:val="20"/>
                <w:color w:val="auto"/>
              </w:rPr>
            </w:pPr>
            <w:r>
              <w:rPr>
                <w:rFonts w:ascii="Arial" w:cs="Arial" w:eastAsia="Arial" w:hAnsi="Arial"/>
                <w:sz w:val="16"/>
                <w:szCs w:val="16"/>
                <w:color w:val="auto"/>
              </w:rPr>
              <w:t>6.7</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20" w:type="dxa"/>
            <w:vAlign w:val="bottom"/>
          </w:tcPr>
          <w:p>
            <w:pPr>
              <w:jc w:val="right"/>
              <w:ind w:right="20"/>
              <w:spacing w:after="0"/>
              <w:rPr>
                <w:sz w:val="20"/>
                <w:szCs w:val="20"/>
                <w:color w:val="auto"/>
              </w:rPr>
            </w:pPr>
            <w:r>
              <w:rPr>
                <w:rFonts w:ascii="Arial" w:cs="Arial" w:eastAsia="Arial" w:hAnsi="Arial"/>
                <w:sz w:val="16"/>
                <w:szCs w:val="16"/>
                <w:color w:val="auto"/>
              </w:rPr>
              <w:t>1,835</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00" w:type="dxa"/>
            <w:vAlign w:val="bottom"/>
          </w:tcPr>
          <w:p>
            <w:pPr>
              <w:jc w:val="right"/>
              <w:ind w:right="40"/>
              <w:spacing w:after="0"/>
              <w:rPr>
                <w:sz w:val="20"/>
                <w:szCs w:val="20"/>
                <w:color w:val="auto"/>
              </w:rPr>
            </w:pPr>
            <w:r>
              <w:rPr>
                <w:rFonts w:ascii="Arial" w:cs="Arial" w:eastAsia="Arial" w:hAnsi="Arial"/>
                <w:sz w:val="16"/>
                <w:szCs w:val="16"/>
                <w:color w:val="auto"/>
              </w:rPr>
              <w:t>275.60</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jc w:val="right"/>
              <w:ind w:right="40"/>
              <w:spacing w:after="0"/>
              <w:rPr>
                <w:sz w:val="20"/>
                <w:szCs w:val="20"/>
                <w:color w:val="auto"/>
              </w:rPr>
            </w:pPr>
            <w:r>
              <w:rPr>
                <w:rFonts w:ascii="Arial" w:cs="Arial" w:eastAsia="Arial" w:hAnsi="Arial"/>
                <w:sz w:val="16"/>
                <w:szCs w:val="16"/>
                <w:color w:val="auto"/>
              </w:rPr>
              <w:t>1,603</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00" w:type="dxa"/>
            <w:vAlign w:val="bottom"/>
          </w:tcPr>
          <w:p>
            <w:pPr>
              <w:jc w:val="right"/>
              <w:ind w:right="40"/>
              <w:spacing w:after="0"/>
              <w:rPr>
                <w:sz w:val="20"/>
                <w:szCs w:val="20"/>
                <w:color w:val="auto"/>
              </w:rPr>
            </w:pPr>
            <w:r>
              <w:rPr>
                <w:rFonts w:ascii="Arial" w:cs="Arial" w:eastAsia="Arial" w:hAnsi="Arial"/>
                <w:sz w:val="16"/>
                <w:szCs w:val="16"/>
                <w:color w:val="auto"/>
              </w:rPr>
              <w:t>240.83</w:t>
            </w:r>
          </w:p>
        </w:tc>
        <w:tc>
          <w:tcPr>
            <w:tcW w:w="1300" w:type="dxa"/>
            <w:vAlign w:val="bottom"/>
            <w:gridSpan w:val="2"/>
          </w:tcPr>
          <w:p>
            <w:pPr>
              <w:jc w:val="right"/>
              <w:ind w:right="103"/>
              <w:spacing w:after="0"/>
              <w:rPr>
                <w:sz w:val="20"/>
                <w:szCs w:val="20"/>
                <w:color w:val="auto"/>
              </w:rPr>
            </w:pPr>
            <w:r>
              <w:rPr>
                <w:rFonts w:ascii="Arial" w:cs="Arial" w:eastAsia="Arial" w:hAnsi="Arial"/>
                <w:sz w:val="16"/>
                <w:szCs w:val="16"/>
                <w:color w:val="auto"/>
              </w:rPr>
              <w:t>87.4</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760" w:type="dxa"/>
            <w:vAlign w:val="bottom"/>
          </w:tcPr>
          <w:p>
            <w:pPr>
              <w:jc w:val="right"/>
              <w:ind w:right="39"/>
              <w:spacing w:after="0"/>
              <w:rPr>
                <w:sz w:val="20"/>
                <w:szCs w:val="20"/>
                <w:color w:val="auto"/>
              </w:rPr>
            </w:pPr>
            <w:r>
              <w:rPr>
                <w:rFonts w:ascii="Arial" w:cs="Arial" w:eastAsia="Arial" w:hAnsi="Arial"/>
                <w:sz w:val="16"/>
                <w:szCs w:val="16"/>
                <w:color w:val="auto"/>
              </w:rPr>
              <w:t>232</w:t>
            </w:r>
          </w:p>
        </w:tc>
        <w:tc>
          <w:tcPr>
            <w:tcW w:w="0" w:type="dxa"/>
            <w:vAlign w:val="bottom"/>
          </w:tcPr>
          <w:p>
            <w:pPr>
              <w:spacing w:after="0"/>
              <w:rPr>
                <w:sz w:val="1"/>
                <w:szCs w:val="1"/>
                <w:color w:val="auto"/>
              </w:rPr>
            </w:pPr>
          </w:p>
        </w:tc>
      </w:tr>
      <w:tr>
        <w:trPr>
          <w:trHeight w:val="278"/>
        </w:trPr>
        <w:tc>
          <w:tcPr>
            <w:tcW w:w="2040" w:type="dxa"/>
            <w:vAlign w:val="bottom"/>
            <w:shd w:val="clear" w:color="auto" w:fill="CCEEFF"/>
          </w:tcPr>
          <w:p>
            <w:pPr>
              <w:ind w:left="20"/>
              <w:spacing w:after="0"/>
              <w:rPr>
                <w:sz w:val="20"/>
                <w:szCs w:val="20"/>
                <w:color w:val="auto"/>
              </w:rPr>
            </w:pPr>
            <w:r>
              <w:rPr>
                <w:rFonts w:ascii="Arial" w:cs="Arial" w:eastAsia="Arial" w:hAnsi="Arial"/>
                <w:sz w:val="16"/>
                <w:szCs w:val="16"/>
                <w:color w:val="auto"/>
              </w:rPr>
              <w:t>Wisconsin</w:t>
            </w:r>
          </w:p>
        </w:tc>
        <w:tc>
          <w:tcPr>
            <w:tcW w:w="112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0.6</w:t>
            </w: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101</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170.64</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80</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136.04</w:t>
            </w:r>
          </w:p>
        </w:tc>
        <w:tc>
          <w:tcPr>
            <w:tcW w:w="1300" w:type="dxa"/>
            <w:vAlign w:val="bottom"/>
            <w:gridSpan w:val="2"/>
            <w:shd w:val="clear" w:color="auto" w:fill="CCEEFF"/>
          </w:tcPr>
          <w:p>
            <w:pPr>
              <w:jc w:val="right"/>
              <w:ind w:right="103"/>
              <w:spacing w:after="0"/>
              <w:rPr>
                <w:sz w:val="20"/>
                <w:szCs w:val="20"/>
                <w:color w:val="auto"/>
              </w:rPr>
            </w:pPr>
            <w:r>
              <w:rPr>
                <w:rFonts w:ascii="Arial" w:cs="Arial" w:eastAsia="Arial" w:hAnsi="Arial"/>
                <w:sz w:val="16"/>
                <w:szCs w:val="16"/>
                <w:color w:val="auto"/>
              </w:rPr>
              <w:t>79.7</w:t>
            </w: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7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21</w:t>
            </w:r>
          </w:p>
        </w:tc>
        <w:tc>
          <w:tcPr>
            <w:tcW w:w="0" w:type="dxa"/>
            <w:vAlign w:val="bottom"/>
          </w:tcPr>
          <w:p>
            <w:pPr>
              <w:spacing w:after="0"/>
              <w:rPr>
                <w:sz w:val="1"/>
                <w:szCs w:val="1"/>
                <w:color w:val="auto"/>
              </w:rPr>
            </w:pPr>
          </w:p>
        </w:tc>
      </w:tr>
      <w:tr>
        <w:trPr>
          <w:trHeight w:val="264"/>
        </w:trPr>
        <w:tc>
          <w:tcPr>
            <w:tcW w:w="2040" w:type="dxa"/>
            <w:vAlign w:val="bottom"/>
          </w:tcPr>
          <w:p>
            <w:pPr>
              <w:ind w:left="20"/>
              <w:spacing w:after="0"/>
              <w:rPr>
                <w:sz w:val="20"/>
                <w:szCs w:val="20"/>
                <w:color w:val="auto"/>
              </w:rPr>
            </w:pPr>
            <w:r>
              <w:rPr>
                <w:rFonts w:ascii="Arial" w:cs="Arial" w:eastAsia="Arial" w:hAnsi="Arial"/>
                <w:sz w:val="16"/>
                <w:szCs w:val="16"/>
                <w:color w:val="auto"/>
              </w:rPr>
              <w:t>Other (4)</w:t>
            </w:r>
          </w:p>
        </w:tc>
        <w:tc>
          <w:tcPr>
            <w:tcW w:w="12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22"/>
                <w:szCs w:val="22"/>
                <w:color w:val="auto"/>
              </w:rPr>
            </w:pPr>
          </w:p>
        </w:tc>
        <w:tc>
          <w:tcPr>
            <w:tcW w:w="1120" w:type="dxa"/>
            <w:vAlign w:val="bottom"/>
          </w:tcPr>
          <w:p>
            <w:pPr>
              <w:jc w:val="right"/>
              <w:ind w:right="20"/>
              <w:spacing w:after="0"/>
              <w:rPr>
                <w:sz w:val="20"/>
                <w:szCs w:val="20"/>
                <w:color w:val="auto"/>
              </w:rPr>
            </w:pPr>
            <w:r>
              <w:rPr>
                <w:rFonts w:ascii="Arial" w:cs="Arial" w:eastAsia="Arial" w:hAnsi="Arial"/>
                <w:sz w:val="16"/>
                <w:szCs w:val="16"/>
                <w:color w:val="auto"/>
              </w:rPr>
              <w:t>7</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22"/>
                <w:szCs w:val="22"/>
                <w:color w:val="auto"/>
              </w:rPr>
            </w:pPr>
          </w:p>
        </w:tc>
        <w:tc>
          <w:tcPr>
            <w:tcW w:w="1140" w:type="dxa"/>
            <w:vAlign w:val="bottom"/>
          </w:tcPr>
          <w:p>
            <w:pPr>
              <w:jc w:val="right"/>
              <w:ind w:right="40"/>
              <w:spacing w:after="0"/>
              <w:rPr>
                <w:sz w:val="20"/>
                <w:szCs w:val="20"/>
                <w:color w:val="auto"/>
              </w:rPr>
            </w:pPr>
            <w:r>
              <w:rPr>
                <w:rFonts w:ascii="Arial" w:cs="Arial" w:eastAsia="Arial" w:hAnsi="Arial"/>
                <w:sz w:val="16"/>
                <w:szCs w:val="16"/>
                <w:color w:val="auto"/>
              </w:rPr>
              <w:t>27</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0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2"/>
                <w:szCs w:val="22"/>
                <w:color w:val="auto"/>
              </w:rPr>
            </w:pPr>
          </w:p>
        </w:tc>
        <w:tc>
          <w:tcPr>
            <w:tcW w:w="130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22"/>
                <w:szCs w:val="22"/>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(20)</w:t>
            </w:r>
          </w:p>
        </w:tc>
        <w:tc>
          <w:tcPr>
            <w:tcW w:w="0" w:type="dxa"/>
            <w:vAlign w:val="bottom"/>
          </w:tcPr>
          <w:p>
            <w:pPr>
              <w:spacing w:after="0"/>
              <w:rPr>
                <w:sz w:val="1"/>
                <w:szCs w:val="1"/>
                <w:color w:val="auto"/>
              </w:rPr>
            </w:pPr>
          </w:p>
        </w:tc>
      </w:tr>
      <w:tr>
        <w:trPr>
          <w:trHeight w:val="242"/>
        </w:trPr>
        <w:tc>
          <w:tcPr>
            <w:tcW w:w="2040" w:type="dxa"/>
            <w:vAlign w:val="bottom"/>
            <w:tcBorders>
              <w:top w:val="single" w:sz="8" w:color="CCEEFF"/>
              <w:bottom w:val="single" w:sz="8" w:color="CCEEFF"/>
            </w:tcBorders>
            <w:shd w:val="clear" w:color="auto" w:fill="CCEEFF"/>
          </w:tcPr>
          <w:p>
            <w:pPr>
              <w:spacing w:after="0"/>
              <w:rPr>
                <w:sz w:val="21"/>
                <w:szCs w:val="21"/>
                <w:color w:val="auto"/>
              </w:rPr>
            </w:pPr>
          </w:p>
        </w:tc>
        <w:tc>
          <w:tcPr>
            <w:tcW w:w="1120" w:type="dxa"/>
            <w:vAlign w:val="bottom"/>
            <w:tcBorders>
              <w:top w:val="single" w:sz="8" w:color="auto"/>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33.4</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120" w:type="dxa"/>
            <w:vAlign w:val="bottom"/>
            <w:tcBorders>
              <w:top w:val="single" w:sz="8" w:color="auto"/>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11,862</w:t>
            </w:r>
          </w:p>
        </w:tc>
        <w:tc>
          <w:tcPr>
            <w:tcW w:w="360" w:type="dxa"/>
            <w:vAlign w:val="bottom"/>
            <w:tcBorders>
              <w:top w:val="single" w:sz="8" w:color="CCEEFF"/>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900" w:type="dxa"/>
            <w:vAlign w:val="bottom"/>
            <w:tcBorders>
              <w:top w:val="single" w:sz="8" w:color="CCEEFF"/>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354.88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140" w:type="dxa"/>
            <w:vAlign w:val="bottom"/>
            <w:tcBorders>
              <w:top w:val="single" w:sz="8" w:color="auto"/>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10,885</w:t>
            </w:r>
          </w:p>
        </w:tc>
        <w:tc>
          <w:tcPr>
            <w:tcW w:w="340" w:type="dxa"/>
            <w:vAlign w:val="bottom"/>
            <w:tcBorders>
              <w:top w:val="single" w:sz="8" w:color="CCEEFF"/>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900" w:type="dxa"/>
            <w:vAlign w:val="bottom"/>
            <w:tcBorders>
              <w:top w:val="single" w:sz="8" w:color="CCEEFF"/>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325.66</w:t>
            </w:r>
          </w:p>
        </w:tc>
        <w:tc>
          <w:tcPr>
            <w:tcW w:w="1300" w:type="dxa"/>
            <w:vAlign w:val="bottom"/>
            <w:tcBorders>
              <w:top w:val="single" w:sz="8" w:color="CCEEFF"/>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91.8%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8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760" w:type="dxa"/>
            <w:vAlign w:val="bottom"/>
            <w:tcBorders>
              <w:top w:val="single" w:sz="8" w:color="auto"/>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977</w:t>
            </w:r>
          </w:p>
        </w:tc>
        <w:tc>
          <w:tcPr>
            <w:tcW w:w="0" w:type="dxa"/>
            <w:vAlign w:val="bottom"/>
          </w:tcPr>
          <w:p>
            <w:pPr>
              <w:spacing w:after="0"/>
              <w:rPr>
                <w:sz w:val="1"/>
                <w:szCs w:val="1"/>
                <w:color w:val="auto"/>
              </w:rPr>
            </w:pPr>
          </w:p>
        </w:tc>
      </w:tr>
      <w:tr>
        <w:trPr>
          <w:trHeight w:val="20"/>
        </w:trPr>
        <w:tc>
          <w:tcPr>
            <w:tcW w:w="204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6"/>
        </w:trPr>
        <w:tc>
          <w:tcPr>
            <w:tcW w:w="2040" w:type="dxa"/>
            <w:vAlign w:val="bottom"/>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3720" w:type="dxa"/>
            <w:vAlign w:val="bottom"/>
            <w:tcBorders>
              <w:bottom w:val="single" w:sz="8" w:color="auto"/>
            </w:tcBorders>
            <w:gridSpan w:val="7"/>
          </w:tcPr>
          <w:p>
            <w:pPr>
              <w:jc w:val="right"/>
              <w:ind w:right="660"/>
              <w:spacing w:after="0"/>
              <w:rPr>
                <w:sz w:val="20"/>
                <w:szCs w:val="20"/>
                <w:color w:val="auto"/>
              </w:rPr>
            </w:pPr>
            <w:r>
              <w:rPr>
                <w:rFonts w:ascii="Arial" w:cs="Arial" w:eastAsia="Arial" w:hAnsi="Arial"/>
                <w:sz w:val="14"/>
                <w:szCs w:val="14"/>
                <w:b w:val="1"/>
                <w:bCs w:val="1"/>
                <w:color w:val="auto"/>
              </w:rPr>
              <w:t>Nine Months Ended September 30, 2016</w:t>
            </w:r>
          </w:p>
        </w:tc>
        <w:tc>
          <w:tcPr>
            <w:tcW w:w="10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2040" w:type="dxa"/>
            <w:vAlign w:val="bottom"/>
          </w:tcPr>
          <w:p>
            <w:pPr>
              <w:spacing w:after="0"/>
              <w:rPr>
                <w:sz w:val="22"/>
                <w:szCs w:val="22"/>
                <w:color w:val="auto"/>
              </w:rPr>
            </w:pPr>
          </w:p>
        </w:tc>
        <w:tc>
          <w:tcPr>
            <w:tcW w:w="1240" w:type="dxa"/>
            <w:vAlign w:val="bottom"/>
            <w:gridSpan w:val="2"/>
            <w:vMerge w:val="restart"/>
          </w:tcPr>
          <w:p>
            <w:pPr>
              <w:ind w:left="300"/>
              <w:spacing w:after="0"/>
              <w:rPr>
                <w:sz w:val="20"/>
                <w:szCs w:val="20"/>
                <w:color w:val="auto"/>
              </w:rPr>
            </w:pPr>
            <w:r>
              <w:rPr>
                <w:rFonts w:ascii="Arial" w:cs="Arial" w:eastAsia="Arial" w:hAnsi="Arial"/>
                <w:sz w:val="14"/>
                <w:szCs w:val="14"/>
                <w:b w:val="1"/>
                <w:bCs w:val="1"/>
                <w:color w:val="auto"/>
              </w:rPr>
              <w:t>Member</w:t>
            </w:r>
          </w:p>
        </w:tc>
        <w:tc>
          <w:tcPr>
            <w:tcW w:w="340" w:type="dxa"/>
            <w:vAlign w:val="bottom"/>
          </w:tcPr>
          <w:p>
            <w:pPr>
              <w:spacing w:after="0"/>
              <w:rPr>
                <w:sz w:val="22"/>
                <w:szCs w:val="22"/>
                <w:color w:val="auto"/>
              </w:rPr>
            </w:pPr>
          </w:p>
        </w:tc>
        <w:tc>
          <w:tcPr>
            <w:tcW w:w="2480" w:type="dxa"/>
            <w:vAlign w:val="bottom"/>
            <w:gridSpan w:val="5"/>
          </w:tcPr>
          <w:p>
            <w:pPr>
              <w:ind w:left="400"/>
              <w:spacing w:after="0"/>
              <w:rPr>
                <w:sz w:val="20"/>
                <w:szCs w:val="20"/>
                <w:color w:val="auto"/>
              </w:rPr>
            </w:pPr>
            <w:r>
              <w:rPr>
                <w:rFonts w:ascii="Arial" w:cs="Arial" w:eastAsia="Arial" w:hAnsi="Arial"/>
                <w:sz w:val="14"/>
                <w:szCs w:val="14"/>
                <w:b w:val="1"/>
                <w:bCs w:val="1"/>
                <w:color w:val="auto"/>
              </w:rPr>
              <w:t>Premium Revenue</w:t>
            </w:r>
          </w:p>
        </w:tc>
        <w:tc>
          <w:tcPr>
            <w:tcW w:w="340" w:type="dxa"/>
            <w:vAlign w:val="bottom"/>
          </w:tcPr>
          <w:p>
            <w:pPr>
              <w:spacing w:after="0"/>
              <w:rPr>
                <w:sz w:val="22"/>
                <w:szCs w:val="22"/>
                <w:color w:val="auto"/>
              </w:rPr>
            </w:pPr>
          </w:p>
        </w:tc>
        <w:tc>
          <w:tcPr>
            <w:tcW w:w="2380" w:type="dxa"/>
            <w:vAlign w:val="bottom"/>
            <w:gridSpan w:val="4"/>
          </w:tcPr>
          <w:p>
            <w:pPr>
              <w:jc w:val="right"/>
              <w:ind w:right="600"/>
              <w:spacing w:after="0"/>
              <w:rPr>
                <w:sz w:val="20"/>
                <w:szCs w:val="20"/>
                <w:color w:val="auto"/>
              </w:rPr>
            </w:pPr>
            <w:r>
              <w:rPr>
                <w:rFonts w:ascii="Arial" w:cs="Arial" w:eastAsia="Arial" w:hAnsi="Arial"/>
                <w:sz w:val="14"/>
                <w:szCs w:val="14"/>
                <w:b w:val="1"/>
                <w:bCs w:val="1"/>
                <w:color w:val="auto"/>
              </w:rPr>
              <w:t>Medical Care Costs</w:t>
            </w:r>
          </w:p>
        </w:tc>
        <w:tc>
          <w:tcPr>
            <w:tcW w:w="10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0"/>
        </w:trPr>
        <w:tc>
          <w:tcPr>
            <w:tcW w:w="204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340" w:type="dxa"/>
            <w:vAlign w:val="bottom"/>
            <w:tcBorders>
              <w:top w:val="single" w:sz="8" w:color="auto"/>
            </w:tcBorders>
          </w:tcPr>
          <w:p>
            <w:pPr>
              <w:spacing w:after="0"/>
              <w:rPr>
                <w:sz w:val="5"/>
                <w:szCs w:val="5"/>
                <w:color w:val="auto"/>
              </w:rPr>
            </w:pPr>
          </w:p>
        </w:tc>
        <w:tc>
          <w:tcPr>
            <w:tcW w:w="1120" w:type="dxa"/>
            <w:vAlign w:val="bottom"/>
            <w:tcBorders>
              <w:top w:val="single" w:sz="8" w:color="auto"/>
            </w:tcBorders>
          </w:tcPr>
          <w:p>
            <w:pPr>
              <w:spacing w:after="0"/>
              <w:rPr>
                <w:sz w:val="5"/>
                <w:szCs w:val="5"/>
                <w:color w:val="auto"/>
              </w:rPr>
            </w:pPr>
          </w:p>
        </w:tc>
        <w:tc>
          <w:tcPr>
            <w:tcW w:w="120" w:type="dxa"/>
            <w:vAlign w:val="bottom"/>
            <w:tcBorders>
              <w:top w:val="single" w:sz="8" w:color="auto"/>
            </w:tcBorders>
          </w:tcPr>
          <w:p>
            <w:pPr>
              <w:spacing w:after="0"/>
              <w:rPr>
                <w:sz w:val="5"/>
                <w:szCs w:val="5"/>
                <w:color w:val="auto"/>
              </w:rPr>
            </w:pPr>
          </w:p>
        </w:tc>
        <w:tc>
          <w:tcPr>
            <w:tcW w:w="240" w:type="dxa"/>
            <w:vAlign w:val="bottom"/>
            <w:tcBorders>
              <w:top w:val="single" w:sz="8" w:color="auto"/>
            </w:tcBorders>
          </w:tcPr>
          <w:p>
            <w:pPr>
              <w:spacing w:after="0"/>
              <w:rPr>
                <w:sz w:val="5"/>
                <w:szCs w:val="5"/>
                <w:color w:val="auto"/>
              </w:rPr>
            </w:pPr>
          </w:p>
        </w:tc>
        <w:tc>
          <w:tcPr>
            <w:tcW w:w="900" w:type="dxa"/>
            <w:vAlign w:val="bottom"/>
            <w:tcBorders>
              <w:top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340" w:type="dxa"/>
            <w:vAlign w:val="bottom"/>
            <w:tcBorders>
              <w:top w:val="single" w:sz="8" w:color="auto"/>
            </w:tcBorders>
          </w:tcPr>
          <w:p>
            <w:pPr>
              <w:spacing w:after="0"/>
              <w:rPr>
                <w:sz w:val="5"/>
                <w:szCs w:val="5"/>
                <w:color w:val="auto"/>
              </w:rPr>
            </w:pPr>
          </w:p>
        </w:tc>
        <w:tc>
          <w:tcPr>
            <w:tcW w:w="1140" w:type="dxa"/>
            <w:vAlign w:val="bottom"/>
            <w:tcBorders>
              <w:top w:val="single" w:sz="8" w:color="auto"/>
            </w:tcBorders>
          </w:tcPr>
          <w:p>
            <w:pPr>
              <w:spacing w:after="0"/>
              <w:rPr>
                <w:sz w:val="5"/>
                <w:szCs w:val="5"/>
                <w:color w:val="auto"/>
              </w:rPr>
            </w:pPr>
          </w:p>
        </w:tc>
        <w:tc>
          <w:tcPr>
            <w:tcW w:w="100" w:type="dxa"/>
            <w:vAlign w:val="bottom"/>
            <w:tcBorders>
              <w:top w:val="single" w:sz="8" w:color="auto"/>
            </w:tcBorders>
          </w:tcPr>
          <w:p>
            <w:pPr>
              <w:spacing w:after="0"/>
              <w:rPr>
                <w:sz w:val="5"/>
                <w:szCs w:val="5"/>
                <w:color w:val="auto"/>
              </w:rPr>
            </w:pPr>
          </w:p>
        </w:tc>
        <w:tc>
          <w:tcPr>
            <w:tcW w:w="240" w:type="dxa"/>
            <w:vAlign w:val="bottom"/>
            <w:tcBorders>
              <w:top w:val="single" w:sz="8" w:color="auto"/>
            </w:tcBorders>
          </w:tcPr>
          <w:p>
            <w:pPr>
              <w:spacing w:after="0"/>
              <w:rPr>
                <w:sz w:val="5"/>
                <w:szCs w:val="5"/>
                <w:color w:val="auto"/>
              </w:rPr>
            </w:pPr>
          </w:p>
        </w:tc>
        <w:tc>
          <w:tcPr>
            <w:tcW w:w="900" w:type="dxa"/>
            <w:vAlign w:val="bottom"/>
            <w:tcBorders>
              <w:top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1200" w:type="dxa"/>
            <w:vAlign w:val="bottom"/>
          </w:tcPr>
          <w:p>
            <w:pPr>
              <w:spacing w:after="0"/>
              <w:rPr>
                <w:sz w:val="5"/>
                <w:szCs w:val="5"/>
                <w:color w:val="auto"/>
              </w:rPr>
            </w:pPr>
          </w:p>
        </w:tc>
        <w:tc>
          <w:tcPr>
            <w:tcW w:w="100" w:type="dxa"/>
            <w:vAlign w:val="bottom"/>
          </w:tcPr>
          <w:p>
            <w:pPr>
              <w:spacing w:after="0"/>
              <w:rPr>
                <w:sz w:val="5"/>
                <w:szCs w:val="5"/>
                <w:color w:val="auto"/>
              </w:rPr>
            </w:pPr>
          </w:p>
        </w:tc>
        <w:tc>
          <w:tcPr>
            <w:tcW w:w="380" w:type="dxa"/>
            <w:vAlign w:val="bottom"/>
          </w:tcPr>
          <w:p>
            <w:pPr>
              <w:spacing w:after="0"/>
              <w:rPr>
                <w:sz w:val="5"/>
                <w:szCs w:val="5"/>
                <w:color w:val="auto"/>
              </w:rPr>
            </w:pPr>
          </w:p>
        </w:tc>
        <w:tc>
          <w:tcPr>
            <w:tcW w:w="7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3"/>
        </w:trPr>
        <w:tc>
          <w:tcPr>
            <w:tcW w:w="2040" w:type="dxa"/>
            <w:vAlign w:val="bottom"/>
            <w:tcBorders>
              <w:bottom w:val="single" w:sz="8" w:color="CCEEFF"/>
            </w:tcBorders>
          </w:tcPr>
          <w:p>
            <w:pPr>
              <w:spacing w:after="0"/>
              <w:rPr>
                <w:sz w:val="17"/>
                <w:szCs w:val="17"/>
                <w:color w:val="auto"/>
              </w:rPr>
            </w:pPr>
          </w:p>
        </w:tc>
        <w:tc>
          <w:tcPr>
            <w:tcW w:w="1120" w:type="dxa"/>
            <w:vAlign w:val="bottom"/>
            <w:tcBorders>
              <w:bottom w:val="single" w:sz="8" w:color="auto"/>
            </w:tcBorders>
          </w:tcPr>
          <w:p>
            <w:pPr>
              <w:ind w:left="320"/>
              <w:spacing w:after="0"/>
              <w:rPr>
                <w:sz w:val="20"/>
                <w:szCs w:val="20"/>
                <w:color w:val="auto"/>
              </w:rPr>
            </w:pPr>
            <w:r>
              <w:rPr>
                <w:rFonts w:ascii="Arial" w:cs="Arial" w:eastAsia="Arial" w:hAnsi="Arial"/>
                <w:sz w:val="14"/>
                <w:szCs w:val="14"/>
                <w:b w:val="1"/>
                <w:bCs w:val="1"/>
                <w:color w:val="auto"/>
              </w:rPr>
              <w:t>Months</w:t>
            </w:r>
          </w:p>
        </w:tc>
        <w:tc>
          <w:tcPr>
            <w:tcW w:w="12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480"/>
              <w:spacing w:after="0"/>
              <w:rPr>
                <w:sz w:val="20"/>
                <w:szCs w:val="20"/>
                <w:color w:val="auto"/>
              </w:rPr>
            </w:pPr>
            <w:r>
              <w:rPr>
                <w:rFonts w:ascii="Arial" w:cs="Arial" w:eastAsia="Arial" w:hAnsi="Arial"/>
                <w:sz w:val="14"/>
                <w:szCs w:val="14"/>
                <w:b w:val="1"/>
                <w:bCs w:val="1"/>
                <w:color w:val="auto"/>
              </w:rPr>
              <w:t>Total</w:t>
            </w:r>
          </w:p>
        </w:tc>
        <w:tc>
          <w:tcPr>
            <w:tcW w:w="12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280"/>
              <w:spacing w:after="0"/>
              <w:rPr>
                <w:sz w:val="20"/>
                <w:szCs w:val="20"/>
                <w:color w:val="auto"/>
              </w:rPr>
            </w:pPr>
            <w:r>
              <w:rPr>
                <w:rFonts w:ascii="Arial" w:cs="Arial" w:eastAsia="Arial" w:hAnsi="Arial"/>
                <w:sz w:val="14"/>
                <w:szCs w:val="14"/>
                <w:b w:val="1"/>
                <w:bCs w:val="1"/>
                <w:color w:val="auto"/>
              </w:rPr>
              <w:t>PMPM</w:t>
            </w: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500"/>
              <w:spacing w:after="0"/>
              <w:rPr>
                <w:sz w:val="20"/>
                <w:szCs w:val="20"/>
                <w:color w:val="auto"/>
              </w:rPr>
            </w:pPr>
            <w:r>
              <w:rPr>
                <w:rFonts w:ascii="Arial" w:cs="Arial" w:eastAsia="Arial" w:hAnsi="Arial"/>
                <w:sz w:val="14"/>
                <w:szCs w:val="14"/>
                <w:b w:val="1"/>
                <w:bCs w:val="1"/>
                <w:color w:val="auto"/>
              </w:rPr>
              <w:t>Total</w:t>
            </w:r>
          </w:p>
        </w:tc>
        <w:tc>
          <w:tcPr>
            <w:tcW w:w="10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280"/>
              <w:spacing w:after="0"/>
              <w:rPr>
                <w:sz w:val="20"/>
                <w:szCs w:val="20"/>
                <w:color w:val="auto"/>
              </w:rPr>
            </w:pPr>
            <w:r>
              <w:rPr>
                <w:rFonts w:ascii="Arial" w:cs="Arial" w:eastAsia="Arial" w:hAnsi="Arial"/>
                <w:sz w:val="14"/>
                <w:szCs w:val="14"/>
                <w:b w:val="1"/>
                <w:bCs w:val="1"/>
                <w:color w:val="auto"/>
              </w:rPr>
              <w:t>PMPM</w:t>
            </w:r>
          </w:p>
        </w:tc>
        <w:tc>
          <w:tcPr>
            <w:tcW w:w="100" w:type="dxa"/>
            <w:vAlign w:val="bottom"/>
            <w:tcBorders>
              <w:bottom w:val="single" w:sz="8" w:color="CCEEFF"/>
            </w:tcBorders>
          </w:tcPr>
          <w:p>
            <w:pPr>
              <w:spacing w:after="0"/>
              <w:rPr>
                <w:sz w:val="17"/>
                <w:szCs w:val="17"/>
                <w:color w:val="auto"/>
              </w:rPr>
            </w:pPr>
          </w:p>
        </w:tc>
        <w:tc>
          <w:tcPr>
            <w:tcW w:w="1200" w:type="dxa"/>
            <w:vAlign w:val="bottom"/>
            <w:tcBorders>
              <w:bottom w:val="single" w:sz="8" w:color="auto"/>
            </w:tcBorders>
          </w:tcPr>
          <w:p>
            <w:pPr>
              <w:jc w:val="right"/>
              <w:ind w:right="363"/>
              <w:spacing w:after="0"/>
              <w:rPr>
                <w:sz w:val="20"/>
                <w:szCs w:val="20"/>
                <w:color w:val="auto"/>
              </w:rPr>
            </w:pPr>
            <w:r>
              <w:rPr>
                <w:rFonts w:ascii="Arial" w:cs="Arial" w:eastAsia="Arial" w:hAnsi="Arial"/>
                <w:sz w:val="14"/>
                <w:szCs w:val="14"/>
                <w:b w:val="1"/>
                <w:bCs w:val="1"/>
                <w:color w:val="auto"/>
              </w:rPr>
              <w:t>MCR</w:t>
            </w:r>
          </w:p>
        </w:tc>
        <w:tc>
          <w:tcPr>
            <w:tcW w:w="100" w:type="dxa"/>
            <w:vAlign w:val="bottom"/>
            <w:tcBorders>
              <w:bottom w:val="single" w:sz="8" w:color="CCEEFF"/>
            </w:tcBorders>
          </w:tcPr>
          <w:p>
            <w:pPr>
              <w:spacing w:after="0"/>
              <w:rPr>
                <w:sz w:val="17"/>
                <w:szCs w:val="17"/>
                <w:color w:val="auto"/>
              </w:rPr>
            </w:pPr>
          </w:p>
        </w:tc>
        <w:tc>
          <w:tcPr>
            <w:tcW w:w="114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Medical Margin</w:t>
            </w:r>
          </w:p>
        </w:tc>
        <w:tc>
          <w:tcPr>
            <w:tcW w:w="0" w:type="dxa"/>
            <w:vAlign w:val="bottom"/>
          </w:tcPr>
          <w:p>
            <w:pPr>
              <w:spacing w:after="0"/>
              <w:rPr>
                <w:sz w:val="1"/>
                <w:szCs w:val="1"/>
                <w:color w:val="auto"/>
              </w:rPr>
            </w:pPr>
          </w:p>
        </w:tc>
      </w:tr>
      <w:tr>
        <w:trPr>
          <w:trHeight w:val="251"/>
        </w:trPr>
        <w:tc>
          <w:tcPr>
            <w:tcW w:w="204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California</w:t>
            </w:r>
          </w:p>
        </w:tc>
        <w:tc>
          <w:tcPr>
            <w:tcW w:w="112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5.5</w:t>
            </w:r>
          </w:p>
        </w:tc>
        <w:tc>
          <w:tcPr>
            <w:tcW w:w="120" w:type="dxa"/>
            <w:vAlign w:val="bottom"/>
            <w:shd w:val="clear" w:color="auto" w:fill="CCEEFF"/>
          </w:tcPr>
          <w:p>
            <w:pPr>
              <w:spacing w:after="0"/>
              <w:rPr>
                <w:sz w:val="21"/>
                <w:szCs w:val="21"/>
                <w:color w:val="auto"/>
              </w:rPr>
            </w:pPr>
          </w:p>
        </w:tc>
        <w:tc>
          <w:tcPr>
            <w:tcW w:w="3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12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1,603</w:t>
            </w:r>
          </w:p>
        </w:tc>
        <w:tc>
          <w:tcPr>
            <w:tcW w:w="3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90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291.20</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14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1,411</w:t>
            </w:r>
          </w:p>
        </w:tc>
        <w:tc>
          <w:tcPr>
            <w:tcW w:w="3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90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256.41</w:t>
            </w: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88.1%</w:t>
            </w:r>
          </w:p>
        </w:tc>
        <w:tc>
          <w:tcPr>
            <w:tcW w:w="100" w:type="dxa"/>
            <w:vAlign w:val="bottom"/>
            <w:shd w:val="clear" w:color="auto" w:fill="CCEEFF"/>
          </w:tcPr>
          <w:p>
            <w:pPr>
              <w:spacing w:after="0"/>
              <w:rPr>
                <w:sz w:val="21"/>
                <w:szCs w:val="21"/>
                <w:color w:val="auto"/>
              </w:rPr>
            </w:pPr>
          </w:p>
        </w:tc>
        <w:tc>
          <w:tcPr>
            <w:tcW w:w="38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7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192</w:t>
            </w:r>
          </w:p>
        </w:tc>
        <w:tc>
          <w:tcPr>
            <w:tcW w:w="0" w:type="dxa"/>
            <w:vAlign w:val="bottom"/>
          </w:tcPr>
          <w:p>
            <w:pPr>
              <w:spacing w:after="0"/>
              <w:rPr>
                <w:sz w:val="1"/>
                <w:szCs w:val="1"/>
                <w:color w:val="auto"/>
              </w:rPr>
            </w:pPr>
          </w:p>
        </w:tc>
      </w:tr>
      <w:tr>
        <w:trPr>
          <w:trHeight w:val="262"/>
        </w:trPr>
        <w:tc>
          <w:tcPr>
            <w:tcW w:w="2040" w:type="dxa"/>
            <w:vAlign w:val="bottom"/>
          </w:tcPr>
          <w:p>
            <w:pPr>
              <w:ind w:left="20"/>
              <w:spacing w:after="0"/>
              <w:rPr>
                <w:sz w:val="20"/>
                <w:szCs w:val="20"/>
                <w:color w:val="auto"/>
              </w:rPr>
            </w:pPr>
            <w:r>
              <w:rPr>
                <w:rFonts w:ascii="Arial" w:cs="Arial" w:eastAsia="Arial" w:hAnsi="Arial"/>
                <w:sz w:val="16"/>
                <w:szCs w:val="16"/>
                <w:color w:val="auto"/>
              </w:rPr>
              <w:t>Florida</w:t>
            </w:r>
          </w:p>
        </w:tc>
        <w:tc>
          <w:tcPr>
            <w:tcW w:w="1120" w:type="dxa"/>
            <w:vAlign w:val="bottom"/>
          </w:tcPr>
          <w:p>
            <w:pPr>
              <w:jc w:val="right"/>
              <w:ind w:right="20"/>
              <w:spacing w:after="0"/>
              <w:rPr>
                <w:sz w:val="20"/>
                <w:szCs w:val="20"/>
                <w:color w:val="auto"/>
              </w:rPr>
            </w:pPr>
            <w:r>
              <w:rPr>
                <w:rFonts w:ascii="Arial" w:cs="Arial" w:eastAsia="Arial" w:hAnsi="Arial"/>
                <w:sz w:val="16"/>
                <w:szCs w:val="16"/>
                <w:color w:val="auto"/>
              </w:rPr>
              <w:t>3.0</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20" w:type="dxa"/>
            <w:vAlign w:val="bottom"/>
          </w:tcPr>
          <w:p>
            <w:pPr>
              <w:jc w:val="right"/>
              <w:ind w:right="20"/>
              <w:spacing w:after="0"/>
              <w:rPr>
                <w:sz w:val="20"/>
                <w:szCs w:val="20"/>
                <w:color w:val="auto"/>
              </w:rPr>
            </w:pPr>
            <w:r>
              <w:rPr>
                <w:rFonts w:ascii="Arial" w:cs="Arial" w:eastAsia="Arial" w:hAnsi="Arial"/>
                <w:sz w:val="16"/>
                <w:szCs w:val="16"/>
                <w:color w:val="auto"/>
              </w:rPr>
              <w:t>974</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00" w:type="dxa"/>
            <w:vAlign w:val="bottom"/>
          </w:tcPr>
          <w:p>
            <w:pPr>
              <w:jc w:val="right"/>
              <w:ind w:right="40"/>
              <w:spacing w:after="0"/>
              <w:rPr>
                <w:sz w:val="20"/>
                <w:szCs w:val="20"/>
                <w:color w:val="auto"/>
              </w:rPr>
            </w:pPr>
            <w:r>
              <w:rPr>
                <w:rFonts w:ascii="Arial" w:cs="Arial" w:eastAsia="Arial" w:hAnsi="Arial"/>
                <w:sz w:val="16"/>
                <w:szCs w:val="16"/>
                <w:color w:val="auto"/>
              </w:rPr>
              <w:t>322.69</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jc w:val="right"/>
              <w:ind w:right="40"/>
              <w:spacing w:after="0"/>
              <w:rPr>
                <w:sz w:val="20"/>
                <w:szCs w:val="20"/>
                <w:color w:val="auto"/>
              </w:rPr>
            </w:pPr>
            <w:r>
              <w:rPr>
                <w:rFonts w:ascii="Arial" w:cs="Arial" w:eastAsia="Arial" w:hAnsi="Arial"/>
                <w:sz w:val="16"/>
                <w:szCs w:val="16"/>
                <w:color w:val="auto"/>
              </w:rPr>
              <w:t>892</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00" w:type="dxa"/>
            <w:vAlign w:val="bottom"/>
          </w:tcPr>
          <w:p>
            <w:pPr>
              <w:jc w:val="right"/>
              <w:ind w:right="40"/>
              <w:spacing w:after="0"/>
              <w:rPr>
                <w:sz w:val="20"/>
                <w:szCs w:val="20"/>
                <w:color w:val="auto"/>
              </w:rPr>
            </w:pPr>
            <w:r>
              <w:rPr>
                <w:rFonts w:ascii="Arial" w:cs="Arial" w:eastAsia="Arial" w:hAnsi="Arial"/>
                <w:sz w:val="16"/>
                <w:szCs w:val="16"/>
                <w:color w:val="auto"/>
              </w:rPr>
              <w:t>295.43</w:t>
            </w:r>
          </w:p>
        </w:tc>
        <w:tc>
          <w:tcPr>
            <w:tcW w:w="1300" w:type="dxa"/>
            <w:vAlign w:val="bottom"/>
            <w:gridSpan w:val="2"/>
          </w:tcPr>
          <w:p>
            <w:pPr>
              <w:jc w:val="right"/>
              <w:ind w:right="103"/>
              <w:spacing w:after="0"/>
              <w:rPr>
                <w:sz w:val="20"/>
                <w:szCs w:val="20"/>
                <w:color w:val="auto"/>
              </w:rPr>
            </w:pPr>
            <w:r>
              <w:rPr>
                <w:rFonts w:ascii="Arial" w:cs="Arial" w:eastAsia="Arial" w:hAnsi="Arial"/>
                <w:sz w:val="16"/>
                <w:szCs w:val="16"/>
                <w:color w:val="auto"/>
              </w:rPr>
              <w:t>91.6</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760" w:type="dxa"/>
            <w:vAlign w:val="bottom"/>
          </w:tcPr>
          <w:p>
            <w:pPr>
              <w:jc w:val="right"/>
              <w:ind w:right="39"/>
              <w:spacing w:after="0"/>
              <w:rPr>
                <w:sz w:val="20"/>
                <w:szCs w:val="20"/>
                <w:color w:val="auto"/>
              </w:rPr>
            </w:pPr>
            <w:r>
              <w:rPr>
                <w:rFonts w:ascii="Arial" w:cs="Arial" w:eastAsia="Arial" w:hAnsi="Arial"/>
                <w:sz w:val="16"/>
                <w:szCs w:val="16"/>
                <w:color w:val="auto"/>
              </w:rPr>
              <w:t>82</w:t>
            </w:r>
          </w:p>
        </w:tc>
        <w:tc>
          <w:tcPr>
            <w:tcW w:w="0" w:type="dxa"/>
            <w:vAlign w:val="bottom"/>
          </w:tcPr>
          <w:p>
            <w:pPr>
              <w:spacing w:after="0"/>
              <w:rPr>
                <w:sz w:val="1"/>
                <w:szCs w:val="1"/>
                <w:color w:val="auto"/>
              </w:rPr>
            </w:pPr>
          </w:p>
        </w:tc>
      </w:tr>
      <w:tr>
        <w:trPr>
          <w:trHeight w:val="278"/>
        </w:trPr>
        <w:tc>
          <w:tcPr>
            <w:tcW w:w="2040" w:type="dxa"/>
            <w:vAlign w:val="bottom"/>
            <w:shd w:val="clear" w:color="auto" w:fill="CCEEFF"/>
          </w:tcPr>
          <w:p>
            <w:pPr>
              <w:ind w:left="20"/>
              <w:spacing w:after="0"/>
              <w:rPr>
                <w:sz w:val="20"/>
                <w:szCs w:val="20"/>
                <w:color w:val="auto"/>
              </w:rPr>
            </w:pPr>
            <w:r>
              <w:rPr>
                <w:rFonts w:ascii="Arial" w:cs="Arial" w:eastAsia="Arial" w:hAnsi="Arial"/>
                <w:sz w:val="16"/>
                <w:szCs w:val="16"/>
                <w:color w:val="auto"/>
              </w:rPr>
              <w:t>Illinois</w:t>
            </w:r>
          </w:p>
        </w:tc>
        <w:tc>
          <w:tcPr>
            <w:tcW w:w="112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1.8</w:t>
            </w: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466</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266.11</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414</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236.39</w:t>
            </w:r>
          </w:p>
        </w:tc>
        <w:tc>
          <w:tcPr>
            <w:tcW w:w="1300" w:type="dxa"/>
            <w:vAlign w:val="bottom"/>
            <w:gridSpan w:val="2"/>
            <w:shd w:val="clear" w:color="auto" w:fill="CCEEFF"/>
          </w:tcPr>
          <w:p>
            <w:pPr>
              <w:jc w:val="right"/>
              <w:ind w:right="103"/>
              <w:spacing w:after="0"/>
              <w:rPr>
                <w:sz w:val="20"/>
                <w:szCs w:val="20"/>
                <w:color w:val="auto"/>
              </w:rPr>
            </w:pPr>
            <w:r>
              <w:rPr>
                <w:rFonts w:ascii="Arial" w:cs="Arial" w:eastAsia="Arial" w:hAnsi="Arial"/>
                <w:sz w:val="16"/>
                <w:szCs w:val="16"/>
                <w:color w:val="auto"/>
              </w:rPr>
              <w:t>88.8</w:t>
            </w: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7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52</w:t>
            </w:r>
          </w:p>
        </w:tc>
        <w:tc>
          <w:tcPr>
            <w:tcW w:w="0" w:type="dxa"/>
            <w:vAlign w:val="bottom"/>
          </w:tcPr>
          <w:p>
            <w:pPr>
              <w:spacing w:after="0"/>
              <w:rPr>
                <w:sz w:val="1"/>
                <w:szCs w:val="1"/>
                <w:color w:val="auto"/>
              </w:rPr>
            </w:pPr>
          </w:p>
        </w:tc>
      </w:tr>
      <w:tr>
        <w:trPr>
          <w:trHeight w:val="262"/>
        </w:trPr>
        <w:tc>
          <w:tcPr>
            <w:tcW w:w="2040" w:type="dxa"/>
            <w:vAlign w:val="bottom"/>
          </w:tcPr>
          <w:p>
            <w:pPr>
              <w:ind w:left="20"/>
              <w:spacing w:after="0"/>
              <w:rPr>
                <w:sz w:val="20"/>
                <w:szCs w:val="20"/>
                <w:color w:val="auto"/>
              </w:rPr>
            </w:pPr>
            <w:r>
              <w:rPr>
                <w:rFonts w:ascii="Arial" w:cs="Arial" w:eastAsia="Arial" w:hAnsi="Arial"/>
                <w:sz w:val="16"/>
                <w:szCs w:val="16"/>
                <w:color w:val="auto"/>
              </w:rPr>
              <w:t>Michigan</w:t>
            </w:r>
          </w:p>
        </w:tc>
        <w:tc>
          <w:tcPr>
            <w:tcW w:w="1120" w:type="dxa"/>
            <w:vAlign w:val="bottom"/>
          </w:tcPr>
          <w:p>
            <w:pPr>
              <w:jc w:val="right"/>
              <w:ind w:right="20"/>
              <w:spacing w:after="0"/>
              <w:rPr>
                <w:sz w:val="20"/>
                <w:szCs w:val="20"/>
                <w:color w:val="auto"/>
              </w:rPr>
            </w:pPr>
            <w:r>
              <w:rPr>
                <w:rFonts w:ascii="Arial" w:cs="Arial" w:eastAsia="Arial" w:hAnsi="Arial"/>
                <w:sz w:val="16"/>
                <w:szCs w:val="16"/>
                <w:color w:val="auto"/>
              </w:rPr>
              <w:t>3.6</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20" w:type="dxa"/>
            <w:vAlign w:val="bottom"/>
          </w:tcPr>
          <w:p>
            <w:pPr>
              <w:jc w:val="right"/>
              <w:ind w:right="20"/>
              <w:spacing w:after="0"/>
              <w:rPr>
                <w:sz w:val="20"/>
                <w:szCs w:val="20"/>
                <w:color w:val="auto"/>
              </w:rPr>
            </w:pPr>
            <w:r>
              <w:rPr>
                <w:rFonts w:ascii="Arial" w:cs="Arial" w:eastAsia="Arial" w:hAnsi="Arial"/>
                <w:sz w:val="16"/>
                <w:szCs w:val="16"/>
                <w:color w:val="auto"/>
              </w:rPr>
              <w:t>1,136</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00" w:type="dxa"/>
            <w:vAlign w:val="bottom"/>
          </w:tcPr>
          <w:p>
            <w:pPr>
              <w:jc w:val="right"/>
              <w:ind w:right="40"/>
              <w:spacing w:after="0"/>
              <w:rPr>
                <w:sz w:val="20"/>
                <w:szCs w:val="20"/>
                <w:color w:val="auto"/>
              </w:rPr>
            </w:pPr>
            <w:r>
              <w:rPr>
                <w:rFonts w:ascii="Arial" w:cs="Arial" w:eastAsia="Arial" w:hAnsi="Arial"/>
                <w:sz w:val="16"/>
                <w:szCs w:val="16"/>
                <w:color w:val="auto"/>
              </w:rPr>
              <w:t>323.08</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jc w:val="right"/>
              <w:ind w:right="40"/>
              <w:spacing w:after="0"/>
              <w:rPr>
                <w:sz w:val="20"/>
                <w:szCs w:val="20"/>
                <w:color w:val="auto"/>
              </w:rPr>
            </w:pPr>
            <w:r>
              <w:rPr>
                <w:rFonts w:ascii="Arial" w:cs="Arial" w:eastAsia="Arial" w:hAnsi="Arial"/>
                <w:sz w:val="16"/>
                <w:szCs w:val="16"/>
                <w:color w:val="auto"/>
              </w:rPr>
              <w:t>1,013</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00" w:type="dxa"/>
            <w:vAlign w:val="bottom"/>
          </w:tcPr>
          <w:p>
            <w:pPr>
              <w:jc w:val="right"/>
              <w:ind w:right="40"/>
              <w:spacing w:after="0"/>
              <w:rPr>
                <w:sz w:val="20"/>
                <w:szCs w:val="20"/>
                <w:color w:val="auto"/>
              </w:rPr>
            </w:pPr>
            <w:r>
              <w:rPr>
                <w:rFonts w:ascii="Arial" w:cs="Arial" w:eastAsia="Arial" w:hAnsi="Arial"/>
                <w:sz w:val="16"/>
                <w:szCs w:val="16"/>
                <w:color w:val="auto"/>
              </w:rPr>
              <w:t>288.13</w:t>
            </w:r>
          </w:p>
        </w:tc>
        <w:tc>
          <w:tcPr>
            <w:tcW w:w="1300" w:type="dxa"/>
            <w:vAlign w:val="bottom"/>
            <w:gridSpan w:val="2"/>
          </w:tcPr>
          <w:p>
            <w:pPr>
              <w:jc w:val="right"/>
              <w:ind w:right="103"/>
              <w:spacing w:after="0"/>
              <w:rPr>
                <w:sz w:val="20"/>
                <w:szCs w:val="20"/>
                <w:color w:val="auto"/>
              </w:rPr>
            </w:pPr>
            <w:r>
              <w:rPr>
                <w:rFonts w:ascii="Arial" w:cs="Arial" w:eastAsia="Arial" w:hAnsi="Arial"/>
                <w:sz w:val="16"/>
                <w:szCs w:val="16"/>
                <w:color w:val="auto"/>
              </w:rPr>
              <w:t>89.2</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760" w:type="dxa"/>
            <w:vAlign w:val="bottom"/>
          </w:tcPr>
          <w:p>
            <w:pPr>
              <w:jc w:val="right"/>
              <w:ind w:right="39"/>
              <w:spacing w:after="0"/>
              <w:rPr>
                <w:sz w:val="20"/>
                <w:szCs w:val="20"/>
                <w:color w:val="auto"/>
              </w:rPr>
            </w:pPr>
            <w:r>
              <w:rPr>
                <w:rFonts w:ascii="Arial" w:cs="Arial" w:eastAsia="Arial" w:hAnsi="Arial"/>
                <w:sz w:val="16"/>
                <w:szCs w:val="16"/>
                <w:color w:val="auto"/>
              </w:rPr>
              <w:t>123</w:t>
            </w:r>
          </w:p>
        </w:tc>
        <w:tc>
          <w:tcPr>
            <w:tcW w:w="0" w:type="dxa"/>
            <w:vAlign w:val="bottom"/>
          </w:tcPr>
          <w:p>
            <w:pPr>
              <w:spacing w:after="0"/>
              <w:rPr>
                <w:sz w:val="1"/>
                <w:szCs w:val="1"/>
                <w:color w:val="auto"/>
              </w:rPr>
            </w:pPr>
          </w:p>
        </w:tc>
      </w:tr>
      <w:tr>
        <w:trPr>
          <w:trHeight w:val="278"/>
        </w:trPr>
        <w:tc>
          <w:tcPr>
            <w:tcW w:w="204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New Mexico</w:t>
            </w:r>
          </w:p>
        </w:tc>
        <w:tc>
          <w:tcPr>
            <w:tcW w:w="112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2.1</w:t>
            </w: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974</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460.71</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873</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412.92</w:t>
            </w:r>
          </w:p>
        </w:tc>
        <w:tc>
          <w:tcPr>
            <w:tcW w:w="1300" w:type="dxa"/>
            <w:vAlign w:val="bottom"/>
            <w:gridSpan w:val="2"/>
            <w:shd w:val="clear" w:color="auto" w:fill="CCEEFF"/>
          </w:tcPr>
          <w:p>
            <w:pPr>
              <w:jc w:val="right"/>
              <w:ind w:right="103"/>
              <w:spacing w:after="0"/>
              <w:rPr>
                <w:sz w:val="20"/>
                <w:szCs w:val="20"/>
                <w:color w:val="auto"/>
              </w:rPr>
            </w:pPr>
            <w:r>
              <w:rPr>
                <w:rFonts w:ascii="Arial" w:cs="Arial" w:eastAsia="Arial" w:hAnsi="Arial"/>
                <w:sz w:val="16"/>
                <w:szCs w:val="16"/>
                <w:color w:val="auto"/>
              </w:rPr>
              <w:t>89.6</w:t>
            </w: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7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101</w:t>
            </w:r>
          </w:p>
        </w:tc>
        <w:tc>
          <w:tcPr>
            <w:tcW w:w="0" w:type="dxa"/>
            <w:vAlign w:val="bottom"/>
          </w:tcPr>
          <w:p>
            <w:pPr>
              <w:spacing w:after="0"/>
              <w:rPr>
                <w:sz w:val="1"/>
                <w:szCs w:val="1"/>
                <w:color w:val="auto"/>
              </w:rPr>
            </w:pPr>
          </w:p>
        </w:tc>
      </w:tr>
      <w:tr>
        <w:trPr>
          <w:trHeight w:val="262"/>
        </w:trPr>
        <w:tc>
          <w:tcPr>
            <w:tcW w:w="2040" w:type="dxa"/>
            <w:vAlign w:val="bottom"/>
          </w:tcPr>
          <w:p>
            <w:pPr>
              <w:ind w:left="20"/>
              <w:spacing w:after="0"/>
              <w:rPr>
                <w:sz w:val="20"/>
                <w:szCs w:val="20"/>
                <w:color w:val="auto"/>
              </w:rPr>
            </w:pPr>
            <w:r>
              <w:rPr>
                <w:rFonts w:ascii="Arial" w:cs="Arial" w:eastAsia="Arial" w:hAnsi="Arial"/>
                <w:sz w:val="16"/>
                <w:szCs w:val="16"/>
                <w:color w:val="auto"/>
              </w:rPr>
              <w:t>New York (3)</w:t>
            </w:r>
          </w:p>
        </w:tc>
        <w:tc>
          <w:tcPr>
            <w:tcW w:w="1120" w:type="dxa"/>
            <w:vAlign w:val="bottom"/>
          </w:tcPr>
          <w:p>
            <w:pPr>
              <w:jc w:val="right"/>
              <w:ind w:right="20"/>
              <w:spacing w:after="0"/>
              <w:rPr>
                <w:sz w:val="20"/>
                <w:szCs w:val="20"/>
                <w:color w:val="auto"/>
              </w:rPr>
            </w:pPr>
            <w:r>
              <w:rPr>
                <w:rFonts w:ascii="Arial" w:cs="Arial" w:eastAsia="Arial" w:hAnsi="Arial"/>
                <w:sz w:val="16"/>
                <w:szCs w:val="16"/>
                <w:color w:val="auto"/>
              </w:rPr>
              <w:t>0.1</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20" w:type="dxa"/>
            <w:vAlign w:val="bottom"/>
          </w:tcPr>
          <w:p>
            <w:pPr>
              <w:jc w:val="right"/>
              <w:ind w:right="20"/>
              <w:spacing w:after="0"/>
              <w:rPr>
                <w:sz w:val="20"/>
                <w:szCs w:val="20"/>
                <w:color w:val="auto"/>
              </w:rPr>
            </w:pPr>
            <w:r>
              <w:rPr>
                <w:rFonts w:ascii="Arial" w:cs="Arial" w:eastAsia="Arial" w:hAnsi="Arial"/>
                <w:sz w:val="16"/>
                <w:szCs w:val="16"/>
                <w:color w:val="auto"/>
              </w:rPr>
              <w:t>32</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00" w:type="dxa"/>
            <w:vAlign w:val="bottom"/>
          </w:tcPr>
          <w:p>
            <w:pPr>
              <w:jc w:val="right"/>
              <w:ind w:right="40"/>
              <w:spacing w:after="0"/>
              <w:rPr>
                <w:sz w:val="20"/>
                <w:szCs w:val="20"/>
                <w:color w:val="auto"/>
              </w:rPr>
            </w:pPr>
            <w:r>
              <w:rPr>
                <w:rFonts w:ascii="Arial" w:cs="Arial" w:eastAsia="Arial" w:hAnsi="Arial"/>
                <w:sz w:val="16"/>
                <w:szCs w:val="16"/>
                <w:color w:val="auto"/>
              </w:rPr>
              <w:t>427.40</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jc w:val="right"/>
              <w:ind w:right="40"/>
              <w:spacing w:after="0"/>
              <w:rPr>
                <w:sz w:val="20"/>
                <w:szCs w:val="20"/>
                <w:color w:val="auto"/>
              </w:rPr>
            </w:pPr>
            <w:r>
              <w:rPr>
                <w:rFonts w:ascii="Arial" w:cs="Arial" w:eastAsia="Arial" w:hAnsi="Arial"/>
                <w:sz w:val="16"/>
                <w:szCs w:val="16"/>
                <w:color w:val="auto"/>
              </w:rPr>
              <w:t>30</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00" w:type="dxa"/>
            <w:vAlign w:val="bottom"/>
          </w:tcPr>
          <w:p>
            <w:pPr>
              <w:jc w:val="right"/>
              <w:ind w:right="40"/>
              <w:spacing w:after="0"/>
              <w:rPr>
                <w:sz w:val="20"/>
                <w:szCs w:val="20"/>
                <w:color w:val="auto"/>
              </w:rPr>
            </w:pPr>
            <w:r>
              <w:rPr>
                <w:rFonts w:ascii="Arial" w:cs="Arial" w:eastAsia="Arial" w:hAnsi="Arial"/>
                <w:sz w:val="16"/>
                <w:szCs w:val="16"/>
                <w:color w:val="auto"/>
              </w:rPr>
              <w:t>403.71</w:t>
            </w:r>
          </w:p>
        </w:tc>
        <w:tc>
          <w:tcPr>
            <w:tcW w:w="1300" w:type="dxa"/>
            <w:vAlign w:val="bottom"/>
            <w:gridSpan w:val="2"/>
          </w:tcPr>
          <w:p>
            <w:pPr>
              <w:jc w:val="right"/>
              <w:ind w:right="103"/>
              <w:spacing w:after="0"/>
              <w:rPr>
                <w:sz w:val="20"/>
                <w:szCs w:val="20"/>
                <w:color w:val="auto"/>
              </w:rPr>
            </w:pPr>
            <w:r>
              <w:rPr>
                <w:rFonts w:ascii="Arial" w:cs="Arial" w:eastAsia="Arial" w:hAnsi="Arial"/>
                <w:sz w:val="16"/>
                <w:szCs w:val="16"/>
                <w:color w:val="auto"/>
              </w:rPr>
              <w:t>94.5</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760" w:type="dxa"/>
            <w:vAlign w:val="bottom"/>
          </w:tcPr>
          <w:p>
            <w:pPr>
              <w:jc w:val="right"/>
              <w:ind w:right="39"/>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278"/>
        </w:trPr>
        <w:tc>
          <w:tcPr>
            <w:tcW w:w="2040" w:type="dxa"/>
            <w:vAlign w:val="bottom"/>
            <w:shd w:val="clear" w:color="auto" w:fill="CCEEFF"/>
          </w:tcPr>
          <w:p>
            <w:pPr>
              <w:ind w:left="20"/>
              <w:spacing w:after="0"/>
              <w:rPr>
                <w:sz w:val="20"/>
                <w:szCs w:val="20"/>
                <w:color w:val="auto"/>
              </w:rPr>
            </w:pPr>
            <w:r>
              <w:rPr>
                <w:rFonts w:ascii="Arial" w:cs="Arial" w:eastAsia="Arial" w:hAnsi="Arial"/>
                <w:sz w:val="16"/>
                <w:szCs w:val="16"/>
                <w:color w:val="auto"/>
              </w:rPr>
              <w:t>Ohio</w:t>
            </w:r>
          </w:p>
        </w:tc>
        <w:tc>
          <w:tcPr>
            <w:tcW w:w="112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2.9</w:t>
            </w: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1,444</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489.63</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1,286</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435.99</w:t>
            </w:r>
          </w:p>
        </w:tc>
        <w:tc>
          <w:tcPr>
            <w:tcW w:w="1300" w:type="dxa"/>
            <w:vAlign w:val="bottom"/>
            <w:gridSpan w:val="2"/>
            <w:shd w:val="clear" w:color="auto" w:fill="CCEEFF"/>
          </w:tcPr>
          <w:p>
            <w:pPr>
              <w:jc w:val="right"/>
              <w:ind w:right="103"/>
              <w:spacing w:after="0"/>
              <w:rPr>
                <w:sz w:val="20"/>
                <w:szCs w:val="20"/>
                <w:color w:val="auto"/>
              </w:rPr>
            </w:pPr>
            <w:r>
              <w:rPr>
                <w:rFonts w:ascii="Arial" w:cs="Arial" w:eastAsia="Arial" w:hAnsi="Arial"/>
                <w:sz w:val="16"/>
                <w:szCs w:val="16"/>
                <w:color w:val="auto"/>
              </w:rPr>
              <w:t>89.0</w:t>
            </w: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7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158</w:t>
            </w:r>
          </w:p>
        </w:tc>
        <w:tc>
          <w:tcPr>
            <w:tcW w:w="0" w:type="dxa"/>
            <w:vAlign w:val="bottom"/>
          </w:tcPr>
          <w:p>
            <w:pPr>
              <w:spacing w:after="0"/>
              <w:rPr>
                <w:sz w:val="1"/>
                <w:szCs w:val="1"/>
                <w:color w:val="auto"/>
              </w:rPr>
            </w:pPr>
          </w:p>
        </w:tc>
      </w:tr>
      <w:tr>
        <w:trPr>
          <w:trHeight w:val="262"/>
        </w:trPr>
        <w:tc>
          <w:tcPr>
            <w:tcW w:w="2040" w:type="dxa"/>
            <w:vAlign w:val="bottom"/>
          </w:tcPr>
          <w:p>
            <w:pPr>
              <w:ind w:left="20"/>
              <w:spacing w:after="0"/>
              <w:rPr>
                <w:sz w:val="20"/>
                <w:szCs w:val="20"/>
                <w:color w:val="auto"/>
              </w:rPr>
            </w:pPr>
            <w:r>
              <w:rPr>
                <w:rFonts w:ascii="Arial" w:cs="Arial" w:eastAsia="Arial" w:hAnsi="Arial"/>
                <w:sz w:val="16"/>
                <w:szCs w:val="16"/>
                <w:color w:val="auto"/>
              </w:rPr>
              <w:t>Puerto Rico</w:t>
            </w:r>
          </w:p>
        </w:tc>
        <w:tc>
          <w:tcPr>
            <w:tcW w:w="1120" w:type="dxa"/>
            <w:vAlign w:val="bottom"/>
          </w:tcPr>
          <w:p>
            <w:pPr>
              <w:jc w:val="right"/>
              <w:ind w:right="20"/>
              <w:spacing w:after="0"/>
              <w:rPr>
                <w:sz w:val="20"/>
                <w:szCs w:val="20"/>
                <w:color w:val="auto"/>
              </w:rPr>
            </w:pPr>
            <w:r>
              <w:rPr>
                <w:rFonts w:ascii="Arial" w:cs="Arial" w:eastAsia="Arial" w:hAnsi="Arial"/>
                <w:sz w:val="16"/>
                <w:szCs w:val="16"/>
                <w:color w:val="auto"/>
              </w:rPr>
              <w:t>3.0</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20" w:type="dxa"/>
            <w:vAlign w:val="bottom"/>
          </w:tcPr>
          <w:p>
            <w:pPr>
              <w:jc w:val="right"/>
              <w:ind w:right="20"/>
              <w:spacing w:after="0"/>
              <w:rPr>
                <w:sz w:val="20"/>
                <w:szCs w:val="20"/>
                <w:color w:val="auto"/>
              </w:rPr>
            </w:pPr>
            <w:r>
              <w:rPr>
                <w:rFonts w:ascii="Arial" w:cs="Arial" w:eastAsia="Arial" w:hAnsi="Arial"/>
                <w:sz w:val="16"/>
                <w:szCs w:val="16"/>
                <w:color w:val="auto"/>
              </w:rPr>
              <w:t>535</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00" w:type="dxa"/>
            <w:vAlign w:val="bottom"/>
          </w:tcPr>
          <w:p>
            <w:pPr>
              <w:jc w:val="right"/>
              <w:ind w:right="40"/>
              <w:spacing w:after="0"/>
              <w:rPr>
                <w:sz w:val="20"/>
                <w:szCs w:val="20"/>
                <w:color w:val="auto"/>
              </w:rPr>
            </w:pPr>
            <w:r>
              <w:rPr>
                <w:rFonts w:ascii="Arial" w:cs="Arial" w:eastAsia="Arial" w:hAnsi="Arial"/>
                <w:sz w:val="16"/>
                <w:szCs w:val="16"/>
                <w:color w:val="auto"/>
              </w:rPr>
              <w:t>176.44</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jc w:val="right"/>
              <w:ind w:right="40"/>
              <w:spacing w:after="0"/>
              <w:rPr>
                <w:sz w:val="20"/>
                <w:szCs w:val="20"/>
                <w:color w:val="auto"/>
              </w:rPr>
            </w:pPr>
            <w:r>
              <w:rPr>
                <w:rFonts w:ascii="Arial" w:cs="Arial" w:eastAsia="Arial" w:hAnsi="Arial"/>
                <w:sz w:val="16"/>
                <w:szCs w:val="16"/>
                <w:color w:val="auto"/>
              </w:rPr>
              <w:t>516</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00" w:type="dxa"/>
            <w:vAlign w:val="bottom"/>
          </w:tcPr>
          <w:p>
            <w:pPr>
              <w:jc w:val="right"/>
              <w:ind w:right="40"/>
              <w:spacing w:after="0"/>
              <w:rPr>
                <w:sz w:val="20"/>
                <w:szCs w:val="20"/>
                <w:color w:val="auto"/>
              </w:rPr>
            </w:pPr>
            <w:r>
              <w:rPr>
                <w:rFonts w:ascii="Arial" w:cs="Arial" w:eastAsia="Arial" w:hAnsi="Arial"/>
                <w:sz w:val="16"/>
                <w:szCs w:val="16"/>
                <w:color w:val="auto"/>
              </w:rPr>
              <w:t>170.46</w:t>
            </w:r>
          </w:p>
        </w:tc>
        <w:tc>
          <w:tcPr>
            <w:tcW w:w="1300" w:type="dxa"/>
            <w:vAlign w:val="bottom"/>
            <w:gridSpan w:val="2"/>
          </w:tcPr>
          <w:p>
            <w:pPr>
              <w:jc w:val="right"/>
              <w:ind w:right="103"/>
              <w:spacing w:after="0"/>
              <w:rPr>
                <w:sz w:val="20"/>
                <w:szCs w:val="20"/>
                <w:color w:val="auto"/>
              </w:rPr>
            </w:pPr>
            <w:r>
              <w:rPr>
                <w:rFonts w:ascii="Arial" w:cs="Arial" w:eastAsia="Arial" w:hAnsi="Arial"/>
                <w:sz w:val="16"/>
                <w:szCs w:val="16"/>
                <w:color w:val="auto"/>
              </w:rPr>
              <w:t>96.6</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760" w:type="dxa"/>
            <w:vAlign w:val="bottom"/>
          </w:tcPr>
          <w:p>
            <w:pPr>
              <w:jc w:val="right"/>
              <w:ind w:right="39"/>
              <w:spacing w:after="0"/>
              <w:rPr>
                <w:sz w:val="20"/>
                <w:szCs w:val="20"/>
                <w:color w:val="auto"/>
              </w:rPr>
            </w:pPr>
            <w:r>
              <w:rPr>
                <w:rFonts w:ascii="Arial" w:cs="Arial" w:eastAsia="Arial" w:hAnsi="Arial"/>
                <w:sz w:val="16"/>
                <w:szCs w:val="16"/>
                <w:color w:val="auto"/>
              </w:rPr>
              <w:t>19</w:t>
            </w:r>
          </w:p>
        </w:tc>
        <w:tc>
          <w:tcPr>
            <w:tcW w:w="0" w:type="dxa"/>
            <w:vAlign w:val="bottom"/>
          </w:tcPr>
          <w:p>
            <w:pPr>
              <w:spacing w:after="0"/>
              <w:rPr>
                <w:sz w:val="1"/>
                <w:szCs w:val="1"/>
                <w:color w:val="auto"/>
              </w:rPr>
            </w:pPr>
          </w:p>
        </w:tc>
      </w:tr>
      <w:tr>
        <w:trPr>
          <w:trHeight w:val="278"/>
        </w:trPr>
        <w:tc>
          <w:tcPr>
            <w:tcW w:w="2040" w:type="dxa"/>
            <w:vAlign w:val="bottom"/>
            <w:shd w:val="clear" w:color="auto" w:fill="CCEEFF"/>
          </w:tcPr>
          <w:p>
            <w:pPr>
              <w:ind w:left="20"/>
              <w:spacing w:after="0"/>
              <w:rPr>
                <w:sz w:val="20"/>
                <w:szCs w:val="20"/>
                <w:color w:val="auto"/>
              </w:rPr>
            </w:pPr>
            <w:r>
              <w:rPr>
                <w:rFonts w:ascii="Arial" w:cs="Arial" w:eastAsia="Arial" w:hAnsi="Arial"/>
                <w:sz w:val="16"/>
                <w:szCs w:val="16"/>
                <w:color w:val="auto"/>
              </w:rPr>
              <w:t>South Carolina</w:t>
            </w:r>
          </w:p>
        </w:tc>
        <w:tc>
          <w:tcPr>
            <w:tcW w:w="112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0.9</w:t>
            </w: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273</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288.93</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232</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245.13</w:t>
            </w:r>
          </w:p>
        </w:tc>
        <w:tc>
          <w:tcPr>
            <w:tcW w:w="1300" w:type="dxa"/>
            <w:vAlign w:val="bottom"/>
            <w:gridSpan w:val="2"/>
            <w:shd w:val="clear" w:color="auto" w:fill="CCEEFF"/>
          </w:tcPr>
          <w:p>
            <w:pPr>
              <w:jc w:val="right"/>
              <w:ind w:right="103"/>
              <w:spacing w:after="0"/>
              <w:rPr>
                <w:sz w:val="20"/>
                <w:szCs w:val="20"/>
                <w:color w:val="auto"/>
              </w:rPr>
            </w:pPr>
            <w:r>
              <w:rPr>
                <w:rFonts w:ascii="Arial" w:cs="Arial" w:eastAsia="Arial" w:hAnsi="Arial"/>
                <w:sz w:val="16"/>
                <w:szCs w:val="16"/>
                <w:color w:val="auto"/>
              </w:rPr>
              <w:t>84.8</w:t>
            </w: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7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41</w:t>
            </w:r>
          </w:p>
        </w:tc>
        <w:tc>
          <w:tcPr>
            <w:tcW w:w="0" w:type="dxa"/>
            <w:vAlign w:val="bottom"/>
          </w:tcPr>
          <w:p>
            <w:pPr>
              <w:spacing w:after="0"/>
              <w:rPr>
                <w:sz w:val="1"/>
                <w:szCs w:val="1"/>
                <w:color w:val="auto"/>
              </w:rPr>
            </w:pPr>
          </w:p>
        </w:tc>
      </w:tr>
      <w:tr>
        <w:trPr>
          <w:trHeight w:val="262"/>
        </w:trPr>
        <w:tc>
          <w:tcPr>
            <w:tcW w:w="2040" w:type="dxa"/>
            <w:vAlign w:val="bottom"/>
          </w:tcPr>
          <w:p>
            <w:pPr>
              <w:ind w:left="20"/>
              <w:spacing w:after="0"/>
              <w:rPr>
                <w:sz w:val="20"/>
                <w:szCs w:val="20"/>
                <w:color w:val="auto"/>
              </w:rPr>
            </w:pPr>
            <w:r>
              <w:rPr>
                <w:rFonts w:ascii="Arial" w:cs="Arial" w:eastAsia="Arial" w:hAnsi="Arial"/>
                <w:sz w:val="16"/>
                <w:szCs w:val="16"/>
                <w:color w:val="auto"/>
              </w:rPr>
              <w:t>Texas</w:t>
            </w:r>
          </w:p>
        </w:tc>
        <w:tc>
          <w:tcPr>
            <w:tcW w:w="1120" w:type="dxa"/>
            <w:vAlign w:val="bottom"/>
          </w:tcPr>
          <w:p>
            <w:pPr>
              <w:jc w:val="right"/>
              <w:ind w:right="20"/>
              <w:spacing w:after="0"/>
              <w:rPr>
                <w:sz w:val="20"/>
                <w:szCs w:val="20"/>
                <w:color w:val="auto"/>
              </w:rPr>
            </w:pPr>
            <w:r>
              <w:rPr>
                <w:rFonts w:ascii="Arial" w:cs="Arial" w:eastAsia="Arial" w:hAnsi="Arial"/>
                <w:sz w:val="16"/>
                <w:szCs w:val="16"/>
                <w:color w:val="auto"/>
              </w:rPr>
              <w:t>2.2</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20" w:type="dxa"/>
            <w:vAlign w:val="bottom"/>
          </w:tcPr>
          <w:p>
            <w:pPr>
              <w:jc w:val="right"/>
              <w:ind w:right="20"/>
              <w:spacing w:after="0"/>
              <w:rPr>
                <w:sz w:val="20"/>
                <w:szCs w:val="20"/>
                <w:color w:val="auto"/>
              </w:rPr>
            </w:pPr>
            <w:r>
              <w:rPr>
                <w:rFonts w:ascii="Arial" w:cs="Arial" w:eastAsia="Arial" w:hAnsi="Arial"/>
                <w:sz w:val="16"/>
                <w:szCs w:val="16"/>
                <w:color w:val="auto"/>
              </w:rPr>
              <w:t>1,650</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00" w:type="dxa"/>
            <w:vAlign w:val="bottom"/>
          </w:tcPr>
          <w:p>
            <w:pPr>
              <w:jc w:val="right"/>
              <w:ind w:right="40"/>
              <w:spacing w:after="0"/>
              <w:rPr>
                <w:sz w:val="20"/>
                <w:szCs w:val="20"/>
                <w:color w:val="auto"/>
              </w:rPr>
            </w:pPr>
            <w:r>
              <w:rPr>
                <w:rFonts w:ascii="Arial" w:cs="Arial" w:eastAsia="Arial" w:hAnsi="Arial"/>
                <w:sz w:val="16"/>
                <w:szCs w:val="16"/>
                <w:color w:val="auto"/>
              </w:rPr>
              <w:t>744.71</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jc w:val="right"/>
              <w:ind w:right="40"/>
              <w:spacing w:after="0"/>
              <w:rPr>
                <w:sz w:val="20"/>
                <w:szCs w:val="20"/>
                <w:color w:val="auto"/>
              </w:rPr>
            </w:pPr>
            <w:r>
              <w:rPr>
                <w:rFonts w:ascii="Arial" w:cs="Arial" w:eastAsia="Arial" w:hAnsi="Arial"/>
                <w:sz w:val="16"/>
                <w:szCs w:val="16"/>
                <w:color w:val="auto"/>
              </w:rPr>
              <w:t>1,466</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00" w:type="dxa"/>
            <w:vAlign w:val="bottom"/>
          </w:tcPr>
          <w:p>
            <w:pPr>
              <w:jc w:val="right"/>
              <w:ind w:right="40"/>
              <w:spacing w:after="0"/>
              <w:rPr>
                <w:sz w:val="20"/>
                <w:szCs w:val="20"/>
                <w:color w:val="auto"/>
              </w:rPr>
            </w:pPr>
            <w:r>
              <w:rPr>
                <w:rFonts w:ascii="Arial" w:cs="Arial" w:eastAsia="Arial" w:hAnsi="Arial"/>
                <w:sz w:val="16"/>
                <w:szCs w:val="16"/>
                <w:color w:val="auto"/>
              </w:rPr>
              <w:t>662.01</w:t>
            </w:r>
          </w:p>
        </w:tc>
        <w:tc>
          <w:tcPr>
            <w:tcW w:w="1300" w:type="dxa"/>
            <w:vAlign w:val="bottom"/>
            <w:gridSpan w:val="2"/>
          </w:tcPr>
          <w:p>
            <w:pPr>
              <w:jc w:val="right"/>
              <w:ind w:right="103"/>
              <w:spacing w:after="0"/>
              <w:rPr>
                <w:sz w:val="20"/>
                <w:szCs w:val="20"/>
                <w:color w:val="auto"/>
              </w:rPr>
            </w:pPr>
            <w:r>
              <w:rPr>
                <w:rFonts w:ascii="Arial" w:cs="Arial" w:eastAsia="Arial" w:hAnsi="Arial"/>
                <w:sz w:val="16"/>
                <w:szCs w:val="16"/>
                <w:color w:val="auto"/>
              </w:rPr>
              <w:t>88.9</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760" w:type="dxa"/>
            <w:vAlign w:val="bottom"/>
          </w:tcPr>
          <w:p>
            <w:pPr>
              <w:jc w:val="right"/>
              <w:ind w:right="39"/>
              <w:spacing w:after="0"/>
              <w:rPr>
                <w:sz w:val="20"/>
                <w:szCs w:val="20"/>
                <w:color w:val="auto"/>
              </w:rPr>
            </w:pPr>
            <w:r>
              <w:rPr>
                <w:rFonts w:ascii="Arial" w:cs="Arial" w:eastAsia="Arial" w:hAnsi="Arial"/>
                <w:sz w:val="16"/>
                <w:szCs w:val="16"/>
                <w:color w:val="auto"/>
              </w:rPr>
              <w:t>184</w:t>
            </w:r>
          </w:p>
        </w:tc>
        <w:tc>
          <w:tcPr>
            <w:tcW w:w="0" w:type="dxa"/>
            <w:vAlign w:val="bottom"/>
          </w:tcPr>
          <w:p>
            <w:pPr>
              <w:spacing w:after="0"/>
              <w:rPr>
                <w:sz w:val="1"/>
                <w:szCs w:val="1"/>
                <w:color w:val="auto"/>
              </w:rPr>
            </w:pPr>
          </w:p>
        </w:tc>
      </w:tr>
      <w:tr>
        <w:trPr>
          <w:trHeight w:val="278"/>
        </w:trPr>
        <w:tc>
          <w:tcPr>
            <w:tcW w:w="2040" w:type="dxa"/>
            <w:vAlign w:val="bottom"/>
            <w:shd w:val="clear" w:color="auto" w:fill="CCEEFF"/>
          </w:tcPr>
          <w:p>
            <w:pPr>
              <w:ind w:left="20"/>
              <w:spacing w:after="0"/>
              <w:rPr>
                <w:sz w:val="20"/>
                <w:szCs w:val="20"/>
                <w:color w:val="auto"/>
              </w:rPr>
            </w:pPr>
            <w:r>
              <w:rPr>
                <w:rFonts w:ascii="Arial" w:cs="Arial" w:eastAsia="Arial" w:hAnsi="Arial"/>
                <w:sz w:val="16"/>
                <w:szCs w:val="16"/>
                <w:color w:val="auto"/>
              </w:rPr>
              <w:t>Utah</w:t>
            </w:r>
          </w:p>
        </w:tc>
        <w:tc>
          <w:tcPr>
            <w:tcW w:w="112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0.9</w:t>
            </w: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255</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293.33</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221</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253.79</w:t>
            </w:r>
          </w:p>
        </w:tc>
        <w:tc>
          <w:tcPr>
            <w:tcW w:w="1300" w:type="dxa"/>
            <w:vAlign w:val="bottom"/>
            <w:gridSpan w:val="2"/>
            <w:shd w:val="clear" w:color="auto" w:fill="CCEEFF"/>
          </w:tcPr>
          <w:p>
            <w:pPr>
              <w:jc w:val="right"/>
              <w:ind w:right="103"/>
              <w:spacing w:after="0"/>
              <w:rPr>
                <w:sz w:val="20"/>
                <w:szCs w:val="20"/>
                <w:color w:val="auto"/>
              </w:rPr>
            </w:pPr>
            <w:r>
              <w:rPr>
                <w:rFonts w:ascii="Arial" w:cs="Arial" w:eastAsia="Arial" w:hAnsi="Arial"/>
                <w:sz w:val="16"/>
                <w:szCs w:val="16"/>
                <w:color w:val="auto"/>
              </w:rPr>
              <w:t>86.5</w:t>
            </w: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7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34</w:t>
            </w:r>
          </w:p>
        </w:tc>
        <w:tc>
          <w:tcPr>
            <w:tcW w:w="0" w:type="dxa"/>
            <w:vAlign w:val="bottom"/>
          </w:tcPr>
          <w:p>
            <w:pPr>
              <w:spacing w:after="0"/>
              <w:rPr>
                <w:sz w:val="1"/>
                <w:szCs w:val="1"/>
                <w:color w:val="auto"/>
              </w:rPr>
            </w:pPr>
          </w:p>
        </w:tc>
      </w:tr>
      <w:tr>
        <w:trPr>
          <w:trHeight w:val="262"/>
        </w:trPr>
        <w:tc>
          <w:tcPr>
            <w:tcW w:w="2040" w:type="dxa"/>
            <w:vAlign w:val="bottom"/>
          </w:tcPr>
          <w:p>
            <w:pPr>
              <w:ind w:left="20"/>
              <w:spacing w:after="0"/>
              <w:rPr>
                <w:sz w:val="20"/>
                <w:szCs w:val="20"/>
                <w:color w:val="auto"/>
              </w:rPr>
            </w:pPr>
            <w:r>
              <w:rPr>
                <w:rFonts w:ascii="Arial" w:cs="Arial" w:eastAsia="Arial" w:hAnsi="Arial"/>
                <w:sz w:val="16"/>
                <w:szCs w:val="16"/>
                <w:color w:val="auto"/>
              </w:rPr>
              <w:t>Washington</w:t>
            </w:r>
          </w:p>
        </w:tc>
        <w:tc>
          <w:tcPr>
            <w:tcW w:w="1120" w:type="dxa"/>
            <w:vAlign w:val="bottom"/>
          </w:tcPr>
          <w:p>
            <w:pPr>
              <w:jc w:val="right"/>
              <w:ind w:right="20"/>
              <w:spacing w:after="0"/>
              <w:rPr>
                <w:sz w:val="20"/>
                <w:szCs w:val="20"/>
                <w:color w:val="auto"/>
              </w:rPr>
            </w:pPr>
            <w:r>
              <w:rPr>
                <w:rFonts w:ascii="Arial" w:cs="Arial" w:eastAsia="Arial" w:hAnsi="Arial"/>
                <w:sz w:val="16"/>
                <w:szCs w:val="16"/>
                <w:color w:val="auto"/>
              </w:rPr>
              <w:t>6.0</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20" w:type="dxa"/>
            <w:vAlign w:val="bottom"/>
          </w:tcPr>
          <w:p>
            <w:pPr>
              <w:jc w:val="right"/>
              <w:ind w:right="20"/>
              <w:spacing w:after="0"/>
              <w:rPr>
                <w:sz w:val="20"/>
                <w:szCs w:val="20"/>
                <w:color w:val="auto"/>
              </w:rPr>
            </w:pPr>
            <w:r>
              <w:rPr>
                <w:rFonts w:ascii="Arial" w:cs="Arial" w:eastAsia="Arial" w:hAnsi="Arial"/>
                <w:sz w:val="16"/>
                <w:szCs w:val="16"/>
                <w:color w:val="auto"/>
              </w:rPr>
              <w:t>1,576</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00" w:type="dxa"/>
            <w:vAlign w:val="bottom"/>
          </w:tcPr>
          <w:p>
            <w:pPr>
              <w:jc w:val="right"/>
              <w:ind w:right="40"/>
              <w:spacing w:after="0"/>
              <w:rPr>
                <w:sz w:val="20"/>
                <w:szCs w:val="20"/>
                <w:color w:val="auto"/>
              </w:rPr>
            </w:pPr>
            <w:r>
              <w:rPr>
                <w:rFonts w:ascii="Arial" w:cs="Arial" w:eastAsia="Arial" w:hAnsi="Arial"/>
                <w:sz w:val="16"/>
                <w:szCs w:val="16"/>
                <w:color w:val="auto"/>
              </w:rPr>
              <w:t>261.23</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jc w:val="right"/>
              <w:ind w:right="40"/>
              <w:spacing w:after="0"/>
              <w:rPr>
                <w:sz w:val="20"/>
                <w:szCs w:val="20"/>
                <w:color w:val="auto"/>
              </w:rPr>
            </w:pPr>
            <w:r>
              <w:rPr>
                <w:rFonts w:ascii="Arial" w:cs="Arial" w:eastAsia="Arial" w:hAnsi="Arial"/>
                <w:sz w:val="16"/>
                <w:szCs w:val="16"/>
                <w:color w:val="auto"/>
              </w:rPr>
              <w:t>1,431</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00" w:type="dxa"/>
            <w:vAlign w:val="bottom"/>
          </w:tcPr>
          <w:p>
            <w:pPr>
              <w:jc w:val="right"/>
              <w:ind w:right="40"/>
              <w:spacing w:after="0"/>
              <w:rPr>
                <w:sz w:val="20"/>
                <w:szCs w:val="20"/>
                <w:color w:val="auto"/>
              </w:rPr>
            </w:pPr>
            <w:r>
              <w:rPr>
                <w:rFonts w:ascii="Arial" w:cs="Arial" w:eastAsia="Arial" w:hAnsi="Arial"/>
                <w:sz w:val="16"/>
                <w:szCs w:val="16"/>
                <w:color w:val="auto"/>
              </w:rPr>
              <w:t>237.20</w:t>
            </w:r>
          </w:p>
        </w:tc>
        <w:tc>
          <w:tcPr>
            <w:tcW w:w="1300" w:type="dxa"/>
            <w:vAlign w:val="bottom"/>
            <w:gridSpan w:val="2"/>
          </w:tcPr>
          <w:p>
            <w:pPr>
              <w:jc w:val="right"/>
              <w:ind w:right="103"/>
              <w:spacing w:after="0"/>
              <w:rPr>
                <w:sz w:val="20"/>
                <w:szCs w:val="20"/>
                <w:color w:val="auto"/>
              </w:rPr>
            </w:pPr>
            <w:r>
              <w:rPr>
                <w:rFonts w:ascii="Arial" w:cs="Arial" w:eastAsia="Arial" w:hAnsi="Arial"/>
                <w:sz w:val="16"/>
                <w:szCs w:val="16"/>
                <w:color w:val="auto"/>
              </w:rPr>
              <w:t>90.8</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760" w:type="dxa"/>
            <w:vAlign w:val="bottom"/>
          </w:tcPr>
          <w:p>
            <w:pPr>
              <w:jc w:val="right"/>
              <w:ind w:right="39"/>
              <w:spacing w:after="0"/>
              <w:rPr>
                <w:sz w:val="20"/>
                <w:szCs w:val="20"/>
                <w:color w:val="auto"/>
              </w:rPr>
            </w:pPr>
            <w:r>
              <w:rPr>
                <w:rFonts w:ascii="Arial" w:cs="Arial" w:eastAsia="Arial" w:hAnsi="Arial"/>
                <w:sz w:val="16"/>
                <w:szCs w:val="16"/>
                <w:color w:val="auto"/>
              </w:rPr>
              <w:t>145</w:t>
            </w:r>
          </w:p>
        </w:tc>
        <w:tc>
          <w:tcPr>
            <w:tcW w:w="0" w:type="dxa"/>
            <w:vAlign w:val="bottom"/>
          </w:tcPr>
          <w:p>
            <w:pPr>
              <w:spacing w:after="0"/>
              <w:rPr>
                <w:sz w:val="1"/>
                <w:szCs w:val="1"/>
                <w:color w:val="auto"/>
              </w:rPr>
            </w:pPr>
          </w:p>
        </w:tc>
      </w:tr>
      <w:tr>
        <w:trPr>
          <w:trHeight w:val="278"/>
        </w:trPr>
        <w:tc>
          <w:tcPr>
            <w:tcW w:w="2040" w:type="dxa"/>
            <w:vAlign w:val="bottom"/>
            <w:shd w:val="clear" w:color="auto" w:fill="CCEEFF"/>
          </w:tcPr>
          <w:p>
            <w:pPr>
              <w:ind w:left="20"/>
              <w:spacing w:after="0"/>
              <w:rPr>
                <w:sz w:val="20"/>
                <w:szCs w:val="20"/>
                <w:color w:val="auto"/>
              </w:rPr>
            </w:pPr>
            <w:r>
              <w:rPr>
                <w:rFonts w:ascii="Arial" w:cs="Arial" w:eastAsia="Arial" w:hAnsi="Arial"/>
                <w:sz w:val="16"/>
                <w:szCs w:val="16"/>
                <w:color w:val="auto"/>
              </w:rPr>
              <w:t>Wisconsin</w:t>
            </w:r>
          </w:p>
        </w:tc>
        <w:tc>
          <w:tcPr>
            <w:tcW w:w="112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0.7</w:t>
            </w: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107</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165.53</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78</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120.82</w:t>
            </w:r>
          </w:p>
        </w:tc>
        <w:tc>
          <w:tcPr>
            <w:tcW w:w="1300" w:type="dxa"/>
            <w:vAlign w:val="bottom"/>
            <w:gridSpan w:val="2"/>
            <w:shd w:val="clear" w:color="auto" w:fill="CCEEFF"/>
          </w:tcPr>
          <w:p>
            <w:pPr>
              <w:jc w:val="right"/>
              <w:ind w:right="103"/>
              <w:spacing w:after="0"/>
              <w:rPr>
                <w:sz w:val="20"/>
                <w:szCs w:val="20"/>
                <w:color w:val="auto"/>
              </w:rPr>
            </w:pPr>
            <w:r>
              <w:rPr>
                <w:rFonts w:ascii="Arial" w:cs="Arial" w:eastAsia="Arial" w:hAnsi="Arial"/>
                <w:sz w:val="16"/>
                <w:szCs w:val="16"/>
                <w:color w:val="auto"/>
              </w:rPr>
              <w:t>73.0</w:t>
            </w: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7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29</w:t>
            </w:r>
          </w:p>
        </w:tc>
        <w:tc>
          <w:tcPr>
            <w:tcW w:w="0" w:type="dxa"/>
            <w:vAlign w:val="bottom"/>
          </w:tcPr>
          <w:p>
            <w:pPr>
              <w:spacing w:after="0"/>
              <w:rPr>
                <w:sz w:val="1"/>
                <w:szCs w:val="1"/>
                <w:color w:val="auto"/>
              </w:rPr>
            </w:pPr>
          </w:p>
        </w:tc>
      </w:tr>
      <w:tr>
        <w:trPr>
          <w:trHeight w:val="264"/>
        </w:trPr>
        <w:tc>
          <w:tcPr>
            <w:tcW w:w="2040" w:type="dxa"/>
            <w:vAlign w:val="bottom"/>
          </w:tcPr>
          <w:p>
            <w:pPr>
              <w:ind w:left="20"/>
              <w:spacing w:after="0"/>
              <w:rPr>
                <w:sz w:val="20"/>
                <w:szCs w:val="20"/>
                <w:color w:val="auto"/>
              </w:rPr>
            </w:pPr>
            <w:r>
              <w:rPr>
                <w:rFonts w:ascii="Arial" w:cs="Arial" w:eastAsia="Arial" w:hAnsi="Arial"/>
                <w:sz w:val="16"/>
                <w:szCs w:val="16"/>
                <w:color w:val="auto"/>
              </w:rPr>
              <w:t>Other (4)</w:t>
            </w:r>
          </w:p>
        </w:tc>
        <w:tc>
          <w:tcPr>
            <w:tcW w:w="12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22"/>
                <w:szCs w:val="22"/>
                <w:color w:val="auto"/>
              </w:rPr>
            </w:pPr>
          </w:p>
        </w:tc>
        <w:tc>
          <w:tcPr>
            <w:tcW w:w="1120" w:type="dxa"/>
            <w:vAlign w:val="bottom"/>
          </w:tcPr>
          <w:p>
            <w:pPr>
              <w:jc w:val="right"/>
              <w:ind w:right="20"/>
              <w:spacing w:after="0"/>
              <w:rPr>
                <w:sz w:val="20"/>
                <w:szCs w:val="20"/>
                <w:color w:val="auto"/>
              </w:rPr>
            </w:pPr>
            <w:r>
              <w:rPr>
                <w:rFonts w:ascii="Arial" w:cs="Arial" w:eastAsia="Arial" w:hAnsi="Arial"/>
                <w:sz w:val="16"/>
                <w:szCs w:val="16"/>
                <w:color w:val="auto"/>
              </w:rPr>
              <w:t>9</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22"/>
                <w:szCs w:val="22"/>
                <w:color w:val="auto"/>
              </w:rPr>
            </w:pPr>
          </w:p>
        </w:tc>
        <w:tc>
          <w:tcPr>
            <w:tcW w:w="1140" w:type="dxa"/>
            <w:vAlign w:val="bottom"/>
          </w:tcPr>
          <w:p>
            <w:pPr>
              <w:jc w:val="right"/>
              <w:ind w:right="40"/>
              <w:spacing w:after="0"/>
              <w:rPr>
                <w:sz w:val="20"/>
                <w:szCs w:val="20"/>
                <w:color w:val="auto"/>
              </w:rPr>
            </w:pPr>
            <w:r>
              <w:rPr>
                <w:rFonts w:ascii="Arial" w:cs="Arial" w:eastAsia="Arial" w:hAnsi="Arial"/>
                <w:sz w:val="16"/>
                <w:szCs w:val="16"/>
                <w:color w:val="auto"/>
              </w:rPr>
              <w:t>58</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0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2"/>
                <w:szCs w:val="22"/>
                <w:color w:val="auto"/>
              </w:rPr>
            </w:pPr>
          </w:p>
        </w:tc>
        <w:tc>
          <w:tcPr>
            <w:tcW w:w="130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22"/>
                <w:szCs w:val="22"/>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(49)</w:t>
            </w:r>
          </w:p>
        </w:tc>
        <w:tc>
          <w:tcPr>
            <w:tcW w:w="0" w:type="dxa"/>
            <w:vAlign w:val="bottom"/>
          </w:tcPr>
          <w:p>
            <w:pPr>
              <w:spacing w:after="0"/>
              <w:rPr>
                <w:sz w:val="1"/>
                <w:szCs w:val="1"/>
                <w:color w:val="auto"/>
              </w:rPr>
            </w:pPr>
          </w:p>
        </w:tc>
      </w:tr>
      <w:tr>
        <w:trPr>
          <w:trHeight w:val="242"/>
        </w:trPr>
        <w:tc>
          <w:tcPr>
            <w:tcW w:w="2040" w:type="dxa"/>
            <w:vAlign w:val="bottom"/>
            <w:tcBorders>
              <w:top w:val="single" w:sz="8" w:color="CCEEFF"/>
              <w:bottom w:val="single" w:sz="8" w:color="CCEEFF"/>
            </w:tcBorders>
            <w:shd w:val="clear" w:color="auto" w:fill="CCEEFF"/>
          </w:tcPr>
          <w:p>
            <w:pPr>
              <w:spacing w:after="0"/>
              <w:rPr>
                <w:sz w:val="21"/>
                <w:szCs w:val="21"/>
                <w:color w:val="auto"/>
              </w:rPr>
            </w:pPr>
          </w:p>
        </w:tc>
        <w:tc>
          <w:tcPr>
            <w:tcW w:w="1120" w:type="dxa"/>
            <w:vAlign w:val="bottom"/>
            <w:tcBorders>
              <w:top w:val="single" w:sz="8" w:color="auto"/>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32.7</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120" w:type="dxa"/>
            <w:vAlign w:val="bottom"/>
            <w:tcBorders>
              <w:top w:val="single" w:sz="8" w:color="auto"/>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11,034</w:t>
            </w:r>
          </w:p>
        </w:tc>
        <w:tc>
          <w:tcPr>
            <w:tcW w:w="360" w:type="dxa"/>
            <w:vAlign w:val="bottom"/>
            <w:tcBorders>
              <w:top w:val="single" w:sz="8" w:color="CCEEFF"/>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900" w:type="dxa"/>
            <w:vAlign w:val="bottom"/>
            <w:tcBorders>
              <w:top w:val="single" w:sz="8" w:color="CCEEFF"/>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337.76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140" w:type="dxa"/>
            <w:vAlign w:val="bottom"/>
            <w:tcBorders>
              <w:top w:val="single" w:sz="8" w:color="auto"/>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9,921</w:t>
            </w:r>
          </w:p>
        </w:tc>
        <w:tc>
          <w:tcPr>
            <w:tcW w:w="340" w:type="dxa"/>
            <w:vAlign w:val="bottom"/>
            <w:tcBorders>
              <w:top w:val="single" w:sz="8" w:color="CCEEFF"/>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900" w:type="dxa"/>
            <w:vAlign w:val="bottom"/>
            <w:tcBorders>
              <w:top w:val="single" w:sz="8" w:color="CCEEFF"/>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303.72</w:t>
            </w:r>
          </w:p>
        </w:tc>
        <w:tc>
          <w:tcPr>
            <w:tcW w:w="1300" w:type="dxa"/>
            <w:vAlign w:val="bottom"/>
            <w:tcBorders>
              <w:top w:val="single" w:sz="8" w:color="CCEEFF"/>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89.9%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8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760" w:type="dxa"/>
            <w:vAlign w:val="bottom"/>
            <w:tcBorders>
              <w:top w:val="single" w:sz="8" w:color="auto"/>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1,113</w:t>
            </w:r>
          </w:p>
        </w:tc>
        <w:tc>
          <w:tcPr>
            <w:tcW w:w="0" w:type="dxa"/>
            <w:vAlign w:val="bottom"/>
          </w:tcPr>
          <w:p>
            <w:pPr>
              <w:spacing w:after="0"/>
              <w:rPr>
                <w:sz w:val="1"/>
                <w:szCs w:val="1"/>
                <w:color w:val="auto"/>
              </w:rPr>
            </w:pPr>
          </w:p>
        </w:tc>
      </w:tr>
      <w:tr>
        <w:trPr>
          <w:trHeight w:val="20"/>
        </w:trPr>
        <w:tc>
          <w:tcPr>
            <w:tcW w:w="204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4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Molina Healthcare, Inc. 2017 Form 10-Q | 50</w:t>
      </w:r>
    </w:p>
    <w:p>
      <w:pPr>
        <w:sectPr>
          <w:pgSz w:w="11900" w:h="16838" w:orient="portrait"/>
          <w:cols w:equalWidth="0" w:num="1">
            <w:col w:w="11420"/>
          </w:cols>
          <w:pgMar w:left="240" w:top="116" w:right="239" w:bottom="1440" w:gutter="0" w:footer="0" w:header="0"/>
        </w:sectPr>
      </w:pPr>
    </w:p>
    <w:bookmarkStart w:id="50" w:name="page51"/>
    <w:bookmarkEnd w:id="5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Health Plans Segment Financial Data — Marketplace</w:t>
      </w:r>
    </w:p>
    <w:p>
      <w:pPr>
        <w:spacing w:after="0" w:line="309"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2080" w:type="dxa"/>
            <w:vAlign w:val="bottom"/>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3760" w:type="dxa"/>
            <w:vAlign w:val="bottom"/>
            <w:tcBorders>
              <w:bottom w:val="single" w:sz="8" w:color="auto"/>
            </w:tcBorders>
            <w:gridSpan w:val="7"/>
          </w:tcPr>
          <w:p>
            <w:pPr>
              <w:jc w:val="right"/>
              <w:ind w:right="439"/>
              <w:spacing w:after="0"/>
              <w:rPr>
                <w:sz w:val="20"/>
                <w:szCs w:val="20"/>
                <w:color w:val="auto"/>
              </w:rPr>
            </w:pPr>
            <w:r>
              <w:rPr>
                <w:rFonts w:ascii="Arial" w:cs="Arial" w:eastAsia="Arial" w:hAnsi="Arial"/>
                <w:sz w:val="16"/>
                <w:szCs w:val="16"/>
                <w:b w:val="1"/>
                <w:bCs w:val="1"/>
                <w:color w:val="auto"/>
              </w:rPr>
              <w:t>Three Months Ended September 30, 2017</w:t>
            </w:r>
          </w:p>
        </w:tc>
        <w:tc>
          <w:tcPr>
            <w:tcW w:w="12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64"/>
        </w:trPr>
        <w:tc>
          <w:tcPr>
            <w:tcW w:w="2080" w:type="dxa"/>
            <w:vAlign w:val="bottom"/>
          </w:tcPr>
          <w:p>
            <w:pPr>
              <w:spacing w:after="0"/>
              <w:rPr>
                <w:sz w:val="22"/>
                <w:szCs w:val="22"/>
                <w:color w:val="auto"/>
              </w:rPr>
            </w:pPr>
          </w:p>
        </w:tc>
        <w:tc>
          <w:tcPr>
            <w:tcW w:w="1260" w:type="dxa"/>
            <w:vAlign w:val="bottom"/>
            <w:gridSpan w:val="2"/>
            <w:vMerge w:val="restart"/>
          </w:tcPr>
          <w:p>
            <w:pPr>
              <w:ind w:left="260"/>
              <w:spacing w:after="0"/>
              <w:rPr>
                <w:sz w:val="20"/>
                <w:szCs w:val="20"/>
                <w:color w:val="auto"/>
              </w:rPr>
            </w:pPr>
            <w:r>
              <w:rPr>
                <w:rFonts w:ascii="Arial" w:cs="Arial" w:eastAsia="Arial" w:hAnsi="Arial"/>
                <w:sz w:val="16"/>
                <w:szCs w:val="16"/>
                <w:b w:val="1"/>
                <w:bCs w:val="1"/>
                <w:color w:val="auto"/>
              </w:rPr>
              <w:t>Member</w:t>
            </w:r>
          </w:p>
        </w:tc>
        <w:tc>
          <w:tcPr>
            <w:tcW w:w="320" w:type="dxa"/>
            <w:vAlign w:val="bottom"/>
          </w:tcPr>
          <w:p>
            <w:pPr>
              <w:spacing w:after="0"/>
              <w:rPr>
                <w:sz w:val="22"/>
                <w:szCs w:val="22"/>
                <w:color w:val="auto"/>
              </w:rPr>
            </w:pPr>
          </w:p>
        </w:tc>
        <w:tc>
          <w:tcPr>
            <w:tcW w:w="2500" w:type="dxa"/>
            <w:vAlign w:val="bottom"/>
            <w:gridSpan w:val="5"/>
          </w:tcPr>
          <w:p>
            <w:pPr>
              <w:ind w:left="340"/>
              <w:spacing w:after="0"/>
              <w:rPr>
                <w:sz w:val="20"/>
                <w:szCs w:val="20"/>
                <w:color w:val="auto"/>
              </w:rPr>
            </w:pPr>
            <w:r>
              <w:rPr>
                <w:rFonts w:ascii="Arial" w:cs="Arial" w:eastAsia="Arial" w:hAnsi="Arial"/>
                <w:sz w:val="16"/>
                <w:szCs w:val="16"/>
                <w:b w:val="1"/>
                <w:bCs w:val="1"/>
                <w:color w:val="auto"/>
              </w:rPr>
              <w:t>Premium Revenue</w:t>
            </w:r>
          </w:p>
        </w:tc>
        <w:tc>
          <w:tcPr>
            <w:tcW w:w="320" w:type="dxa"/>
            <w:vAlign w:val="bottom"/>
          </w:tcPr>
          <w:p>
            <w:pPr>
              <w:spacing w:after="0"/>
              <w:rPr>
                <w:sz w:val="22"/>
                <w:szCs w:val="22"/>
                <w:color w:val="auto"/>
              </w:rPr>
            </w:pPr>
          </w:p>
        </w:tc>
        <w:tc>
          <w:tcPr>
            <w:tcW w:w="2380" w:type="dxa"/>
            <w:vAlign w:val="bottom"/>
            <w:gridSpan w:val="4"/>
          </w:tcPr>
          <w:p>
            <w:pPr>
              <w:jc w:val="right"/>
              <w:ind w:right="499"/>
              <w:spacing w:after="0"/>
              <w:rPr>
                <w:sz w:val="20"/>
                <w:szCs w:val="20"/>
                <w:color w:val="auto"/>
              </w:rPr>
            </w:pPr>
            <w:r>
              <w:rPr>
                <w:rFonts w:ascii="Arial" w:cs="Arial" w:eastAsia="Arial" w:hAnsi="Arial"/>
                <w:sz w:val="16"/>
                <w:szCs w:val="16"/>
                <w:b w:val="1"/>
                <w:bCs w:val="1"/>
                <w:color w:val="auto"/>
              </w:rPr>
              <w:t>Medical Care Costs</w:t>
            </w:r>
          </w:p>
        </w:tc>
        <w:tc>
          <w:tcPr>
            <w:tcW w:w="12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40" w:type="dxa"/>
            <w:vAlign w:val="bottom"/>
            <w:vMerge w:val="restart"/>
          </w:tcPr>
          <w:p>
            <w:pPr>
              <w:jc w:val="center"/>
              <w:ind w:right="119"/>
              <w:spacing w:after="0"/>
              <w:rPr>
                <w:sz w:val="20"/>
                <w:szCs w:val="20"/>
                <w:color w:val="auto"/>
              </w:rPr>
            </w:pPr>
            <w:r>
              <w:rPr>
                <w:rFonts w:ascii="Arial" w:cs="Arial" w:eastAsia="Arial" w:hAnsi="Arial"/>
                <w:sz w:val="16"/>
                <w:szCs w:val="16"/>
                <w:b w:val="1"/>
                <w:bCs w:val="1"/>
                <w:color w:val="auto"/>
                <w:w w:val="98"/>
              </w:rPr>
              <w:t>Medical</w:t>
            </w:r>
          </w:p>
        </w:tc>
        <w:tc>
          <w:tcPr>
            <w:tcW w:w="0" w:type="dxa"/>
            <w:vAlign w:val="bottom"/>
          </w:tcPr>
          <w:p>
            <w:pPr>
              <w:spacing w:after="0"/>
              <w:rPr>
                <w:sz w:val="1"/>
                <w:szCs w:val="1"/>
                <w:color w:val="auto"/>
              </w:rPr>
            </w:pPr>
          </w:p>
        </w:tc>
      </w:tr>
      <w:tr>
        <w:trPr>
          <w:trHeight w:val="31"/>
        </w:trPr>
        <w:tc>
          <w:tcPr>
            <w:tcW w:w="2080" w:type="dxa"/>
            <w:vAlign w:val="bottom"/>
          </w:tcPr>
          <w:p>
            <w:pPr>
              <w:spacing w:after="0"/>
              <w:rPr>
                <w:sz w:val="2"/>
                <w:szCs w:val="2"/>
                <w:color w:val="auto"/>
              </w:rPr>
            </w:pPr>
          </w:p>
        </w:tc>
        <w:tc>
          <w:tcPr>
            <w:tcW w:w="1260" w:type="dxa"/>
            <w:vAlign w:val="bottom"/>
            <w:gridSpan w:val="2"/>
            <w:vMerge w:val="continue"/>
          </w:tcPr>
          <w:p>
            <w:pPr>
              <w:spacing w:after="0"/>
              <w:rPr>
                <w:sz w:val="2"/>
                <w:szCs w:val="2"/>
                <w:color w:val="auto"/>
              </w:rPr>
            </w:pPr>
          </w:p>
        </w:tc>
        <w:tc>
          <w:tcPr>
            <w:tcW w:w="320" w:type="dxa"/>
            <w:vAlign w:val="bottom"/>
            <w:tcBorders>
              <w:top w:val="single" w:sz="8" w:color="auto"/>
            </w:tcBorders>
          </w:tcPr>
          <w:p>
            <w:pPr>
              <w:spacing w:after="0"/>
              <w:rPr>
                <w:sz w:val="2"/>
                <w:szCs w:val="2"/>
                <w:color w:val="auto"/>
              </w:rPr>
            </w:pPr>
          </w:p>
        </w:tc>
        <w:tc>
          <w:tcPr>
            <w:tcW w:w="1140" w:type="dxa"/>
            <w:vAlign w:val="bottom"/>
            <w:tcBorders>
              <w:top w:val="single" w:sz="8" w:color="auto"/>
            </w:tcBorders>
          </w:tcPr>
          <w:p>
            <w:pPr>
              <w:spacing w:after="0"/>
              <w:rPr>
                <w:sz w:val="2"/>
                <w:szCs w:val="2"/>
                <w:color w:val="auto"/>
              </w:rPr>
            </w:pPr>
          </w:p>
        </w:tc>
        <w:tc>
          <w:tcPr>
            <w:tcW w:w="120" w:type="dxa"/>
            <w:vAlign w:val="bottom"/>
            <w:tcBorders>
              <w:top w:val="single" w:sz="8" w:color="auto"/>
            </w:tcBorders>
          </w:tcPr>
          <w:p>
            <w:pPr>
              <w:spacing w:after="0"/>
              <w:rPr>
                <w:sz w:val="2"/>
                <w:szCs w:val="2"/>
                <w:color w:val="auto"/>
              </w:rPr>
            </w:pPr>
          </w:p>
        </w:tc>
        <w:tc>
          <w:tcPr>
            <w:tcW w:w="180" w:type="dxa"/>
            <w:vAlign w:val="bottom"/>
            <w:tcBorders>
              <w:top w:val="single" w:sz="8" w:color="auto"/>
            </w:tcBorders>
          </w:tcPr>
          <w:p>
            <w:pPr>
              <w:spacing w:after="0"/>
              <w:rPr>
                <w:sz w:val="2"/>
                <w:szCs w:val="2"/>
                <w:color w:val="auto"/>
              </w:rPr>
            </w:pPr>
          </w:p>
        </w:tc>
        <w:tc>
          <w:tcPr>
            <w:tcW w:w="940" w:type="dxa"/>
            <w:vAlign w:val="bottom"/>
            <w:tcBorders>
              <w:top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top w:val="single" w:sz="8" w:color="auto"/>
            </w:tcBorders>
          </w:tcPr>
          <w:p>
            <w:pPr>
              <w:spacing w:after="0"/>
              <w:rPr>
                <w:sz w:val="2"/>
                <w:szCs w:val="2"/>
                <w:color w:val="auto"/>
              </w:rPr>
            </w:pPr>
          </w:p>
        </w:tc>
        <w:tc>
          <w:tcPr>
            <w:tcW w:w="1140" w:type="dxa"/>
            <w:vAlign w:val="bottom"/>
            <w:tcBorders>
              <w:top w:val="single" w:sz="8" w:color="auto"/>
            </w:tcBorders>
          </w:tcPr>
          <w:p>
            <w:pPr>
              <w:spacing w:after="0"/>
              <w:rPr>
                <w:sz w:val="2"/>
                <w:szCs w:val="2"/>
                <w:color w:val="auto"/>
              </w:rPr>
            </w:pPr>
          </w:p>
        </w:tc>
        <w:tc>
          <w:tcPr>
            <w:tcW w:w="120" w:type="dxa"/>
            <w:vAlign w:val="bottom"/>
            <w:tcBorders>
              <w:top w:val="single" w:sz="8" w:color="auto"/>
            </w:tcBorders>
          </w:tcPr>
          <w:p>
            <w:pPr>
              <w:spacing w:after="0"/>
              <w:rPr>
                <w:sz w:val="2"/>
                <w:szCs w:val="2"/>
                <w:color w:val="auto"/>
              </w:rPr>
            </w:pPr>
          </w:p>
        </w:tc>
        <w:tc>
          <w:tcPr>
            <w:tcW w:w="220" w:type="dxa"/>
            <w:vAlign w:val="bottom"/>
            <w:tcBorders>
              <w:top w:val="single" w:sz="8" w:color="auto"/>
            </w:tcBorders>
          </w:tcPr>
          <w:p>
            <w:pPr>
              <w:spacing w:after="0"/>
              <w:rPr>
                <w:sz w:val="2"/>
                <w:szCs w:val="2"/>
                <w:color w:val="auto"/>
              </w:rPr>
            </w:pPr>
          </w:p>
        </w:tc>
        <w:tc>
          <w:tcPr>
            <w:tcW w:w="900" w:type="dxa"/>
            <w:vAlign w:val="bottom"/>
            <w:tcBorders>
              <w:top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2"/>
        </w:trPr>
        <w:tc>
          <w:tcPr>
            <w:tcW w:w="2080" w:type="dxa"/>
            <w:vAlign w:val="bottom"/>
            <w:tcBorders>
              <w:bottom w:val="single" w:sz="8" w:color="CCEEFF"/>
            </w:tcBorders>
          </w:tcPr>
          <w:p>
            <w:pPr>
              <w:spacing w:after="0"/>
              <w:rPr>
                <w:sz w:val="20"/>
                <w:szCs w:val="20"/>
                <w:color w:val="auto"/>
              </w:rPr>
            </w:pPr>
          </w:p>
        </w:tc>
        <w:tc>
          <w:tcPr>
            <w:tcW w:w="1140" w:type="dxa"/>
            <w:vAlign w:val="bottom"/>
            <w:tcBorders>
              <w:bottom w:val="single" w:sz="8" w:color="auto"/>
            </w:tcBorders>
          </w:tcPr>
          <w:p>
            <w:pPr>
              <w:ind w:left="280"/>
              <w:spacing w:after="0"/>
              <w:rPr>
                <w:sz w:val="20"/>
                <w:szCs w:val="20"/>
                <w:color w:val="auto"/>
              </w:rPr>
            </w:pPr>
            <w:r>
              <w:rPr>
                <w:rFonts w:ascii="Arial" w:cs="Arial" w:eastAsia="Arial" w:hAnsi="Arial"/>
                <w:sz w:val="16"/>
                <w:szCs w:val="16"/>
                <w:b w:val="1"/>
                <w:bCs w:val="1"/>
                <w:color w:val="auto"/>
              </w:rPr>
              <w:t>Months</w:t>
            </w:r>
          </w:p>
        </w:tc>
        <w:tc>
          <w:tcPr>
            <w:tcW w:w="12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Total</w:t>
            </w:r>
          </w:p>
        </w:tc>
        <w:tc>
          <w:tcPr>
            <w:tcW w:w="12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ind w:left="140"/>
              <w:spacing w:after="0"/>
              <w:rPr>
                <w:sz w:val="20"/>
                <w:szCs w:val="20"/>
                <w:color w:val="auto"/>
              </w:rPr>
            </w:pPr>
            <w:r>
              <w:rPr>
                <w:rFonts w:ascii="Arial" w:cs="Arial" w:eastAsia="Arial" w:hAnsi="Arial"/>
                <w:sz w:val="16"/>
                <w:szCs w:val="16"/>
                <w:b w:val="1"/>
                <w:bCs w:val="1"/>
                <w:color w:val="auto"/>
              </w:rPr>
              <w:t>PMPM</w:t>
            </w:r>
          </w:p>
        </w:tc>
        <w:tc>
          <w:tcPr>
            <w:tcW w:w="12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Total</w:t>
            </w:r>
          </w:p>
        </w:tc>
        <w:tc>
          <w:tcPr>
            <w:tcW w:w="12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b w:val="1"/>
                <w:bCs w:val="1"/>
                <w:color w:val="auto"/>
              </w:rPr>
              <w:t>PMPM</w:t>
            </w:r>
          </w:p>
        </w:tc>
        <w:tc>
          <w:tcPr>
            <w:tcW w:w="120" w:type="dxa"/>
            <w:vAlign w:val="bottom"/>
            <w:tcBorders>
              <w:bottom w:val="single" w:sz="8" w:color="CCEEFF"/>
            </w:tcBorders>
          </w:tcPr>
          <w:p>
            <w:pPr>
              <w:spacing w:after="0"/>
              <w:rPr>
                <w:sz w:val="20"/>
                <w:szCs w:val="20"/>
                <w:color w:val="auto"/>
              </w:rPr>
            </w:pPr>
          </w:p>
        </w:tc>
        <w:tc>
          <w:tcPr>
            <w:tcW w:w="120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b w:val="1"/>
                <w:bCs w:val="1"/>
                <w:color w:val="auto"/>
              </w:rPr>
              <w:t>MCR</w:t>
            </w:r>
          </w:p>
        </w:tc>
        <w:tc>
          <w:tcPr>
            <w:tcW w:w="10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center"/>
              <w:ind w:right="119"/>
              <w:spacing w:after="0"/>
              <w:rPr>
                <w:sz w:val="20"/>
                <w:szCs w:val="20"/>
                <w:color w:val="auto"/>
              </w:rPr>
            </w:pPr>
            <w:r>
              <w:rPr>
                <w:rFonts w:ascii="Arial" w:cs="Arial" w:eastAsia="Arial" w:hAnsi="Arial"/>
                <w:sz w:val="16"/>
                <w:szCs w:val="16"/>
                <w:b w:val="1"/>
                <w:bCs w:val="1"/>
                <w:color w:val="auto"/>
              </w:rPr>
              <w:t>Margin</w:t>
            </w:r>
          </w:p>
        </w:tc>
        <w:tc>
          <w:tcPr>
            <w:tcW w:w="0" w:type="dxa"/>
            <w:vAlign w:val="bottom"/>
          </w:tcPr>
          <w:p>
            <w:pPr>
              <w:spacing w:after="0"/>
              <w:rPr>
                <w:sz w:val="1"/>
                <w:szCs w:val="1"/>
                <w:color w:val="auto"/>
              </w:rPr>
            </w:pPr>
          </w:p>
        </w:tc>
      </w:tr>
      <w:tr>
        <w:trPr>
          <w:trHeight w:val="254"/>
        </w:trPr>
        <w:tc>
          <w:tcPr>
            <w:tcW w:w="2080" w:type="dxa"/>
            <w:vAlign w:val="bottom"/>
            <w:shd w:val="clear" w:color="auto" w:fill="CCEEFF"/>
          </w:tcPr>
          <w:p>
            <w:pPr>
              <w:ind w:left="40"/>
              <w:spacing w:after="0"/>
              <w:rPr>
                <w:sz w:val="20"/>
                <w:szCs w:val="20"/>
                <w:color w:val="auto"/>
              </w:rPr>
            </w:pPr>
            <w:r>
              <w:rPr>
                <w:rFonts w:ascii="Arial" w:cs="Arial" w:eastAsia="Arial" w:hAnsi="Arial"/>
                <w:sz w:val="16"/>
                <w:szCs w:val="16"/>
                <w:color w:val="auto"/>
              </w:rPr>
              <w:t>California</w:t>
            </w:r>
          </w:p>
        </w:tc>
        <w:tc>
          <w:tcPr>
            <w:tcW w:w="11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0.3</w:t>
            </w:r>
          </w:p>
        </w:tc>
        <w:tc>
          <w:tcPr>
            <w:tcW w:w="120" w:type="dxa"/>
            <w:vAlign w:val="bottom"/>
            <w:shd w:val="clear" w:color="auto" w:fill="CCEEFF"/>
          </w:tcPr>
          <w:p>
            <w:pPr>
              <w:spacing w:after="0"/>
              <w:rPr>
                <w:sz w:val="22"/>
                <w:szCs w:val="22"/>
                <w:color w:val="auto"/>
              </w:rPr>
            </w:pPr>
          </w:p>
        </w:tc>
        <w:tc>
          <w:tcPr>
            <w:tcW w:w="3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1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88</w:t>
            </w:r>
          </w:p>
        </w:tc>
        <w:tc>
          <w:tcPr>
            <w:tcW w:w="30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9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208.19</w:t>
            </w:r>
          </w:p>
        </w:tc>
        <w:tc>
          <w:tcPr>
            <w:tcW w:w="120" w:type="dxa"/>
            <w:vAlign w:val="bottom"/>
            <w:shd w:val="clear" w:color="auto" w:fill="CCEEFF"/>
          </w:tcPr>
          <w:p>
            <w:pPr>
              <w:spacing w:after="0"/>
              <w:rPr>
                <w:sz w:val="22"/>
                <w:szCs w:val="22"/>
                <w:color w:val="auto"/>
              </w:rPr>
            </w:pPr>
          </w:p>
        </w:tc>
        <w:tc>
          <w:tcPr>
            <w:tcW w:w="3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1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63</w:t>
            </w:r>
          </w:p>
        </w:tc>
        <w:tc>
          <w:tcPr>
            <w:tcW w:w="3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9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147.87</w:t>
            </w: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71.0%</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25</w:t>
            </w:r>
          </w:p>
        </w:tc>
        <w:tc>
          <w:tcPr>
            <w:tcW w:w="0" w:type="dxa"/>
            <w:vAlign w:val="bottom"/>
          </w:tcPr>
          <w:p>
            <w:pPr>
              <w:spacing w:after="0"/>
              <w:rPr>
                <w:sz w:val="1"/>
                <w:szCs w:val="1"/>
                <w:color w:val="auto"/>
              </w:rPr>
            </w:pPr>
          </w:p>
        </w:tc>
      </w:tr>
      <w:tr>
        <w:trPr>
          <w:trHeight w:val="262"/>
        </w:trPr>
        <w:tc>
          <w:tcPr>
            <w:tcW w:w="2080" w:type="dxa"/>
            <w:vAlign w:val="bottom"/>
          </w:tcPr>
          <w:p>
            <w:pPr>
              <w:ind w:left="40"/>
              <w:spacing w:after="0"/>
              <w:rPr>
                <w:sz w:val="20"/>
                <w:szCs w:val="20"/>
                <w:color w:val="auto"/>
              </w:rPr>
            </w:pPr>
            <w:r>
              <w:rPr>
                <w:rFonts w:ascii="Arial" w:cs="Arial" w:eastAsia="Arial" w:hAnsi="Arial"/>
                <w:sz w:val="16"/>
                <w:szCs w:val="16"/>
                <w:color w:val="auto"/>
              </w:rPr>
              <w:t>Florida</w:t>
            </w: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0.9</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260</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313.36</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235</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283.13</w:t>
            </w:r>
          </w:p>
        </w:tc>
        <w:tc>
          <w:tcPr>
            <w:tcW w:w="1320" w:type="dxa"/>
            <w:vAlign w:val="bottom"/>
            <w:gridSpan w:val="2"/>
          </w:tcPr>
          <w:p>
            <w:pPr>
              <w:jc w:val="right"/>
              <w:ind w:right="99"/>
              <w:spacing w:after="0"/>
              <w:rPr>
                <w:sz w:val="20"/>
                <w:szCs w:val="20"/>
                <w:color w:val="auto"/>
              </w:rPr>
            </w:pPr>
            <w:r>
              <w:rPr>
                <w:rFonts w:ascii="Arial" w:cs="Arial" w:eastAsia="Arial" w:hAnsi="Arial"/>
                <w:sz w:val="16"/>
                <w:szCs w:val="16"/>
                <w:color w:val="auto"/>
              </w:rPr>
              <w:t>90.4</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25</w:t>
            </w:r>
          </w:p>
        </w:tc>
        <w:tc>
          <w:tcPr>
            <w:tcW w:w="0" w:type="dxa"/>
            <w:vAlign w:val="bottom"/>
          </w:tcPr>
          <w:p>
            <w:pPr>
              <w:spacing w:after="0"/>
              <w:rPr>
                <w:sz w:val="1"/>
                <w:szCs w:val="1"/>
                <w:color w:val="auto"/>
              </w:rPr>
            </w:pPr>
          </w:p>
        </w:tc>
      </w:tr>
      <w:tr>
        <w:trPr>
          <w:trHeight w:val="278"/>
        </w:trPr>
        <w:tc>
          <w:tcPr>
            <w:tcW w:w="2080" w:type="dxa"/>
            <w:vAlign w:val="bottom"/>
            <w:shd w:val="clear" w:color="auto" w:fill="CCEEFF"/>
          </w:tcPr>
          <w:p>
            <w:pPr>
              <w:ind w:left="40"/>
              <w:spacing w:after="0"/>
              <w:rPr>
                <w:sz w:val="20"/>
                <w:szCs w:val="20"/>
                <w:color w:val="auto"/>
              </w:rPr>
            </w:pPr>
            <w:r>
              <w:rPr>
                <w:rFonts w:ascii="Arial" w:cs="Arial" w:eastAsia="Arial" w:hAnsi="Arial"/>
                <w:sz w:val="16"/>
                <w:szCs w:val="16"/>
                <w:color w:val="auto"/>
              </w:rPr>
              <w:t>Michigan</w:t>
            </w: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14</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212.08</w:t>
            </w: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10</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150.24</w:t>
            </w:r>
          </w:p>
        </w:tc>
        <w:tc>
          <w:tcPr>
            <w:tcW w:w="1320" w:type="dxa"/>
            <w:vAlign w:val="bottom"/>
            <w:gridSpan w:val="2"/>
            <w:shd w:val="clear" w:color="auto" w:fill="CCEEFF"/>
          </w:tcPr>
          <w:p>
            <w:pPr>
              <w:jc w:val="right"/>
              <w:ind w:right="99"/>
              <w:spacing w:after="0"/>
              <w:rPr>
                <w:sz w:val="20"/>
                <w:szCs w:val="20"/>
                <w:color w:val="auto"/>
              </w:rPr>
            </w:pPr>
            <w:r>
              <w:rPr>
                <w:rFonts w:ascii="Arial" w:cs="Arial" w:eastAsia="Arial" w:hAnsi="Arial"/>
                <w:sz w:val="16"/>
                <w:szCs w:val="16"/>
                <w:color w:val="auto"/>
              </w:rPr>
              <w:t>70.8</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4</w:t>
            </w:r>
          </w:p>
        </w:tc>
        <w:tc>
          <w:tcPr>
            <w:tcW w:w="0" w:type="dxa"/>
            <w:vAlign w:val="bottom"/>
          </w:tcPr>
          <w:p>
            <w:pPr>
              <w:spacing w:after="0"/>
              <w:rPr>
                <w:sz w:val="1"/>
                <w:szCs w:val="1"/>
                <w:color w:val="auto"/>
              </w:rPr>
            </w:pPr>
          </w:p>
        </w:tc>
      </w:tr>
      <w:tr>
        <w:trPr>
          <w:trHeight w:val="262"/>
        </w:trPr>
        <w:tc>
          <w:tcPr>
            <w:tcW w:w="2080" w:type="dxa"/>
            <w:vAlign w:val="bottom"/>
          </w:tcPr>
          <w:p>
            <w:pPr>
              <w:ind w:left="40"/>
              <w:spacing w:after="0"/>
              <w:rPr>
                <w:sz w:val="20"/>
                <w:szCs w:val="20"/>
                <w:color w:val="auto"/>
              </w:rPr>
            </w:pPr>
            <w:r>
              <w:rPr>
                <w:rFonts w:ascii="Arial" w:cs="Arial" w:eastAsia="Arial" w:hAnsi="Arial"/>
                <w:sz w:val="16"/>
                <w:szCs w:val="16"/>
                <w:color w:val="auto"/>
              </w:rPr>
              <w:t>New Mexico</w:t>
            </w: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0.1</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29</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383.58</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20</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269.28</w:t>
            </w:r>
          </w:p>
        </w:tc>
        <w:tc>
          <w:tcPr>
            <w:tcW w:w="1320" w:type="dxa"/>
            <w:vAlign w:val="bottom"/>
            <w:gridSpan w:val="2"/>
          </w:tcPr>
          <w:p>
            <w:pPr>
              <w:jc w:val="right"/>
              <w:ind w:right="99"/>
              <w:spacing w:after="0"/>
              <w:rPr>
                <w:sz w:val="20"/>
                <w:szCs w:val="20"/>
                <w:color w:val="auto"/>
              </w:rPr>
            </w:pPr>
            <w:r>
              <w:rPr>
                <w:rFonts w:ascii="Arial" w:cs="Arial" w:eastAsia="Arial" w:hAnsi="Arial"/>
                <w:sz w:val="16"/>
                <w:szCs w:val="16"/>
                <w:color w:val="auto"/>
              </w:rPr>
              <w:t>70.2</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9</w:t>
            </w:r>
          </w:p>
        </w:tc>
        <w:tc>
          <w:tcPr>
            <w:tcW w:w="0" w:type="dxa"/>
            <w:vAlign w:val="bottom"/>
          </w:tcPr>
          <w:p>
            <w:pPr>
              <w:spacing w:after="0"/>
              <w:rPr>
                <w:sz w:val="1"/>
                <w:szCs w:val="1"/>
                <w:color w:val="auto"/>
              </w:rPr>
            </w:pPr>
          </w:p>
        </w:tc>
      </w:tr>
      <w:tr>
        <w:trPr>
          <w:trHeight w:val="278"/>
        </w:trPr>
        <w:tc>
          <w:tcPr>
            <w:tcW w:w="2080" w:type="dxa"/>
            <w:vAlign w:val="bottom"/>
            <w:shd w:val="clear" w:color="auto" w:fill="CCEEFF"/>
          </w:tcPr>
          <w:p>
            <w:pPr>
              <w:ind w:left="40"/>
              <w:spacing w:after="0"/>
              <w:rPr>
                <w:sz w:val="20"/>
                <w:szCs w:val="20"/>
                <w:color w:val="auto"/>
              </w:rPr>
            </w:pPr>
            <w:r>
              <w:rPr>
                <w:rFonts w:ascii="Arial" w:cs="Arial" w:eastAsia="Arial" w:hAnsi="Arial"/>
                <w:sz w:val="16"/>
                <w:szCs w:val="16"/>
                <w:color w:val="auto"/>
              </w:rPr>
              <w:t>Ohio</w:t>
            </w:r>
          </w:p>
        </w:tc>
        <w:tc>
          <w:tcPr>
            <w:tcW w:w="11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0.1</w:t>
            </w: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23</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386.09</w:t>
            </w: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20</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364.31</w:t>
            </w:r>
          </w:p>
        </w:tc>
        <w:tc>
          <w:tcPr>
            <w:tcW w:w="1320" w:type="dxa"/>
            <w:vAlign w:val="bottom"/>
            <w:gridSpan w:val="2"/>
            <w:shd w:val="clear" w:color="auto" w:fill="CCEEFF"/>
          </w:tcPr>
          <w:p>
            <w:pPr>
              <w:jc w:val="right"/>
              <w:ind w:right="99"/>
              <w:spacing w:after="0"/>
              <w:rPr>
                <w:sz w:val="20"/>
                <w:szCs w:val="20"/>
                <w:color w:val="auto"/>
              </w:rPr>
            </w:pPr>
            <w:r>
              <w:rPr>
                <w:rFonts w:ascii="Arial" w:cs="Arial" w:eastAsia="Arial" w:hAnsi="Arial"/>
                <w:sz w:val="16"/>
                <w:szCs w:val="16"/>
                <w:color w:val="auto"/>
              </w:rPr>
              <w:t>94.4</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262"/>
        </w:trPr>
        <w:tc>
          <w:tcPr>
            <w:tcW w:w="2080" w:type="dxa"/>
            <w:vAlign w:val="bottom"/>
          </w:tcPr>
          <w:p>
            <w:pPr>
              <w:ind w:left="40"/>
              <w:spacing w:after="0"/>
              <w:rPr>
                <w:sz w:val="20"/>
                <w:szCs w:val="20"/>
                <w:color w:val="auto"/>
              </w:rPr>
            </w:pPr>
            <w:r>
              <w:rPr>
                <w:rFonts w:ascii="Arial" w:cs="Arial" w:eastAsia="Arial" w:hAnsi="Arial"/>
                <w:sz w:val="16"/>
                <w:szCs w:val="16"/>
                <w:color w:val="auto"/>
              </w:rPr>
              <w:t>Texas</w:t>
            </w: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0.7</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183</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291.14</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109</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172.70</w:t>
            </w:r>
          </w:p>
        </w:tc>
        <w:tc>
          <w:tcPr>
            <w:tcW w:w="1320" w:type="dxa"/>
            <w:vAlign w:val="bottom"/>
            <w:gridSpan w:val="2"/>
          </w:tcPr>
          <w:p>
            <w:pPr>
              <w:jc w:val="right"/>
              <w:ind w:right="99"/>
              <w:spacing w:after="0"/>
              <w:rPr>
                <w:sz w:val="20"/>
                <w:szCs w:val="20"/>
                <w:color w:val="auto"/>
              </w:rPr>
            </w:pPr>
            <w:r>
              <w:rPr>
                <w:rFonts w:ascii="Arial" w:cs="Arial" w:eastAsia="Arial" w:hAnsi="Arial"/>
                <w:sz w:val="16"/>
                <w:szCs w:val="16"/>
                <w:color w:val="auto"/>
              </w:rPr>
              <w:t>59.3</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74</w:t>
            </w:r>
          </w:p>
        </w:tc>
        <w:tc>
          <w:tcPr>
            <w:tcW w:w="0" w:type="dxa"/>
            <w:vAlign w:val="bottom"/>
          </w:tcPr>
          <w:p>
            <w:pPr>
              <w:spacing w:after="0"/>
              <w:rPr>
                <w:sz w:val="1"/>
                <w:szCs w:val="1"/>
                <w:color w:val="auto"/>
              </w:rPr>
            </w:pPr>
          </w:p>
        </w:tc>
      </w:tr>
      <w:tr>
        <w:trPr>
          <w:trHeight w:val="278"/>
        </w:trPr>
        <w:tc>
          <w:tcPr>
            <w:tcW w:w="2080" w:type="dxa"/>
            <w:vAlign w:val="bottom"/>
            <w:shd w:val="clear" w:color="auto" w:fill="CCEEFF"/>
          </w:tcPr>
          <w:p>
            <w:pPr>
              <w:ind w:left="40"/>
              <w:spacing w:after="0"/>
              <w:rPr>
                <w:sz w:val="20"/>
                <w:szCs w:val="20"/>
                <w:color w:val="auto"/>
              </w:rPr>
            </w:pPr>
            <w:r>
              <w:rPr>
                <w:rFonts w:ascii="Arial" w:cs="Arial" w:eastAsia="Arial" w:hAnsi="Arial"/>
                <w:sz w:val="16"/>
                <w:szCs w:val="16"/>
                <w:color w:val="auto"/>
              </w:rPr>
              <w:t>Utah</w:t>
            </w:r>
          </w:p>
        </w:tc>
        <w:tc>
          <w:tcPr>
            <w:tcW w:w="11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0.3</w:t>
            </w: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49</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241.65</w:t>
            </w: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31</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155.13</w:t>
            </w:r>
          </w:p>
        </w:tc>
        <w:tc>
          <w:tcPr>
            <w:tcW w:w="1320" w:type="dxa"/>
            <w:vAlign w:val="bottom"/>
            <w:gridSpan w:val="2"/>
            <w:shd w:val="clear" w:color="auto" w:fill="CCEEFF"/>
          </w:tcPr>
          <w:p>
            <w:pPr>
              <w:jc w:val="right"/>
              <w:ind w:right="99"/>
              <w:spacing w:after="0"/>
              <w:rPr>
                <w:sz w:val="20"/>
                <w:szCs w:val="20"/>
                <w:color w:val="auto"/>
              </w:rPr>
            </w:pPr>
            <w:r>
              <w:rPr>
                <w:rFonts w:ascii="Arial" w:cs="Arial" w:eastAsia="Arial" w:hAnsi="Arial"/>
                <w:sz w:val="16"/>
                <w:szCs w:val="16"/>
                <w:color w:val="auto"/>
              </w:rPr>
              <w:t>64.2</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18</w:t>
            </w:r>
          </w:p>
        </w:tc>
        <w:tc>
          <w:tcPr>
            <w:tcW w:w="0" w:type="dxa"/>
            <w:vAlign w:val="bottom"/>
          </w:tcPr>
          <w:p>
            <w:pPr>
              <w:spacing w:after="0"/>
              <w:rPr>
                <w:sz w:val="1"/>
                <w:szCs w:val="1"/>
                <w:color w:val="auto"/>
              </w:rPr>
            </w:pPr>
          </w:p>
        </w:tc>
      </w:tr>
      <w:tr>
        <w:trPr>
          <w:trHeight w:val="262"/>
        </w:trPr>
        <w:tc>
          <w:tcPr>
            <w:tcW w:w="2080" w:type="dxa"/>
            <w:vAlign w:val="bottom"/>
          </w:tcPr>
          <w:p>
            <w:pPr>
              <w:ind w:left="40"/>
              <w:spacing w:after="0"/>
              <w:rPr>
                <w:sz w:val="20"/>
                <w:szCs w:val="20"/>
                <w:color w:val="auto"/>
              </w:rPr>
            </w:pPr>
            <w:r>
              <w:rPr>
                <w:rFonts w:ascii="Arial" w:cs="Arial" w:eastAsia="Arial" w:hAnsi="Arial"/>
                <w:sz w:val="16"/>
                <w:szCs w:val="16"/>
                <w:color w:val="auto"/>
              </w:rPr>
              <w:t>Washington</w:t>
            </w: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0.1</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42</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327.40</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33</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256.52</w:t>
            </w:r>
          </w:p>
        </w:tc>
        <w:tc>
          <w:tcPr>
            <w:tcW w:w="1320" w:type="dxa"/>
            <w:vAlign w:val="bottom"/>
            <w:gridSpan w:val="2"/>
          </w:tcPr>
          <w:p>
            <w:pPr>
              <w:jc w:val="right"/>
              <w:ind w:right="99"/>
              <w:spacing w:after="0"/>
              <w:rPr>
                <w:sz w:val="20"/>
                <w:szCs w:val="20"/>
                <w:color w:val="auto"/>
              </w:rPr>
            </w:pPr>
            <w:r>
              <w:rPr>
                <w:rFonts w:ascii="Arial" w:cs="Arial" w:eastAsia="Arial" w:hAnsi="Arial"/>
                <w:sz w:val="16"/>
                <w:szCs w:val="16"/>
                <w:color w:val="auto"/>
              </w:rPr>
              <w:t>78.3</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9</w:t>
            </w:r>
          </w:p>
        </w:tc>
        <w:tc>
          <w:tcPr>
            <w:tcW w:w="0" w:type="dxa"/>
            <w:vAlign w:val="bottom"/>
          </w:tcPr>
          <w:p>
            <w:pPr>
              <w:spacing w:after="0"/>
              <w:rPr>
                <w:sz w:val="1"/>
                <w:szCs w:val="1"/>
                <w:color w:val="auto"/>
              </w:rPr>
            </w:pPr>
          </w:p>
        </w:tc>
      </w:tr>
      <w:tr>
        <w:trPr>
          <w:trHeight w:val="278"/>
        </w:trPr>
        <w:tc>
          <w:tcPr>
            <w:tcW w:w="2080" w:type="dxa"/>
            <w:vAlign w:val="bottom"/>
            <w:shd w:val="clear" w:color="auto" w:fill="CCEEFF"/>
          </w:tcPr>
          <w:p>
            <w:pPr>
              <w:ind w:left="40"/>
              <w:spacing w:after="0"/>
              <w:rPr>
                <w:sz w:val="20"/>
                <w:szCs w:val="20"/>
                <w:color w:val="auto"/>
              </w:rPr>
            </w:pPr>
            <w:r>
              <w:rPr>
                <w:rFonts w:ascii="Arial" w:cs="Arial" w:eastAsia="Arial" w:hAnsi="Arial"/>
                <w:sz w:val="16"/>
                <w:szCs w:val="16"/>
                <w:color w:val="auto"/>
              </w:rPr>
              <w:t>Wisconsin</w:t>
            </w:r>
          </w:p>
        </w:tc>
        <w:tc>
          <w:tcPr>
            <w:tcW w:w="11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0.2</w:t>
            </w: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95</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527.17</w:t>
            </w: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70</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385.65</w:t>
            </w:r>
          </w:p>
        </w:tc>
        <w:tc>
          <w:tcPr>
            <w:tcW w:w="1320" w:type="dxa"/>
            <w:vAlign w:val="bottom"/>
            <w:gridSpan w:val="2"/>
            <w:shd w:val="clear" w:color="auto" w:fill="CCEEFF"/>
          </w:tcPr>
          <w:p>
            <w:pPr>
              <w:jc w:val="right"/>
              <w:ind w:right="99"/>
              <w:spacing w:after="0"/>
              <w:rPr>
                <w:sz w:val="20"/>
                <w:szCs w:val="20"/>
                <w:color w:val="auto"/>
              </w:rPr>
            </w:pPr>
            <w:r>
              <w:rPr>
                <w:rFonts w:ascii="Arial" w:cs="Arial" w:eastAsia="Arial" w:hAnsi="Arial"/>
                <w:sz w:val="16"/>
                <w:szCs w:val="16"/>
                <w:color w:val="auto"/>
              </w:rPr>
              <w:t>73.2</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25</w:t>
            </w:r>
          </w:p>
        </w:tc>
        <w:tc>
          <w:tcPr>
            <w:tcW w:w="0" w:type="dxa"/>
            <w:vAlign w:val="bottom"/>
          </w:tcPr>
          <w:p>
            <w:pPr>
              <w:spacing w:after="0"/>
              <w:rPr>
                <w:sz w:val="1"/>
                <w:szCs w:val="1"/>
                <w:color w:val="auto"/>
              </w:rPr>
            </w:pPr>
          </w:p>
        </w:tc>
      </w:tr>
      <w:tr>
        <w:trPr>
          <w:trHeight w:val="270"/>
        </w:trPr>
        <w:tc>
          <w:tcPr>
            <w:tcW w:w="2080" w:type="dxa"/>
            <w:vAlign w:val="bottom"/>
          </w:tcPr>
          <w:p>
            <w:pPr>
              <w:ind w:left="40"/>
              <w:spacing w:after="0"/>
              <w:rPr>
                <w:sz w:val="20"/>
                <w:szCs w:val="20"/>
                <w:color w:val="auto"/>
              </w:rPr>
            </w:pPr>
            <w:r>
              <w:rPr>
                <w:rFonts w:ascii="Arial" w:cs="Arial" w:eastAsia="Arial" w:hAnsi="Arial"/>
                <w:sz w:val="16"/>
                <w:szCs w:val="16"/>
                <w:color w:val="auto"/>
              </w:rPr>
              <w:t xml:space="preserve">Other </w:t>
            </w:r>
            <w:r>
              <w:rPr>
                <w:rFonts w:ascii="Arial" w:cs="Arial" w:eastAsia="Arial" w:hAnsi="Arial"/>
                <w:sz w:val="21"/>
                <w:szCs w:val="21"/>
                <w:color w:val="auto"/>
                <w:vertAlign w:val="superscript"/>
              </w:rPr>
              <w:t>(3)</w:t>
            </w:r>
          </w:p>
        </w:tc>
        <w:tc>
          <w:tcPr>
            <w:tcW w:w="12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23"/>
                <w:szCs w:val="23"/>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3"/>
                <w:szCs w:val="23"/>
                <w:color w:val="auto"/>
              </w:rPr>
            </w:pPr>
          </w:p>
        </w:tc>
        <w:tc>
          <w:tcPr>
            <w:tcW w:w="130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3"/>
                <w:szCs w:val="23"/>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36"/>
        </w:trPr>
        <w:tc>
          <w:tcPr>
            <w:tcW w:w="2080" w:type="dxa"/>
            <w:vAlign w:val="bottom"/>
            <w:tcBorders>
              <w:top w:val="single" w:sz="8" w:color="CCEEFF"/>
              <w:bottom w:val="single" w:sz="8" w:color="CCEEFF"/>
            </w:tcBorders>
            <w:shd w:val="clear" w:color="auto" w:fill="CCEEFF"/>
          </w:tcPr>
          <w:p>
            <w:pPr>
              <w:spacing w:after="0"/>
              <w:rPr>
                <w:sz w:val="20"/>
                <w:szCs w:val="20"/>
                <w:color w:val="auto"/>
              </w:rPr>
            </w:pPr>
          </w:p>
        </w:tc>
        <w:tc>
          <w:tcPr>
            <w:tcW w:w="114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2.7</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320" w:type="dxa"/>
            <w:vAlign w:val="bottom"/>
            <w:tcBorders>
              <w:top w:val="single" w:sz="8" w:color="auto"/>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14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783</w:t>
            </w:r>
          </w:p>
        </w:tc>
        <w:tc>
          <w:tcPr>
            <w:tcW w:w="300" w:type="dxa"/>
            <w:vAlign w:val="bottom"/>
            <w:tcBorders>
              <w:top w:val="single" w:sz="8" w:color="CCEEFF"/>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940" w:type="dxa"/>
            <w:vAlign w:val="bottom"/>
            <w:tcBorders>
              <w:top w:val="single" w:sz="8" w:color="CCEEFF"/>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301.72</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320" w:type="dxa"/>
            <w:vAlign w:val="bottom"/>
            <w:tcBorders>
              <w:top w:val="single" w:sz="8" w:color="auto"/>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14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590</w:t>
            </w:r>
          </w:p>
        </w:tc>
        <w:tc>
          <w:tcPr>
            <w:tcW w:w="340" w:type="dxa"/>
            <w:vAlign w:val="bottom"/>
            <w:tcBorders>
              <w:top w:val="single" w:sz="8" w:color="CCEEFF"/>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900" w:type="dxa"/>
            <w:vAlign w:val="bottom"/>
            <w:tcBorders>
              <w:top w:val="single" w:sz="8" w:color="CCEEFF"/>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227.22</w:t>
            </w:r>
          </w:p>
        </w:tc>
        <w:tc>
          <w:tcPr>
            <w:tcW w:w="1320" w:type="dxa"/>
            <w:vAlign w:val="bottom"/>
            <w:tcBorders>
              <w:top w:val="single" w:sz="8" w:color="CCEEFF"/>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75.3%</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4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193</w:t>
            </w:r>
          </w:p>
        </w:tc>
        <w:tc>
          <w:tcPr>
            <w:tcW w:w="0" w:type="dxa"/>
            <w:vAlign w:val="bottom"/>
          </w:tcPr>
          <w:p>
            <w:pPr>
              <w:spacing w:after="0"/>
              <w:rPr>
                <w:sz w:val="1"/>
                <w:szCs w:val="1"/>
                <w:color w:val="auto"/>
              </w:rPr>
            </w:pPr>
          </w:p>
        </w:tc>
      </w:tr>
      <w:tr>
        <w:trPr>
          <w:trHeight w:val="20"/>
        </w:trPr>
        <w:tc>
          <w:tcPr>
            <w:tcW w:w="208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6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3"/>
        </w:trPr>
        <w:tc>
          <w:tcPr>
            <w:tcW w:w="2080" w:type="dxa"/>
            <w:vAlign w:val="bottom"/>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3760" w:type="dxa"/>
            <w:vAlign w:val="bottom"/>
            <w:tcBorders>
              <w:bottom w:val="single" w:sz="8" w:color="auto"/>
            </w:tcBorders>
            <w:gridSpan w:val="7"/>
          </w:tcPr>
          <w:p>
            <w:pPr>
              <w:jc w:val="right"/>
              <w:ind w:right="439"/>
              <w:spacing w:after="0"/>
              <w:rPr>
                <w:sz w:val="20"/>
                <w:szCs w:val="20"/>
                <w:color w:val="auto"/>
              </w:rPr>
            </w:pPr>
            <w:r>
              <w:rPr>
                <w:rFonts w:ascii="Arial" w:cs="Arial" w:eastAsia="Arial" w:hAnsi="Arial"/>
                <w:sz w:val="16"/>
                <w:szCs w:val="16"/>
                <w:b w:val="1"/>
                <w:bCs w:val="1"/>
                <w:color w:val="auto"/>
              </w:rPr>
              <w:t>Three Months Ended September 30, 2016</w:t>
            </w:r>
          </w:p>
        </w:tc>
        <w:tc>
          <w:tcPr>
            <w:tcW w:w="12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2080" w:type="dxa"/>
            <w:vAlign w:val="bottom"/>
          </w:tcPr>
          <w:p>
            <w:pPr>
              <w:spacing w:after="0"/>
              <w:rPr>
                <w:sz w:val="22"/>
                <w:szCs w:val="22"/>
                <w:color w:val="auto"/>
              </w:rPr>
            </w:pPr>
          </w:p>
        </w:tc>
        <w:tc>
          <w:tcPr>
            <w:tcW w:w="1260" w:type="dxa"/>
            <w:vAlign w:val="bottom"/>
            <w:gridSpan w:val="2"/>
            <w:vMerge w:val="restart"/>
          </w:tcPr>
          <w:p>
            <w:pPr>
              <w:ind w:left="260"/>
              <w:spacing w:after="0"/>
              <w:rPr>
                <w:sz w:val="20"/>
                <w:szCs w:val="20"/>
                <w:color w:val="auto"/>
              </w:rPr>
            </w:pPr>
            <w:r>
              <w:rPr>
                <w:rFonts w:ascii="Arial" w:cs="Arial" w:eastAsia="Arial" w:hAnsi="Arial"/>
                <w:sz w:val="16"/>
                <w:szCs w:val="16"/>
                <w:b w:val="1"/>
                <w:bCs w:val="1"/>
                <w:color w:val="auto"/>
              </w:rPr>
              <w:t>Member</w:t>
            </w:r>
          </w:p>
        </w:tc>
        <w:tc>
          <w:tcPr>
            <w:tcW w:w="320" w:type="dxa"/>
            <w:vAlign w:val="bottom"/>
          </w:tcPr>
          <w:p>
            <w:pPr>
              <w:spacing w:after="0"/>
              <w:rPr>
                <w:sz w:val="22"/>
                <w:szCs w:val="22"/>
                <w:color w:val="auto"/>
              </w:rPr>
            </w:pPr>
          </w:p>
        </w:tc>
        <w:tc>
          <w:tcPr>
            <w:tcW w:w="2500" w:type="dxa"/>
            <w:vAlign w:val="bottom"/>
            <w:gridSpan w:val="5"/>
          </w:tcPr>
          <w:p>
            <w:pPr>
              <w:ind w:left="340"/>
              <w:spacing w:after="0"/>
              <w:rPr>
                <w:sz w:val="20"/>
                <w:szCs w:val="20"/>
                <w:color w:val="auto"/>
              </w:rPr>
            </w:pPr>
            <w:r>
              <w:rPr>
                <w:rFonts w:ascii="Arial" w:cs="Arial" w:eastAsia="Arial" w:hAnsi="Arial"/>
                <w:sz w:val="16"/>
                <w:szCs w:val="16"/>
                <w:b w:val="1"/>
                <w:bCs w:val="1"/>
                <w:color w:val="auto"/>
              </w:rPr>
              <w:t>Premium Revenue</w:t>
            </w:r>
          </w:p>
        </w:tc>
        <w:tc>
          <w:tcPr>
            <w:tcW w:w="320" w:type="dxa"/>
            <w:vAlign w:val="bottom"/>
          </w:tcPr>
          <w:p>
            <w:pPr>
              <w:spacing w:after="0"/>
              <w:rPr>
                <w:sz w:val="22"/>
                <w:szCs w:val="22"/>
                <w:color w:val="auto"/>
              </w:rPr>
            </w:pPr>
          </w:p>
        </w:tc>
        <w:tc>
          <w:tcPr>
            <w:tcW w:w="2380" w:type="dxa"/>
            <w:vAlign w:val="bottom"/>
            <w:gridSpan w:val="4"/>
          </w:tcPr>
          <w:p>
            <w:pPr>
              <w:jc w:val="right"/>
              <w:ind w:right="499"/>
              <w:spacing w:after="0"/>
              <w:rPr>
                <w:sz w:val="20"/>
                <w:szCs w:val="20"/>
                <w:color w:val="auto"/>
              </w:rPr>
            </w:pPr>
            <w:r>
              <w:rPr>
                <w:rFonts w:ascii="Arial" w:cs="Arial" w:eastAsia="Arial" w:hAnsi="Arial"/>
                <w:sz w:val="16"/>
                <w:szCs w:val="16"/>
                <w:b w:val="1"/>
                <w:bCs w:val="1"/>
                <w:color w:val="auto"/>
              </w:rPr>
              <w:t>Medical Care Costs</w:t>
            </w:r>
          </w:p>
        </w:tc>
        <w:tc>
          <w:tcPr>
            <w:tcW w:w="12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40" w:type="dxa"/>
            <w:vAlign w:val="bottom"/>
            <w:vMerge w:val="restart"/>
          </w:tcPr>
          <w:p>
            <w:pPr>
              <w:jc w:val="center"/>
              <w:ind w:right="119"/>
              <w:spacing w:after="0"/>
              <w:rPr>
                <w:sz w:val="20"/>
                <w:szCs w:val="20"/>
                <w:color w:val="auto"/>
              </w:rPr>
            </w:pPr>
            <w:r>
              <w:rPr>
                <w:rFonts w:ascii="Arial" w:cs="Arial" w:eastAsia="Arial" w:hAnsi="Arial"/>
                <w:sz w:val="16"/>
                <w:szCs w:val="16"/>
                <w:b w:val="1"/>
                <w:bCs w:val="1"/>
                <w:color w:val="auto"/>
                <w:w w:val="98"/>
              </w:rPr>
              <w:t>Medical</w:t>
            </w:r>
          </w:p>
        </w:tc>
        <w:tc>
          <w:tcPr>
            <w:tcW w:w="0" w:type="dxa"/>
            <w:vAlign w:val="bottom"/>
          </w:tcPr>
          <w:p>
            <w:pPr>
              <w:spacing w:after="0"/>
              <w:rPr>
                <w:sz w:val="1"/>
                <w:szCs w:val="1"/>
                <w:color w:val="auto"/>
              </w:rPr>
            </w:pPr>
          </w:p>
        </w:tc>
      </w:tr>
      <w:tr>
        <w:trPr>
          <w:trHeight w:val="31"/>
        </w:trPr>
        <w:tc>
          <w:tcPr>
            <w:tcW w:w="2080" w:type="dxa"/>
            <w:vAlign w:val="bottom"/>
          </w:tcPr>
          <w:p>
            <w:pPr>
              <w:spacing w:after="0"/>
              <w:rPr>
                <w:sz w:val="2"/>
                <w:szCs w:val="2"/>
                <w:color w:val="auto"/>
              </w:rPr>
            </w:pPr>
          </w:p>
        </w:tc>
        <w:tc>
          <w:tcPr>
            <w:tcW w:w="1260" w:type="dxa"/>
            <w:vAlign w:val="bottom"/>
            <w:gridSpan w:val="2"/>
            <w:vMerge w:val="continue"/>
          </w:tcPr>
          <w:p>
            <w:pPr>
              <w:spacing w:after="0"/>
              <w:rPr>
                <w:sz w:val="2"/>
                <w:szCs w:val="2"/>
                <w:color w:val="auto"/>
              </w:rPr>
            </w:pPr>
          </w:p>
        </w:tc>
        <w:tc>
          <w:tcPr>
            <w:tcW w:w="320" w:type="dxa"/>
            <w:vAlign w:val="bottom"/>
            <w:tcBorders>
              <w:top w:val="single" w:sz="8" w:color="auto"/>
            </w:tcBorders>
          </w:tcPr>
          <w:p>
            <w:pPr>
              <w:spacing w:after="0"/>
              <w:rPr>
                <w:sz w:val="2"/>
                <w:szCs w:val="2"/>
                <w:color w:val="auto"/>
              </w:rPr>
            </w:pPr>
          </w:p>
        </w:tc>
        <w:tc>
          <w:tcPr>
            <w:tcW w:w="1140" w:type="dxa"/>
            <w:vAlign w:val="bottom"/>
            <w:tcBorders>
              <w:top w:val="single" w:sz="8" w:color="auto"/>
            </w:tcBorders>
          </w:tcPr>
          <w:p>
            <w:pPr>
              <w:spacing w:after="0"/>
              <w:rPr>
                <w:sz w:val="2"/>
                <w:szCs w:val="2"/>
                <w:color w:val="auto"/>
              </w:rPr>
            </w:pPr>
          </w:p>
        </w:tc>
        <w:tc>
          <w:tcPr>
            <w:tcW w:w="120" w:type="dxa"/>
            <w:vAlign w:val="bottom"/>
            <w:tcBorders>
              <w:top w:val="single" w:sz="8" w:color="auto"/>
            </w:tcBorders>
          </w:tcPr>
          <w:p>
            <w:pPr>
              <w:spacing w:after="0"/>
              <w:rPr>
                <w:sz w:val="2"/>
                <w:szCs w:val="2"/>
                <w:color w:val="auto"/>
              </w:rPr>
            </w:pPr>
          </w:p>
        </w:tc>
        <w:tc>
          <w:tcPr>
            <w:tcW w:w="180" w:type="dxa"/>
            <w:vAlign w:val="bottom"/>
            <w:tcBorders>
              <w:top w:val="single" w:sz="8" w:color="auto"/>
            </w:tcBorders>
          </w:tcPr>
          <w:p>
            <w:pPr>
              <w:spacing w:after="0"/>
              <w:rPr>
                <w:sz w:val="2"/>
                <w:szCs w:val="2"/>
                <w:color w:val="auto"/>
              </w:rPr>
            </w:pPr>
          </w:p>
        </w:tc>
        <w:tc>
          <w:tcPr>
            <w:tcW w:w="940" w:type="dxa"/>
            <w:vAlign w:val="bottom"/>
            <w:tcBorders>
              <w:top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top w:val="single" w:sz="8" w:color="auto"/>
            </w:tcBorders>
          </w:tcPr>
          <w:p>
            <w:pPr>
              <w:spacing w:after="0"/>
              <w:rPr>
                <w:sz w:val="2"/>
                <w:szCs w:val="2"/>
                <w:color w:val="auto"/>
              </w:rPr>
            </w:pPr>
          </w:p>
        </w:tc>
        <w:tc>
          <w:tcPr>
            <w:tcW w:w="1140" w:type="dxa"/>
            <w:vAlign w:val="bottom"/>
            <w:tcBorders>
              <w:top w:val="single" w:sz="8" w:color="auto"/>
            </w:tcBorders>
          </w:tcPr>
          <w:p>
            <w:pPr>
              <w:spacing w:after="0"/>
              <w:rPr>
                <w:sz w:val="2"/>
                <w:szCs w:val="2"/>
                <w:color w:val="auto"/>
              </w:rPr>
            </w:pPr>
          </w:p>
        </w:tc>
        <w:tc>
          <w:tcPr>
            <w:tcW w:w="120" w:type="dxa"/>
            <w:vAlign w:val="bottom"/>
            <w:tcBorders>
              <w:top w:val="single" w:sz="8" w:color="auto"/>
            </w:tcBorders>
          </w:tcPr>
          <w:p>
            <w:pPr>
              <w:spacing w:after="0"/>
              <w:rPr>
                <w:sz w:val="2"/>
                <w:szCs w:val="2"/>
                <w:color w:val="auto"/>
              </w:rPr>
            </w:pPr>
          </w:p>
        </w:tc>
        <w:tc>
          <w:tcPr>
            <w:tcW w:w="220" w:type="dxa"/>
            <w:vAlign w:val="bottom"/>
            <w:tcBorders>
              <w:top w:val="single" w:sz="8" w:color="auto"/>
            </w:tcBorders>
          </w:tcPr>
          <w:p>
            <w:pPr>
              <w:spacing w:after="0"/>
              <w:rPr>
                <w:sz w:val="2"/>
                <w:szCs w:val="2"/>
                <w:color w:val="auto"/>
              </w:rPr>
            </w:pPr>
          </w:p>
        </w:tc>
        <w:tc>
          <w:tcPr>
            <w:tcW w:w="900" w:type="dxa"/>
            <w:vAlign w:val="bottom"/>
            <w:tcBorders>
              <w:top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2"/>
        </w:trPr>
        <w:tc>
          <w:tcPr>
            <w:tcW w:w="2080" w:type="dxa"/>
            <w:vAlign w:val="bottom"/>
            <w:tcBorders>
              <w:bottom w:val="single" w:sz="8" w:color="CCEEFF"/>
            </w:tcBorders>
          </w:tcPr>
          <w:p>
            <w:pPr>
              <w:spacing w:after="0"/>
              <w:rPr>
                <w:sz w:val="20"/>
                <w:szCs w:val="20"/>
                <w:color w:val="auto"/>
              </w:rPr>
            </w:pPr>
          </w:p>
        </w:tc>
        <w:tc>
          <w:tcPr>
            <w:tcW w:w="1140" w:type="dxa"/>
            <w:vAlign w:val="bottom"/>
            <w:tcBorders>
              <w:bottom w:val="single" w:sz="8" w:color="auto"/>
            </w:tcBorders>
          </w:tcPr>
          <w:p>
            <w:pPr>
              <w:ind w:left="280"/>
              <w:spacing w:after="0"/>
              <w:rPr>
                <w:sz w:val="20"/>
                <w:szCs w:val="20"/>
                <w:color w:val="auto"/>
              </w:rPr>
            </w:pPr>
            <w:r>
              <w:rPr>
                <w:rFonts w:ascii="Arial" w:cs="Arial" w:eastAsia="Arial" w:hAnsi="Arial"/>
                <w:sz w:val="16"/>
                <w:szCs w:val="16"/>
                <w:b w:val="1"/>
                <w:bCs w:val="1"/>
                <w:color w:val="auto"/>
              </w:rPr>
              <w:t>Months</w:t>
            </w:r>
          </w:p>
        </w:tc>
        <w:tc>
          <w:tcPr>
            <w:tcW w:w="12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Total</w:t>
            </w:r>
          </w:p>
        </w:tc>
        <w:tc>
          <w:tcPr>
            <w:tcW w:w="12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ind w:left="140"/>
              <w:spacing w:after="0"/>
              <w:rPr>
                <w:sz w:val="20"/>
                <w:szCs w:val="20"/>
                <w:color w:val="auto"/>
              </w:rPr>
            </w:pPr>
            <w:r>
              <w:rPr>
                <w:rFonts w:ascii="Arial" w:cs="Arial" w:eastAsia="Arial" w:hAnsi="Arial"/>
                <w:sz w:val="16"/>
                <w:szCs w:val="16"/>
                <w:b w:val="1"/>
                <w:bCs w:val="1"/>
                <w:color w:val="auto"/>
              </w:rPr>
              <w:t>PMPM</w:t>
            </w:r>
          </w:p>
        </w:tc>
        <w:tc>
          <w:tcPr>
            <w:tcW w:w="12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Total</w:t>
            </w:r>
          </w:p>
        </w:tc>
        <w:tc>
          <w:tcPr>
            <w:tcW w:w="12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b w:val="1"/>
                <w:bCs w:val="1"/>
                <w:color w:val="auto"/>
              </w:rPr>
              <w:t>PMPM</w:t>
            </w:r>
          </w:p>
        </w:tc>
        <w:tc>
          <w:tcPr>
            <w:tcW w:w="120" w:type="dxa"/>
            <w:vAlign w:val="bottom"/>
            <w:tcBorders>
              <w:bottom w:val="single" w:sz="8" w:color="CCEEFF"/>
            </w:tcBorders>
          </w:tcPr>
          <w:p>
            <w:pPr>
              <w:spacing w:after="0"/>
              <w:rPr>
                <w:sz w:val="20"/>
                <w:szCs w:val="20"/>
                <w:color w:val="auto"/>
              </w:rPr>
            </w:pPr>
          </w:p>
        </w:tc>
        <w:tc>
          <w:tcPr>
            <w:tcW w:w="120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b w:val="1"/>
                <w:bCs w:val="1"/>
                <w:color w:val="auto"/>
              </w:rPr>
              <w:t>MCR</w:t>
            </w:r>
          </w:p>
        </w:tc>
        <w:tc>
          <w:tcPr>
            <w:tcW w:w="10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center"/>
              <w:ind w:right="119"/>
              <w:spacing w:after="0"/>
              <w:rPr>
                <w:sz w:val="20"/>
                <w:szCs w:val="20"/>
                <w:color w:val="auto"/>
              </w:rPr>
            </w:pPr>
            <w:r>
              <w:rPr>
                <w:rFonts w:ascii="Arial" w:cs="Arial" w:eastAsia="Arial" w:hAnsi="Arial"/>
                <w:sz w:val="16"/>
                <w:szCs w:val="16"/>
                <w:b w:val="1"/>
                <w:bCs w:val="1"/>
                <w:color w:val="auto"/>
              </w:rPr>
              <w:t>Margin</w:t>
            </w:r>
          </w:p>
        </w:tc>
        <w:tc>
          <w:tcPr>
            <w:tcW w:w="0" w:type="dxa"/>
            <w:vAlign w:val="bottom"/>
          </w:tcPr>
          <w:p>
            <w:pPr>
              <w:spacing w:after="0"/>
              <w:rPr>
                <w:sz w:val="1"/>
                <w:szCs w:val="1"/>
                <w:color w:val="auto"/>
              </w:rPr>
            </w:pPr>
          </w:p>
        </w:tc>
      </w:tr>
      <w:tr>
        <w:trPr>
          <w:trHeight w:val="254"/>
        </w:trPr>
        <w:tc>
          <w:tcPr>
            <w:tcW w:w="2080" w:type="dxa"/>
            <w:vAlign w:val="bottom"/>
            <w:shd w:val="clear" w:color="auto" w:fill="CCEEFF"/>
          </w:tcPr>
          <w:p>
            <w:pPr>
              <w:ind w:left="40"/>
              <w:spacing w:after="0"/>
              <w:rPr>
                <w:sz w:val="20"/>
                <w:szCs w:val="20"/>
                <w:color w:val="auto"/>
              </w:rPr>
            </w:pPr>
            <w:r>
              <w:rPr>
                <w:rFonts w:ascii="Arial" w:cs="Arial" w:eastAsia="Arial" w:hAnsi="Arial"/>
                <w:sz w:val="16"/>
                <w:szCs w:val="16"/>
                <w:color w:val="auto"/>
              </w:rPr>
              <w:t>California</w:t>
            </w:r>
          </w:p>
        </w:tc>
        <w:tc>
          <w:tcPr>
            <w:tcW w:w="11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0.3</w:t>
            </w:r>
          </w:p>
        </w:tc>
        <w:tc>
          <w:tcPr>
            <w:tcW w:w="120" w:type="dxa"/>
            <w:vAlign w:val="bottom"/>
            <w:shd w:val="clear" w:color="auto" w:fill="CCEEFF"/>
          </w:tcPr>
          <w:p>
            <w:pPr>
              <w:spacing w:after="0"/>
              <w:rPr>
                <w:sz w:val="22"/>
                <w:szCs w:val="22"/>
                <w:color w:val="auto"/>
              </w:rPr>
            </w:pPr>
          </w:p>
        </w:tc>
        <w:tc>
          <w:tcPr>
            <w:tcW w:w="3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1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37</w:t>
            </w:r>
          </w:p>
        </w:tc>
        <w:tc>
          <w:tcPr>
            <w:tcW w:w="30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9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185.04</w:t>
            </w:r>
          </w:p>
        </w:tc>
        <w:tc>
          <w:tcPr>
            <w:tcW w:w="120" w:type="dxa"/>
            <w:vAlign w:val="bottom"/>
            <w:shd w:val="clear" w:color="auto" w:fill="CCEEFF"/>
          </w:tcPr>
          <w:p>
            <w:pPr>
              <w:spacing w:after="0"/>
              <w:rPr>
                <w:sz w:val="22"/>
                <w:szCs w:val="22"/>
                <w:color w:val="auto"/>
              </w:rPr>
            </w:pPr>
          </w:p>
        </w:tc>
        <w:tc>
          <w:tcPr>
            <w:tcW w:w="3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1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30</w:t>
            </w:r>
          </w:p>
        </w:tc>
        <w:tc>
          <w:tcPr>
            <w:tcW w:w="3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9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140.10</w:t>
            </w: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75.7%</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7</w:t>
            </w:r>
          </w:p>
        </w:tc>
        <w:tc>
          <w:tcPr>
            <w:tcW w:w="0" w:type="dxa"/>
            <w:vAlign w:val="bottom"/>
          </w:tcPr>
          <w:p>
            <w:pPr>
              <w:spacing w:after="0"/>
              <w:rPr>
                <w:sz w:val="1"/>
                <w:szCs w:val="1"/>
                <w:color w:val="auto"/>
              </w:rPr>
            </w:pPr>
          </w:p>
        </w:tc>
      </w:tr>
      <w:tr>
        <w:trPr>
          <w:trHeight w:val="262"/>
        </w:trPr>
        <w:tc>
          <w:tcPr>
            <w:tcW w:w="2080" w:type="dxa"/>
            <w:vAlign w:val="bottom"/>
          </w:tcPr>
          <w:p>
            <w:pPr>
              <w:ind w:left="40"/>
              <w:spacing w:after="0"/>
              <w:rPr>
                <w:sz w:val="20"/>
                <w:szCs w:val="20"/>
                <w:color w:val="auto"/>
              </w:rPr>
            </w:pPr>
            <w:r>
              <w:rPr>
                <w:rFonts w:ascii="Arial" w:cs="Arial" w:eastAsia="Arial" w:hAnsi="Arial"/>
                <w:sz w:val="16"/>
                <w:szCs w:val="16"/>
                <w:color w:val="auto"/>
              </w:rPr>
              <w:t>Florida</w:t>
            </w: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0.6</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159</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253.16</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145</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231.78</w:t>
            </w:r>
          </w:p>
        </w:tc>
        <w:tc>
          <w:tcPr>
            <w:tcW w:w="1320" w:type="dxa"/>
            <w:vAlign w:val="bottom"/>
            <w:gridSpan w:val="2"/>
          </w:tcPr>
          <w:p>
            <w:pPr>
              <w:jc w:val="right"/>
              <w:ind w:right="99"/>
              <w:spacing w:after="0"/>
              <w:rPr>
                <w:sz w:val="20"/>
                <w:szCs w:val="20"/>
                <w:color w:val="auto"/>
              </w:rPr>
            </w:pPr>
            <w:r>
              <w:rPr>
                <w:rFonts w:ascii="Arial" w:cs="Arial" w:eastAsia="Arial" w:hAnsi="Arial"/>
                <w:sz w:val="16"/>
                <w:szCs w:val="16"/>
                <w:color w:val="auto"/>
              </w:rPr>
              <w:t>91.6</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14</w:t>
            </w:r>
          </w:p>
        </w:tc>
        <w:tc>
          <w:tcPr>
            <w:tcW w:w="0" w:type="dxa"/>
            <w:vAlign w:val="bottom"/>
          </w:tcPr>
          <w:p>
            <w:pPr>
              <w:spacing w:after="0"/>
              <w:rPr>
                <w:sz w:val="1"/>
                <w:szCs w:val="1"/>
                <w:color w:val="auto"/>
              </w:rPr>
            </w:pPr>
          </w:p>
        </w:tc>
      </w:tr>
      <w:tr>
        <w:trPr>
          <w:trHeight w:val="278"/>
        </w:trPr>
        <w:tc>
          <w:tcPr>
            <w:tcW w:w="2080" w:type="dxa"/>
            <w:vAlign w:val="bottom"/>
            <w:shd w:val="clear" w:color="auto" w:fill="CCEEFF"/>
          </w:tcPr>
          <w:p>
            <w:pPr>
              <w:ind w:left="40"/>
              <w:spacing w:after="0"/>
              <w:rPr>
                <w:sz w:val="20"/>
                <w:szCs w:val="20"/>
                <w:color w:val="auto"/>
              </w:rPr>
            </w:pPr>
            <w:r>
              <w:rPr>
                <w:rFonts w:ascii="Arial" w:cs="Arial" w:eastAsia="Arial" w:hAnsi="Arial"/>
                <w:sz w:val="16"/>
                <w:szCs w:val="16"/>
                <w:color w:val="auto"/>
              </w:rPr>
              <w:t>Michigan</w:t>
            </w: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221.84</w:t>
            </w: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132.62</w:t>
            </w:r>
          </w:p>
        </w:tc>
        <w:tc>
          <w:tcPr>
            <w:tcW w:w="1320" w:type="dxa"/>
            <w:vAlign w:val="bottom"/>
            <w:gridSpan w:val="2"/>
            <w:shd w:val="clear" w:color="auto" w:fill="CCEEFF"/>
          </w:tcPr>
          <w:p>
            <w:pPr>
              <w:jc w:val="right"/>
              <w:ind w:right="99"/>
              <w:spacing w:after="0"/>
              <w:rPr>
                <w:sz w:val="20"/>
                <w:szCs w:val="20"/>
                <w:color w:val="auto"/>
              </w:rPr>
            </w:pPr>
            <w:r>
              <w:rPr>
                <w:rFonts w:ascii="Arial" w:cs="Arial" w:eastAsia="Arial" w:hAnsi="Arial"/>
                <w:sz w:val="16"/>
                <w:szCs w:val="16"/>
                <w:color w:val="auto"/>
              </w:rPr>
              <w:t>59.8</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62"/>
        </w:trPr>
        <w:tc>
          <w:tcPr>
            <w:tcW w:w="2080" w:type="dxa"/>
            <w:vAlign w:val="bottom"/>
          </w:tcPr>
          <w:p>
            <w:pPr>
              <w:ind w:left="40"/>
              <w:spacing w:after="0"/>
              <w:rPr>
                <w:sz w:val="20"/>
                <w:szCs w:val="20"/>
                <w:color w:val="auto"/>
              </w:rPr>
            </w:pPr>
            <w:r>
              <w:rPr>
                <w:rFonts w:ascii="Arial" w:cs="Arial" w:eastAsia="Arial" w:hAnsi="Arial"/>
                <w:sz w:val="16"/>
                <w:szCs w:val="16"/>
                <w:color w:val="auto"/>
              </w:rPr>
              <w:t>New Mexico</w:t>
            </w: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0.1</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15</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290.63</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11</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220.32</w:t>
            </w:r>
          </w:p>
        </w:tc>
        <w:tc>
          <w:tcPr>
            <w:tcW w:w="1320" w:type="dxa"/>
            <w:vAlign w:val="bottom"/>
            <w:gridSpan w:val="2"/>
          </w:tcPr>
          <w:p>
            <w:pPr>
              <w:jc w:val="right"/>
              <w:ind w:right="99"/>
              <w:spacing w:after="0"/>
              <w:rPr>
                <w:sz w:val="20"/>
                <w:szCs w:val="20"/>
                <w:color w:val="auto"/>
              </w:rPr>
            </w:pPr>
            <w:r>
              <w:rPr>
                <w:rFonts w:ascii="Arial" w:cs="Arial" w:eastAsia="Arial" w:hAnsi="Arial"/>
                <w:sz w:val="16"/>
                <w:szCs w:val="16"/>
                <w:color w:val="auto"/>
              </w:rPr>
              <w:t>75.8</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4</w:t>
            </w:r>
          </w:p>
        </w:tc>
        <w:tc>
          <w:tcPr>
            <w:tcW w:w="0" w:type="dxa"/>
            <w:vAlign w:val="bottom"/>
          </w:tcPr>
          <w:p>
            <w:pPr>
              <w:spacing w:after="0"/>
              <w:rPr>
                <w:sz w:val="1"/>
                <w:szCs w:val="1"/>
                <w:color w:val="auto"/>
              </w:rPr>
            </w:pPr>
          </w:p>
        </w:tc>
      </w:tr>
      <w:tr>
        <w:trPr>
          <w:trHeight w:val="278"/>
        </w:trPr>
        <w:tc>
          <w:tcPr>
            <w:tcW w:w="2080" w:type="dxa"/>
            <w:vAlign w:val="bottom"/>
            <w:shd w:val="clear" w:color="auto" w:fill="CCEEFF"/>
          </w:tcPr>
          <w:p>
            <w:pPr>
              <w:ind w:left="40"/>
              <w:spacing w:after="0"/>
              <w:rPr>
                <w:sz w:val="20"/>
                <w:szCs w:val="20"/>
                <w:color w:val="auto"/>
              </w:rPr>
            </w:pPr>
            <w:r>
              <w:rPr>
                <w:rFonts w:ascii="Arial" w:cs="Arial" w:eastAsia="Arial" w:hAnsi="Arial"/>
                <w:sz w:val="16"/>
                <w:szCs w:val="16"/>
                <w:color w:val="auto"/>
              </w:rPr>
              <w:t>Ohio</w:t>
            </w: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9</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307.24</w:t>
            </w: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7</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215.01</w:t>
            </w:r>
          </w:p>
        </w:tc>
        <w:tc>
          <w:tcPr>
            <w:tcW w:w="1320" w:type="dxa"/>
            <w:vAlign w:val="bottom"/>
            <w:gridSpan w:val="2"/>
            <w:shd w:val="clear" w:color="auto" w:fill="CCEEFF"/>
          </w:tcPr>
          <w:p>
            <w:pPr>
              <w:jc w:val="right"/>
              <w:ind w:right="99"/>
              <w:spacing w:after="0"/>
              <w:rPr>
                <w:sz w:val="20"/>
                <w:szCs w:val="20"/>
                <w:color w:val="auto"/>
              </w:rPr>
            </w:pPr>
            <w:r>
              <w:rPr>
                <w:rFonts w:ascii="Arial" w:cs="Arial" w:eastAsia="Arial" w:hAnsi="Arial"/>
                <w:sz w:val="16"/>
                <w:szCs w:val="16"/>
                <w:color w:val="auto"/>
              </w:rPr>
              <w:t>70.0</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262"/>
        </w:trPr>
        <w:tc>
          <w:tcPr>
            <w:tcW w:w="2080" w:type="dxa"/>
            <w:vAlign w:val="bottom"/>
          </w:tcPr>
          <w:p>
            <w:pPr>
              <w:ind w:left="40"/>
              <w:spacing w:after="0"/>
              <w:rPr>
                <w:sz w:val="20"/>
                <w:szCs w:val="20"/>
                <w:color w:val="auto"/>
              </w:rPr>
            </w:pPr>
            <w:r>
              <w:rPr>
                <w:rFonts w:ascii="Arial" w:cs="Arial" w:eastAsia="Arial" w:hAnsi="Arial"/>
                <w:sz w:val="16"/>
                <w:szCs w:val="16"/>
                <w:color w:val="auto"/>
              </w:rPr>
              <w:t>Texas</w:t>
            </w: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0.4</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63</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189.85</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41</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121.06</w:t>
            </w:r>
          </w:p>
        </w:tc>
        <w:tc>
          <w:tcPr>
            <w:tcW w:w="1320" w:type="dxa"/>
            <w:vAlign w:val="bottom"/>
            <w:gridSpan w:val="2"/>
          </w:tcPr>
          <w:p>
            <w:pPr>
              <w:jc w:val="right"/>
              <w:ind w:right="99"/>
              <w:spacing w:after="0"/>
              <w:rPr>
                <w:sz w:val="20"/>
                <w:szCs w:val="20"/>
                <w:color w:val="auto"/>
              </w:rPr>
            </w:pPr>
            <w:r>
              <w:rPr>
                <w:rFonts w:ascii="Arial" w:cs="Arial" w:eastAsia="Arial" w:hAnsi="Arial"/>
                <w:sz w:val="16"/>
                <w:szCs w:val="16"/>
                <w:color w:val="auto"/>
              </w:rPr>
              <w:t>63.8</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22</w:t>
            </w:r>
          </w:p>
        </w:tc>
        <w:tc>
          <w:tcPr>
            <w:tcW w:w="0" w:type="dxa"/>
            <w:vAlign w:val="bottom"/>
          </w:tcPr>
          <w:p>
            <w:pPr>
              <w:spacing w:after="0"/>
              <w:rPr>
                <w:sz w:val="1"/>
                <w:szCs w:val="1"/>
                <w:color w:val="auto"/>
              </w:rPr>
            </w:pPr>
          </w:p>
        </w:tc>
      </w:tr>
      <w:tr>
        <w:trPr>
          <w:trHeight w:val="278"/>
        </w:trPr>
        <w:tc>
          <w:tcPr>
            <w:tcW w:w="2080" w:type="dxa"/>
            <w:vAlign w:val="bottom"/>
            <w:shd w:val="clear" w:color="auto" w:fill="CCEEFF"/>
          </w:tcPr>
          <w:p>
            <w:pPr>
              <w:ind w:left="40"/>
              <w:spacing w:after="0"/>
              <w:rPr>
                <w:sz w:val="20"/>
                <w:szCs w:val="20"/>
                <w:color w:val="auto"/>
              </w:rPr>
            </w:pPr>
            <w:r>
              <w:rPr>
                <w:rFonts w:ascii="Arial" w:cs="Arial" w:eastAsia="Arial" w:hAnsi="Arial"/>
                <w:sz w:val="16"/>
                <w:szCs w:val="16"/>
                <w:color w:val="auto"/>
              </w:rPr>
              <w:t>Utah</w:t>
            </w:r>
          </w:p>
        </w:tc>
        <w:tc>
          <w:tcPr>
            <w:tcW w:w="11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0.1</w:t>
            </w: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23</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142.10</w:t>
            </w: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33</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208.48</w:t>
            </w:r>
          </w:p>
        </w:tc>
        <w:tc>
          <w:tcPr>
            <w:tcW w:w="1320" w:type="dxa"/>
            <w:vAlign w:val="bottom"/>
            <w:gridSpan w:val="2"/>
            <w:shd w:val="clear" w:color="auto" w:fill="CCEEFF"/>
          </w:tcPr>
          <w:p>
            <w:pPr>
              <w:jc w:val="right"/>
              <w:ind w:right="99"/>
              <w:spacing w:after="0"/>
              <w:rPr>
                <w:sz w:val="20"/>
                <w:szCs w:val="20"/>
                <w:color w:val="auto"/>
              </w:rPr>
            </w:pPr>
            <w:r>
              <w:rPr>
                <w:rFonts w:ascii="Arial" w:cs="Arial" w:eastAsia="Arial" w:hAnsi="Arial"/>
                <w:sz w:val="16"/>
                <w:szCs w:val="16"/>
                <w:color w:val="auto"/>
              </w:rPr>
              <w:t>146.7</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w:t>
            </w:r>
          </w:p>
        </w:tc>
        <w:tc>
          <w:tcPr>
            <w:tcW w:w="0" w:type="dxa"/>
            <w:vAlign w:val="bottom"/>
          </w:tcPr>
          <w:p>
            <w:pPr>
              <w:spacing w:after="0"/>
              <w:rPr>
                <w:sz w:val="1"/>
                <w:szCs w:val="1"/>
                <w:color w:val="auto"/>
              </w:rPr>
            </w:pPr>
          </w:p>
        </w:tc>
      </w:tr>
      <w:tr>
        <w:trPr>
          <w:trHeight w:val="262"/>
        </w:trPr>
        <w:tc>
          <w:tcPr>
            <w:tcW w:w="2080" w:type="dxa"/>
            <w:vAlign w:val="bottom"/>
          </w:tcPr>
          <w:p>
            <w:pPr>
              <w:ind w:left="40"/>
              <w:spacing w:after="0"/>
              <w:rPr>
                <w:sz w:val="20"/>
                <w:szCs w:val="20"/>
                <w:color w:val="auto"/>
              </w:rPr>
            </w:pPr>
            <w:r>
              <w:rPr>
                <w:rFonts w:ascii="Arial" w:cs="Arial" w:eastAsia="Arial" w:hAnsi="Arial"/>
                <w:sz w:val="16"/>
                <w:szCs w:val="16"/>
                <w:color w:val="auto"/>
              </w:rPr>
              <w:t>Washington</w:t>
            </w: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0.1</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23</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307.55</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21</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300.71</w:t>
            </w:r>
          </w:p>
        </w:tc>
        <w:tc>
          <w:tcPr>
            <w:tcW w:w="1320" w:type="dxa"/>
            <w:vAlign w:val="bottom"/>
            <w:gridSpan w:val="2"/>
          </w:tcPr>
          <w:p>
            <w:pPr>
              <w:jc w:val="right"/>
              <w:ind w:right="99"/>
              <w:spacing w:after="0"/>
              <w:rPr>
                <w:sz w:val="20"/>
                <w:szCs w:val="20"/>
                <w:color w:val="auto"/>
              </w:rPr>
            </w:pPr>
            <w:r>
              <w:rPr>
                <w:rFonts w:ascii="Arial" w:cs="Arial" w:eastAsia="Arial" w:hAnsi="Arial"/>
                <w:sz w:val="16"/>
                <w:szCs w:val="16"/>
                <w:color w:val="auto"/>
              </w:rPr>
              <w:t>97.8</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278"/>
        </w:trPr>
        <w:tc>
          <w:tcPr>
            <w:tcW w:w="2080" w:type="dxa"/>
            <w:vAlign w:val="bottom"/>
            <w:shd w:val="clear" w:color="auto" w:fill="CCEEFF"/>
          </w:tcPr>
          <w:p>
            <w:pPr>
              <w:ind w:left="40"/>
              <w:spacing w:after="0"/>
              <w:rPr>
                <w:sz w:val="20"/>
                <w:szCs w:val="20"/>
                <w:color w:val="auto"/>
              </w:rPr>
            </w:pPr>
            <w:r>
              <w:rPr>
                <w:rFonts w:ascii="Arial" w:cs="Arial" w:eastAsia="Arial" w:hAnsi="Arial"/>
                <w:sz w:val="16"/>
                <w:szCs w:val="16"/>
                <w:color w:val="auto"/>
              </w:rPr>
              <w:t>Wisconsin</w:t>
            </w:r>
          </w:p>
        </w:tc>
        <w:tc>
          <w:tcPr>
            <w:tcW w:w="11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0.1</w:t>
            </w: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68</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375.60</w:t>
            </w: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64</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357.60</w:t>
            </w:r>
          </w:p>
        </w:tc>
        <w:tc>
          <w:tcPr>
            <w:tcW w:w="1320" w:type="dxa"/>
            <w:vAlign w:val="bottom"/>
            <w:gridSpan w:val="2"/>
            <w:shd w:val="clear" w:color="auto" w:fill="CCEEFF"/>
          </w:tcPr>
          <w:p>
            <w:pPr>
              <w:jc w:val="right"/>
              <w:ind w:right="99"/>
              <w:spacing w:after="0"/>
              <w:rPr>
                <w:sz w:val="20"/>
                <w:szCs w:val="20"/>
                <w:color w:val="auto"/>
              </w:rPr>
            </w:pPr>
            <w:r>
              <w:rPr>
                <w:rFonts w:ascii="Arial" w:cs="Arial" w:eastAsia="Arial" w:hAnsi="Arial"/>
                <w:sz w:val="16"/>
                <w:szCs w:val="16"/>
                <w:color w:val="auto"/>
              </w:rPr>
              <w:t>95.2</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4</w:t>
            </w:r>
          </w:p>
        </w:tc>
        <w:tc>
          <w:tcPr>
            <w:tcW w:w="0" w:type="dxa"/>
            <w:vAlign w:val="bottom"/>
          </w:tcPr>
          <w:p>
            <w:pPr>
              <w:spacing w:after="0"/>
              <w:rPr>
                <w:sz w:val="1"/>
                <w:szCs w:val="1"/>
                <w:color w:val="auto"/>
              </w:rPr>
            </w:pPr>
          </w:p>
        </w:tc>
      </w:tr>
      <w:tr>
        <w:trPr>
          <w:trHeight w:val="264"/>
        </w:trPr>
        <w:tc>
          <w:tcPr>
            <w:tcW w:w="2080" w:type="dxa"/>
            <w:vAlign w:val="bottom"/>
          </w:tcPr>
          <w:p>
            <w:pPr>
              <w:ind w:left="40"/>
              <w:spacing w:after="0"/>
              <w:rPr>
                <w:sz w:val="20"/>
                <w:szCs w:val="20"/>
                <w:color w:val="auto"/>
              </w:rPr>
            </w:pPr>
            <w:r>
              <w:rPr>
                <w:rFonts w:ascii="Arial" w:cs="Arial" w:eastAsia="Arial" w:hAnsi="Arial"/>
                <w:sz w:val="16"/>
                <w:szCs w:val="16"/>
                <w:color w:val="auto"/>
              </w:rPr>
              <w:t>Other (3)</w:t>
            </w:r>
          </w:p>
        </w:tc>
        <w:tc>
          <w:tcPr>
            <w:tcW w:w="12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22"/>
                <w:szCs w:val="22"/>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(2)</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2"/>
                <w:szCs w:val="22"/>
                <w:color w:val="auto"/>
              </w:rPr>
            </w:pPr>
          </w:p>
        </w:tc>
        <w:tc>
          <w:tcPr>
            <w:tcW w:w="130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2"/>
                <w:szCs w:val="22"/>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242"/>
        </w:trPr>
        <w:tc>
          <w:tcPr>
            <w:tcW w:w="2080" w:type="dxa"/>
            <w:vAlign w:val="bottom"/>
            <w:tcBorders>
              <w:top w:val="single" w:sz="8" w:color="CCEEFF"/>
              <w:bottom w:val="single" w:sz="8" w:color="CCEEFF"/>
            </w:tcBorders>
            <w:shd w:val="clear" w:color="auto" w:fill="CCEEFF"/>
          </w:tcPr>
          <w:p>
            <w:pPr>
              <w:spacing w:after="0"/>
              <w:rPr>
                <w:sz w:val="21"/>
                <w:szCs w:val="21"/>
                <w:color w:val="auto"/>
              </w:rPr>
            </w:pPr>
          </w:p>
        </w:tc>
        <w:tc>
          <w:tcPr>
            <w:tcW w:w="114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1.7</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14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399</w:t>
            </w:r>
          </w:p>
        </w:tc>
        <w:tc>
          <w:tcPr>
            <w:tcW w:w="300" w:type="dxa"/>
            <w:vAlign w:val="bottom"/>
            <w:tcBorders>
              <w:top w:val="single" w:sz="8" w:color="CCEEFF"/>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940" w:type="dxa"/>
            <w:vAlign w:val="bottom"/>
            <w:tcBorders>
              <w:top w:val="single" w:sz="8" w:color="CCEEFF"/>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238.86</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14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352</w:t>
            </w:r>
          </w:p>
        </w:tc>
        <w:tc>
          <w:tcPr>
            <w:tcW w:w="340" w:type="dxa"/>
            <w:vAlign w:val="bottom"/>
            <w:tcBorders>
              <w:top w:val="single" w:sz="8" w:color="CCEEFF"/>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900" w:type="dxa"/>
            <w:vAlign w:val="bottom"/>
            <w:tcBorders>
              <w:top w:val="single" w:sz="8" w:color="CCEEFF"/>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210.38</w:t>
            </w:r>
          </w:p>
        </w:tc>
        <w:tc>
          <w:tcPr>
            <w:tcW w:w="1320" w:type="dxa"/>
            <w:vAlign w:val="bottom"/>
            <w:tcBorders>
              <w:top w:val="single" w:sz="8" w:color="CCEEFF"/>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88.1%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4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47</w:t>
            </w:r>
          </w:p>
        </w:tc>
        <w:tc>
          <w:tcPr>
            <w:tcW w:w="0" w:type="dxa"/>
            <w:vAlign w:val="bottom"/>
          </w:tcPr>
          <w:p>
            <w:pPr>
              <w:spacing w:after="0"/>
              <w:rPr>
                <w:sz w:val="1"/>
                <w:szCs w:val="1"/>
                <w:color w:val="auto"/>
              </w:rPr>
            </w:pPr>
          </w:p>
        </w:tc>
      </w:tr>
      <w:tr>
        <w:trPr>
          <w:trHeight w:val="20"/>
        </w:trPr>
        <w:tc>
          <w:tcPr>
            <w:tcW w:w="208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1460" w:type="dxa"/>
            <w:vAlign w:val="bottom"/>
            <w:tcBorders>
              <w:bottom w:val="single" w:sz="8" w:color="auto"/>
            </w:tcBorders>
            <w:gridSpan w:val="2"/>
          </w:tcPr>
          <w:p>
            <w:pPr>
              <w:spacing w:after="0" w:line="20" w:lineRule="exact"/>
              <w:rPr>
                <w:sz w:val="1"/>
                <w:szCs w:val="1"/>
                <w:color w:val="auto"/>
              </w:rPr>
            </w:pPr>
          </w:p>
        </w:tc>
        <w:tc>
          <w:tcPr>
            <w:tcW w:w="124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3"/>
        </w:trPr>
        <w:tc>
          <w:tcPr>
            <w:tcW w:w="2080" w:type="dxa"/>
            <w:vAlign w:val="bottom"/>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3760" w:type="dxa"/>
            <w:vAlign w:val="bottom"/>
            <w:tcBorders>
              <w:bottom w:val="single" w:sz="8" w:color="auto"/>
            </w:tcBorders>
            <w:gridSpan w:val="7"/>
          </w:tcPr>
          <w:p>
            <w:pPr>
              <w:ind w:left="120"/>
              <w:spacing w:after="0"/>
              <w:rPr>
                <w:sz w:val="20"/>
                <w:szCs w:val="20"/>
                <w:color w:val="auto"/>
              </w:rPr>
            </w:pPr>
            <w:r>
              <w:rPr>
                <w:rFonts w:ascii="Arial" w:cs="Arial" w:eastAsia="Arial" w:hAnsi="Arial"/>
                <w:sz w:val="16"/>
                <w:szCs w:val="16"/>
                <w:b w:val="1"/>
                <w:bCs w:val="1"/>
                <w:color w:val="auto"/>
              </w:rPr>
              <w:t>Nine Months Ended September 30, 2017</w:t>
            </w:r>
          </w:p>
        </w:tc>
        <w:tc>
          <w:tcPr>
            <w:tcW w:w="12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2080" w:type="dxa"/>
            <w:vAlign w:val="bottom"/>
          </w:tcPr>
          <w:p>
            <w:pPr>
              <w:spacing w:after="0"/>
              <w:rPr>
                <w:sz w:val="22"/>
                <w:szCs w:val="22"/>
                <w:color w:val="auto"/>
              </w:rPr>
            </w:pPr>
          </w:p>
        </w:tc>
        <w:tc>
          <w:tcPr>
            <w:tcW w:w="1260" w:type="dxa"/>
            <w:vAlign w:val="bottom"/>
            <w:gridSpan w:val="2"/>
            <w:vMerge w:val="restart"/>
          </w:tcPr>
          <w:p>
            <w:pPr>
              <w:ind w:left="260"/>
              <w:spacing w:after="0"/>
              <w:rPr>
                <w:sz w:val="20"/>
                <w:szCs w:val="20"/>
                <w:color w:val="auto"/>
              </w:rPr>
            </w:pPr>
            <w:r>
              <w:rPr>
                <w:rFonts w:ascii="Arial" w:cs="Arial" w:eastAsia="Arial" w:hAnsi="Arial"/>
                <w:sz w:val="16"/>
                <w:szCs w:val="16"/>
                <w:b w:val="1"/>
                <w:bCs w:val="1"/>
                <w:color w:val="auto"/>
              </w:rPr>
              <w:t>Member</w:t>
            </w:r>
          </w:p>
        </w:tc>
        <w:tc>
          <w:tcPr>
            <w:tcW w:w="320" w:type="dxa"/>
            <w:vAlign w:val="bottom"/>
          </w:tcPr>
          <w:p>
            <w:pPr>
              <w:spacing w:after="0"/>
              <w:rPr>
                <w:sz w:val="22"/>
                <w:szCs w:val="22"/>
                <w:color w:val="auto"/>
              </w:rPr>
            </w:pPr>
          </w:p>
        </w:tc>
        <w:tc>
          <w:tcPr>
            <w:tcW w:w="2500" w:type="dxa"/>
            <w:vAlign w:val="bottom"/>
            <w:gridSpan w:val="5"/>
          </w:tcPr>
          <w:p>
            <w:pPr>
              <w:ind w:left="340"/>
              <w:spacing w:after="0"/>
              <w:rPr>
                <w:sz w:val="20"/>
                <w:szCs w:val="20"/>
                <w:color w:val="auto"/>
              </w:rPr>
            </w:pPr>
            <w:r>
              <w:rPr>
                <w:rFonts w:ascii="Arial" w:cs="Arial" w:eastAsia="Arial" w:hAnsi="Arial"/>
                <w:sz w:val="16"/>
                <w:szCs w:val="16"/>
                <w:b w:val="1"/>
                <w:bCs w:val="1"/>
                <w:color w:val="auto"/>
              </w:rPr>
              <w:t>Premium Revenue</w:t>
            </w:r>
          </w:p>
        </w:tc>
        <w:tc>
          <w:tcPr>
            <w:tcW w:w="320" w:type="dxa"/>
            <w:vAlign w:val="bottom"/>
          </w:tcPr>
          <w:p>
            <w:pPr>
              <w:spacing w:after="0"/>
              <w:rPr>
                <w:sz w:val="22"/>
                <w:szCs w:val="22"/>
                <w:color w:val="auto"/>
              </w:rPr>
            </w:pPr>
          </w:p>
        </w:tc>
        <w:tc>
          <w:tcPr>
            <w:tcW w:w="2380" w:type="dxa"/>
            <w:vAlign w:val="bottom"/>
            <w:gridSpan w:val="4"/>
          </w:tcPr>
          <w:p>
            <w:pPr>
              <w:jc w:val="right"/>
              <w:ind w:right="499"/>
              <w:spacing w:after="0"/>
              <w:rPr>
                <w:sz w:val="20"/>
                <w:szCs w:val="20"/>
                <w:color w:val="auto"/>
              </w:rPr>
            </w:pPr>
            <w:r>
              <w:rPr>
                <w:rFonts w:ascii="Arial" w:cs="Arial" w:eastAsia="Arial" w:hAnsi="Arial"/>
                <w:sz w:val="16"/>
                <w:szCs w:val="16"/>
                <w:b w:val="1"/>
                <w:bCs w:val="1"/>
                <w:color w:val="auto"/>
              </w:rPr>
              <w:t>Medical Care Costs</w:t>
            </w:r>
          </w:p>
        </w:tc>
        <w:tc>
          <w:tcPr>
            <w:tcW w:w="12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40" w:type="dxa"/>
            <w:vAlign w:val="bottom"/>
            <w:vMerge w:val="restart"/>
          </w:tcPr>
          <w:p>
            <w:pPr>
              <w:jc w:val="center"/>
              <w:ind w:right="119"/>
              <w:spacing w:after="0"/>
              <w:rPr>
                <w:sz w:val="20"/>
                <w:szCs w:val="20"/>
                <w:color w:val="auto"/>
              </w:rPr>
            </w:pPr>
            <w:r>
              <w:rPr>
                <w:rFonts w:ascii="Arial" w:cs="Arial" w:eastAsia="Arial" w:hAnsi="Arial"/>
                <w:sz w:val="16"/>
                <w:szCs w:val="16"/>
                <w:b w:val="1"/>
                <w:bCs w:val="1"/>
                <w:color w:val="auto"/>
                <w:w w:val="98"/>
              </w:rPr>
              <w:t>Medical</w:t>
            </w:r>
          </w:p>
        </w:tc>
        <w:tc>
          <w:tcPr>
            <w:tcW w:w="0" w:type="dxa"/>
            <w:vAlign w:val="bottom"/>
          </w:tcPr>
          <w:p>
            <w:pPr>
              <w:spacing w:after="0"/>
              <w:rPr>
                <w:sz w:val="1"/>
                <w:szCs w:val="1"/>
                <w:color w:val="auto"/>
              </w:rPr>
            </w:pPr>
          </w:p>
        </w:tc>
      </w:tr>
      <w:tr>
        <w:trPr>
          <w:trHeight w:val="31"/>
        </w:trPr>
        <w:tc>
          <w:tcPr>
            <w:tcW w:w="2080" w:type="dxa"/>
            <w:vAlign w:val="bottom"/>
          </w:tcPr>
          <w:p>
            <w:pPr>
              <w:spacing w:after="0"/>
              <w:rPr>
                <w:sz w:val="2"/>
                <w:szCs w:val="2"/>
                <w:color w:val="auto"/>
              </w:rPr>
            </w:pPr>
          </w:p>
        </w:tc>
        <w:tc>
          <w:tcPr>
            <w:tcW w:w="1260" w:type="dxa"/>
            <w:vAlign w:val="bottom"/>
            <w:gridSpan w:val="2"/>
            <w:vMerge w:val="continue"/>
          </w:tcPr>
          <w:p>
            <w:pPr>
              <w:spacing w:after="0"/>
              <w:rPr>
                <w:sz w:val="2"/>
                <w:szCs w:val="2"/>
                <w:color w:val="auto"/>
              </w:rPr>
            </w:pPr>
          </w:p>
        </w:tc>
        <w:tc>
          <w:tcPr>
            <w:tcW w:w="320" w:type="dxa"/>
            <w:vAlign w:val="bottom"/>
            <w:tcBorders>
              <w:top w:val="single" w:sz="8" w:color="auto"/>
            </w:tcBorders>
          </w:tcPr>
          <w:p>
            <w:pPr>
              <w:spacing w:after="0"/>
              <w:rPr>
                <w:sz w:val="2"/>
                <w:szCs w:val="2"/>
                <w:color w:val="auto"/>
              </w:rPr>
            </w:pPr>
          </w:p>
        </w:tc>
        <w:tc>
          <w:tcPr>
            <w:tcW w:w="1140" w:type="dxa"/>
            <w:vAlign w:val="bottom"/>
            <w:tcBorders>
              <w:top w:val="single" w:sz="8" w:color="auto"/>
            </w:tcBorders>
          </w:tcPr>
          <w:p>
            <w:pPr>
              <w:spacing w:after="0"/>
              <w:rPr>
                <w:sz w:val="2"/>
                <w:szCs w:val="2"/>
                <w:color w:val="auto"/>
              </w:rPr>
            </w:pPr>
          </w:p>
        </w:tc>
        <w:tc>
          <w:tcPr>
            <w:tcW w:w="120" w:type="dxa"/>
            <w:vAlign w:val="bottom"/>
            <w:tcBorders>
              <w:top w:val="single" w:sz="8" w:color="auto"/>
            </w:tcBorders>
          </w:tcPr>
          <w:p>
            <w:pPr>
              <w:spacing w:after="0"/>
              <w:rPr>
                <w:sz w:val="2"/>
                <w:szCs w:val="2"/>
                <w:color w:val="auto"/>
              </w:rPr>
            </w:pPr>
          </w:p>
        </w:tc>
        <w:tc>
          <w:tcPr>
            <w:tcW w:w="180" w:type="dxa"/>
            <w:vAlign w:val="bottom"/>
            <w:tcBorders>
              <w:top w:val="single" w:sz="8" w:color="auto"/>
            </w:tcBorders>
          </w:tcPr>
          <w:p>
            <w:pPr>
              <w:spacing w:after="0"/>
              <w:rPr>
                <w:sz w:val="2"/>
                <w:szCs w:val="2"/>
                <w:color w:val="auto"/>
              </w:rPr>
            </w:pPr>
          </w:p>
        </w:tc>
        <w:tc>
          <w:tcPr>
            <w:tcW w:w="940" w:type="dxa"/>
            <w:vAlign w:val="bottom"/>
            <w:tcBorders>
              <w:top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top w:val="single" w:sz="8" w:color="auto"/>
            </w:tcBorders>
          </w:tcPr>
          <w:p>
            <w:pPr>
              <w:spacing w:after="0"/>
              <w:rPr>
                <w:sz w:val="2"/>
                <w:szCs w:val="2"/>
                <w:color w:val="auto"/>
              </w:rPr>
            </w:pPr>
          </w:p>
        </w:tc>
        <w:tc>
          <w:tcPr>
            <w:tcW w:w="1140" w:type="dxa"/>
            <w:vAlign w:val="bottom"/>
            <w:tcBorders>
              <w:top w:val="single" w:sz="8" w:color="auto"/>
            </w:tcBorders>
          </w:tcPr>
          <w:p>
            <w:pPr>
              <w:spacing w:after="0"/>
              <w:rPr>
                <w:sz w:val="2"/>
                <w:szCs w:val="2"/>
                <w:color w:val="auto"/>
              </w:rPr>
            </w:pPr>
          </w:p>
        </w:tc>
        <w:tc>
          <w:tcPr>
            <w:tcW w:w="120" w:type="dxa"/>
            <w:vAlign w:val="bottom"/>
            <w:tcBorders>
              <w:top w:val="single" w:sz="8" w:color="auto"/>
            </w:tcBorders>
          </w:tcPr>
          <w:p>
            <w:pPr>
              <w:spacing w:after="0"/>
              <w:rPr>
                <w:sz w:val="2"/>
                <w:szCs w:val="2"/>
                <w:color w:val="auto"/>
              </w:rPr>
            </w:pPr>
          </w:p>
        </w:tc>
        <w:tc>
          <w:tcPr>
            <w:tcW w:w="220" w:type="dxa"/>
            <w:vAlign w:val="bottom"/>
            <w:tcBorders>
              <w:top w:val="single" w:sz="8" w:color="auto"/>
            </w:tcBorders>
          </w:tcPr>
          <w:p>
            <w:pPr>
              <w:spacing w:after="0"/>
              <w:rPr>
                <w:sz w:val="2"/>
                <w:szCs w:val="2"/>
                <w:color w:val="auto"/>
              </w:rPr>
            </w:pPr>
          </w:p>
        </w:tc>
        <w:tc>
          <w:tcPr>
            <w:tcW w:w="900" w:type="dxa"/>
            <w:vAlign w:val="bottom"/>
            <w:tcBorders>
              <w:top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2"/>
        </w:trPr>
        <w:tc>
          <w:tcPr>
            <w:tcW w:w="2080" w:type="dxa"/>
            <w:vAlign w:val="bottom"/>
            <w:tcBorders>
              <w:bottom w:val="single" w:sz="8" w:color="CCEEFF"/>
            </w:tcBorders>
          </w:tcPr>
          <w:p>
            <w:pPr>
              <w:spacing w:after="0"/>
              <w:rPr>
                <w:sz w:val="20"/>
                <w:szCs w:val="20"/>
                <w:color w:val="auto"/>
              </w:rPr>
            </w:pPr>
          </w:p>
        </w:tc>
        <w:tc>
          <w:tcPr>
            <w:tcW w:w="1140" w:type="dxa"/>
            <w:vAlign w:val="bottom"/>
            <w:tcBorders>
              <w:bottom w:val="single" w:sz="8" w:color="auto"/>
            </w:tcBorders>
          </w:tcPr>
          <w:p>
            <w:pPr>
              <w:ind w:left="280"/>
              <w:spacing w:after="0"/>
              <w:rPr>
                <w:sz w:val="20"/>
                <w:szCs w:val="20"/>
                <w:color w:val="auto"/>
              </w:rPr>
            </w:pPr>
            <w:r>
              <w:rPr>
                <w:rFonts w:ascii="Arial" w:cs="Arial" w:eastAsia="Arial" w:hAnsi="Arial"/>
                <w:sz w:val="16"/>
                <w:szCs w:val="16"/>
                <w:b w:val="1"/>
                <w:bCs w:val="1"/>
                <w:color w:val="auto"/>
              </w:rPr>
              <w:t>Months</w:t>
            </w:r>
          </w:p>
        </w:tc>
        <w:tc>
          <w:tcPr>
            <w:tcW w:w="12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Total</w:t>
            </w:r>
          </w:p>
        </w:tc>
        <w:tc>
          <w:tcPr>
            <w:tcW w:w="12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ind w:left="140"/>
              <w:spacing w:after="0"/>
              <w:rPr>
                <w:sz w:val="20"/>
                <w:szCs w:val="20"/>
                <w:color w:val="auto"/>
              </w:rPr>
            </w:pPr>
            <w:r>
              <w:rPr>
                <w:rFonts w:ascii="Arial" w:cs="Arial" w:eastAsia="Arial" w:hAnsi="Arial"/>
                <w:sz w:val="16"/>
                <w:szCs w:val="16"/>
                <w:b w:val="1"/>
                <w:bCs w:val="1"/>
                <w:color w:val="auto"/>
              </w:rPr>
              <w:t>PMPM</w:t>
            </w:r>
          </w:p>
        </w:tc>
        <w:tc>
          <w:tcPr>
            <w:tcW w:w="12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Total</w:t>
            </w:r>
          </w:p>
        </w:tc>
        <w:tc>
          <w:tcPr>
            <w:tcW w:w="12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b w:val="1"/>
                <w:bCs w:val="1"/>
                <w:color w:val="auto"/>
              </w:rPr>
              <w:t>PMPM</w:t>
            </w:r>
          </w:p>
        </w:tc>
        <w:tc>
          <w:tcPr>
            <w:tcW w:w="120" w:type="dxa"/>
            <w:vAlign w:val="bottom"/>
            <w:tcBorders>
              <w:bottom w:val="single" w:sz="8" w:color="CCEEFF"/>
            </w:tcBorders>
          </w:tcPr>
          <w:p>
            <w:pPr>
              <w:spacing w:after="0"/>
              <w:rPr>
                <w:sz w:val="20"/>
                <w:szCs w:val="20"/>
                <w:color w:val="auto"/>
              </w:rPr>
            </w:pPr>
          </w:p>
        </w:tc>
        <w:tc>
          <w:tcPr>
            <w:tcW w:w="120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b w:val="1"/>
                <w:bCs w:val="1"/>
                <w:color w:val="auto"/>
              </w:rPr>
              <w:t>MCR</w:t>
            </w:r>
          </w:p>
        </w:tc>
        <w:tc>
          <w:tcPr>
            <w:tcW w:w="10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center"/>
              <w:ind w:right="119"/>
              <w:spacing w:after="0"/>
              <w:rPr>
                <w:sz w:val="20"/>
                <w:szCs w:val="20"/>
                <w:color w:val="auto"/>
              </w:rPr>
            </w:pPr>
            <w:r>
              <w:rPr>
                <w:rFonts w:ascii="Arial" w:cs="Arial" w:eastAsia="Arial" w:hAnsi="Arial"/>
                <w:sz w:val="16"/>
                <w:szCs w:val="16"/>
                <w:b w:val="1"/>
                <w:bCs w:val="1"/>
                <w:color w:val="auto"/>
              </w:rPr>
              <w:t>Margin</w:t>
            </w:r>
          </w:p>
        </w:tc>
        <w:tc>
          <w:tcPr>
            <w:tcW w:w="0" w:type="dxa"/>
            <w:vAlign w:val="bottom"/>
          </w:tcPr>
          <w:p>
            <w:pPr>
              <w:spacing w:after="0"/>
              <w:rPr>
                <w:sz w:val="1"/>
                <w:szCs w:val="1"/>
                <w:color w:val="auto"/>
              </w:rPr>
            </w:pPr>
          </w:p>
        </w:tc>
      </w:tr>
      <w:tr>
        <w:trPr>
          <w:trHeight w:val="254"/>
        </w:trPr>
        <w:tc>
          <w:tcPr>
            <w:tcW w:w="2080" w:type="dxa"/>
            <w:vAlign w:val="bottom"/>
            <w:shd w:val="clear" w:color="auto" w:fill="CCEEFF"/>
          </w:tcPr>
          <w:p>
            <w:pPr>
              <w:ind w:left="40"/>
              <w:spacing w:after="0"/>
              <w:rPr>
                <w:sz w:val="20"/>
                <w:szCs w:val="20"/>
                <w:color w:val="auto"/>
              </w:rPr>
            </w:pPr>
            <w:r>
              <w:rPr>
                <w:rFonts w:ascii="Arial" w:cs="Arial" w:eastAsia="Arial" w:hAnsi="Arial"/>
                <w:sz w:val="16"/>
                <w:szCs w:val="16"/>
                <w:color w:val="auto"/>
              </w:rPr>
              <w:t>California</w:t>
            </w:r>
          </w:p>
        </w:tc>
        <w:tc>
          <w:tcPr>
            <w:tcW w:w="11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1.2</w:t>
            </w:r>
          </w:p>
        </w:tc>
        <w:tc>
          <w:tcPr>
            <w:tcW w:w="120" w:type="dxa"/>
            <w:vAlign w:val="bottom"/>
            <w:shd w:val="clear" w:color="auto" w:fill="CCEEFF"/>
          </w:tcPr>
          <w:p>
            <w:pPr>
              <w:spacing w:after="0"/>
              <w:rPr>
                <w:sz w:val="22"/>
                <w:szCs w:val="22"/>
                <w:color w:val="auto"/>
              </w:rPr>
            </w:pPr>
          </w:p>
        </w:tc>
        <w:tc>
          <w:tcPr>
            <w:tcW w:w="3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1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241</w:t>
            </w:r>
          </w:p>
        </w:tc>
        <w:tc>
          <w:tcPr>
            <w:tcW w:w="30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9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193.33</w:t>
            </w:r>
          </w:p>
        </w:tc>
        <w:tc>
          <w:tcPr>
            <w:tcW w:w="120" w:type="dxa"/>
            <w:vAlign w:val="bottom"/>
            <w:shd w:val="clear" w:color="auto" w:fill="CCEEFF"/>
          </w:tcPr>
          <w:p>
            <w:pPr>
              <w:spacing w:after="0"/>
              <w:rPr>
                <w:sz w:val="22"/>
                <w:szCs w:val="22"/>
                <w:color w:val="auto"/>
              </w:rPr>
            </w:pPr>
          </w:p>
        </w:tc>
        <w:tc>
          <w:tcPr>
            <w:tcW w:w="3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1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156</w:t>
            </w:r>
          </w:p>
        </w:tc>
        <w:tc>
          <w:tcPr>
            <w:tcW w:w="3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9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124.32</w:t>
            </w: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64.3%</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85</w:t>
            </w:r>
          </w:p>
        </w:tc>
        <w:tc>
          <w:tcPr>
            <w:tcW w:w="0" w:type="dxa"/>
            <w:vAlign w:val="bottom"/>
          </w:tcPr>
          <w:p>
            <w:pPr>
              <w:spacing w:after="0"/>
              <w:rPr>
                <w:sz w:val="1"/>
                <w:szCs w:val="1"/>
                <w:color w:val="auto"/>
              </w:rPr>
            </w:pPr>
          </w:p>
        </w:tc>
      </w:tr>
      <w:tr>
        <w:trPr>
          <w:trHeight w:val="262"/>
        </w:trPr>
        <w:tc>
          <w:tcPr>
            <w:tcW w:w="2080" w:type="dxa"/>
            <w:vAlign w:val="bottom"/>
          </w:tcPr>
          <w:p>
            <w:pPr>
              <w:ind w:left="40"/>
              <w:spacing w:after="0"/>
              <w:rPr>
                <w:sz w:val="20"/>
                <w:szCs w:val="20"/>
                <w:color w:val="auto"/>
              </w:rPr>
            </w:pPr>
            <w:r>
              <w:rPr>
                <w:rFonts w:ascii="Arial" w:cs="Arial" w:eastAsia="Arial" w:hAnsi="Arial"/>
                <w:sz w:val="16"/>
                <w:szCs w:val="16"/>
                <w:color w:val="auto"/>
              </w:rPr>
              <w:t>Florida</w:t>
            </w: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2.8</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821</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296.14</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758</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273.55</w:t>
            </w:r>
          </w:p>
        </w:tc>
        <w:tc>
          <w:tcPr>
            <w:tcW w:w="1320" w:type="dxa"/>
            <w:vAlign w:val="bottom"/>
            <w:gridSpan w:val="2"/>
          </w:tcPr>
          <w:p>
            <w:pPr>
              <w:jc w:val="right"/>
              <w:ind w:right="99"/>
              <w:spacing w:after="0"/>
              <w:rPr>
                <w:sz w:val="20"/>
                <w:szCs w:val="20"/>
                <w:color w:val="auto"/>
              </w:rPr>
            </w:pPr>
            <w:r>
              <w:rPr>
                <w:rFonts w:ascii="Arial" w:cs="Arial" w:eastAsia="Arial" w:hAnsi="Arial"/>
                <w:sz w:val="16"/>
                <w:szCs w:val="16"/>
                <w:color w:val="auto"/>
              </w:rPr>
              <w:t>92.4</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63</w:t>
            </w:r>
          </w:p>
        </w:tc>
        <w:tc>
          <w:tcPr>
            <w:tcW w:w="0" w:type="dxa"/>
            <w:vAlign w:val="bottom"/>
          </w:tcPr>
          <w:p>
            <w:pPr>
              <w:spacing w:after="0"/>
              <w:rPr>
                <w:sz w:val="1"/>
                <w:szCs w:val="1"/>
                <w:color w:val="auto"/>
              </w:rPr>
            </w:pPr>
          </w:p>
        </w:tc>
      </w:tr>
      <w:tr>
        <w:trPr>
          <w:trHeight w:val="278"/>
        </w:trPr>
        <w:tc>
          <w:tcPr>
            <w:tcW w:w="2080" w:type="dxa"/>
            <w:vAlign w:val="bottom"/>
            <w:shd w:val="clear" w:color="auto" w:fill="CCEEFF"/>
          </w:tcPr>
          <w:p>
            <w:pPr>
              <w:ind w:left="40"/>
              <w:spacing w:after="0"/>
              <w:rPr>
                <w:sz w:val="20"/>
                <w:szCs w:val="20"/>
                <w:color w:val="auto"/>
              </w:rPr>
            </w:pPr>
            <w:r>
              <w:rPr>
                <w:rFonts w:ascii="Arial" w:cs="Arial" w:eastAsia="Arial" w:hAnsi="Arial"/>
                <w:sz w:val="16"/>
                <w:szCs w:val="16"/>
                <w:color w:val="auto"/>
              </w:rPr>
              <w:t>Michigan</w:t>
            </w:r>
          </w:p>
        </w:tc>
        <w:tc>
          <w:tcPr>
            <w:tcW w:w="11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0.2</w:t>
            </w: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41</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187.96</w:t>
            </w: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27</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126.76</w:t>
            </w:r>
          </w:p>
        </w:tc>
        <w:tc>
          <w:tcPr>
            <w:tcW w:w="1320" w:type="dxa"/>
            <w:vAlign w:val="bottom"/>
            <w:gridSpan w:val="2"/>
            <w:shd w:val="clear" w:color="auto" w:fill="CCEEFF"/>
          </w:tcPr>
          <w:p>
            <w:pPr>
              <w:jc w:val="right"/>
              <w:ind w:right="99"/>
              <w:spacing w:after="0"/>
              <w:rPr>
                <w:sz w:val="20"/>
                <w:szCs w:val="20"/>
                <w:color w:val="auto"/>
              </w:rPr>
            </w:pPr>
            <w:r>
              <w:rPr>
                <w:rFonts w:ascii="Arial" w:cs="Arial" w:eastAsia="Arial" w:hAnsi="Arial"/>
                <w:sz w:val="16"/>
                <w:szCs w:val="16"/>
                <w:color w:val="auto"/>
              </w:rPr>
              <w:t>67.4</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14</w:t>
            </w:r>
          </w:p>
        </w:tc>
        <w:tc>
          <w:tcPr>
            <w:tcW w:w="0" w:type="dxa"/>
            <w:vAlign w:val="bottom"/>
          </w:tcPr>
          <w:p>
            <w:pPr>
              <w:spacing w:after="0"/>
              <w:rPr>
                <w:sz w:val="1"/>
                <w:szCs w:val="1"/>
                <w:color w:val="auto"/>
              </w:rPr>
            </w:pPr>
          </w:p>
        </w:tc>
      </w:tr>
      <w:tr>
        <w:trPr>
          <w:trHeight w:val="262"/>
        </w:trPr>
        <w:tc>
          <w:tcPr>
            <w:tcW w:w="2080" w:type="dxa"/>
            <w:vAlign w:val="bottom"/>
          </w:tcPr>
          <w:p>
            <w:pPr>
              <w:ind w:left="40"/>
              <w:spacing w:after="0"/>
              <w:rPr>
                <w:sz w:val="20"/>
                <w:szCs w:val="20"/>
                <w:color w:val="auto"/>
              </w:rPr>
            </w:pPr>
            <w:r>
              <w:rPr>
                <w:rFonts w:ascii="Arial" w:cs="Arial" w:eastAsia="Arial" w:hAnsi="Arial"/>
                <w:sz w:val="16"/>
                <w:szCs w:val="16"/>
                <w:color w:val="auto"/>
              </w:rPr>
              <w:t>New Mexico</w:t>
            </w: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0.2</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82</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338.18</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62</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256.05</w:t>
            </w:r>
          </w:p>
        </w:tc>
        <w:tc>
          <w:tcPr>
            <w:tcW w:w="1320" w:type="dxa"/>
            <w:vAlign w:val="bottom"/>
            <w:gridSpan w:val="2"/>
          </w:tcPr>
          <w:p>
            <w:pPr>
              <w:jc w:val="right"/>
              <w:ind w:right="99"/>
              <w:spacing w:after="0"/>
              <w:rPr>
                <w:sz w:val="20"/>
                <w:szCs w:val="20"/>
                <w:color w:val="auto"/>
              </w:rPr>
            </w:pPr>
            <w:r>
              <w:rPr>
                <w:rFonts w:ascii="Arial" w:cs="Arial" w:eastAsia="Arial" w:hAnsi="Arial"/>
                <w:sz w:val="16"/>
                <w:szCs w:val="16"/>
                <w:color w:val="auto"/>
              </w:rPr>
              <w:t>75.7</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20</w:t>
            </w:r>
          </w:p>
        </w:tc>
        <w:tc>
          <w:tcPr>
            <w:tcW w:w="0" w:type="dxa"/>
            <w:vAlign w:val="bottom"/>
          </w:tcPr>
          <w:p>
            <w:pPr>
              <w:spacing w:after="0"/>
              <w:rPr>
                <w:sz w:val="1"/>
                <w:szCs w:val="1"/>
                <w:color w:val="auto"/>
              </w:rPr>
            </w:pPr>
          </w:p>
        </w:tc>
      </w:tr>
      <w:tr>
        <w:trPr>
          <w:trHeight w:val="278"/>
        </w:trPr>
        <w:tc>
          <w:tcPr>
            <w:tcW w:w="2080" w:type="dxa"/>
            <w:vAlign w:val="bottom"/>
            <w:shd w:val="clear" w:color="auto" w:fill="CCEEFF"/>
          </w:tcPr>
          <w:p>
            <w:pPr>
              <w:ind w:left="40"/>
              <w:spacing w:after="0"/>
              <w:rPr>
                <w:sz w:val="20"/>
                <w:szCs w:val="20"/>
                <w:color w:val="auto"/>
              </w:rPr>
            </w:pPr>
            <w:r>
              <w:rPr>
                <w:rFonts w:ascii="Arial" w:cs="Arial" w:eastAsia="Arial" w:hAnsi="Arial"/>
                <w:sz w:val="16"/>
                <w:szCs w:val="16"/>
                <w:color w:val="auto"/>
              </w:rPr>
              <w:t>Ohio</w:t>
            </w:r>
          </w:p>
        </w:tc>
        <w:tc>
          <w:tcPr>
            <w:tcW w:w="11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0.2</w:t>
            </w: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68</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365.35</w:t>
            </w: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64</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346.93</w:t>
            </w:r>
          </w:p>
        </w:tc>
        <w:tc>
          <w:tcPr>
            <w:tcW w:w="1320" w:type="dxa"/>
            <w:vAlign w:val="bottom"/>
            <w:gridSpan w:val="2"/>
            <w:shd w:val="clear" w:color="auto" w:fill="CCEEFF"/>
          </w:tcPr>
          <w:p>
            <w:pPr>
              <w:jc w:val="right"/>
              <w:ind w:right="99"/>
              <w:spacing w:after="0"/>
              <w:rPr>
                <w:sz w:val="20"/>
                <w:szCs w:val="20"/>
                <w:color w:val="auto"/>
              </w:rPr>
            </w:pPr>
            <w:r>
              <w:rPr>
                <w:rFonts w:ascii="Arial" w:cs="Arial" w:eastAsia="Arial" w:hAnsi="Arial"/>
                <w:sz w:val="16"/>
                <w:szCs w:val="16"/>
                <w:color w:val="auto"/>
              </w:rPr>
              <w:t>95.0</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4</w:t>
            </w:r>
          </w:p>
        </w:tc>
        <w:tc>
          <w:tcPr>
            <w:tcW w:w="0" w:type="dxa"/>
            <w:vAlign w:val="bottom"/>
          </w:tcPr>
          <w:p>
            <w:pPr>
              <w:spacing w:after="0"/>
              <w:rPr>
                <w:sz w:val="1"/>
                <w:szCs w:val="1"/>
                <w:color w:val="auto"/>
              </w:rPr>
            </w:pPr>
          </w:p>
        </w:tc>
      </w:tr>
      <w:tr>
        <w:trPr>
          <w:trHeight w:val="262"/>
        </w:trPr>
        <w:tc>
          <w:tcPr>
            <w:tcW w:w="2080" w:type="dxa"/>
            <w:vAlign w:val="bottom"/>
          </w:tcPr>
          <w:p>
            <w:pPr>
              <w:ind w:left="40"/>
              <w:spacing w:after="0"/>
              <w:rPr>
                <w:sz w:val="20"/>
                <w:szCs w:val="20"/>
                <w:color w:val="auto"/>
              </w:rPr>
            </w:pPr>
            <w:r>
              <w:rPr>
                <w:rFonts w:ascii="Arial" w:cs="Arial" w:eastAsia="Arial" w:hAnsi="Arial"/>
                <w:sz w:val="16"/>
                <w:szCs w:val="16"/>
                <w:color w:val="auto"/>
              </w:rPr>
              <w:t>Texas</w:t>
            </w: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2.1</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517</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252.32</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351</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171.57</w:t>
            </w:r>
          </w:p>
        </w:tc>
        <w:tc>
          <w:tcPr>
            <w:tcW w:w="1320" w:type="dxa"/>
            <w:vAlign w:val="bottom"/>
            <w:gridSpan w:val="2"/>
          </w:tcPr>
          <w:p>
            <w:pPr>
              <w:jc w:val="right"/>
              <w:ind w:right="99"/>
              <w:spacing w:after="0"/>
              <w:rPr>
                <w:sz w:val="20"/>
                <w:szCs w:val="20"/>
                <w:color w:val="auto"/>
              </w:rPr>
            </w:pPr>
            <w:r>
              <w:rPr>
                <w:rFonts w:ascii="Arial" w:cs="Arial" w:eastAsia="Arial" w:hAnsi="Arial"/>
                <w:sz w:val="16"/>
                <w:szCs w:val="16"/>
                <w:color w:val="auto"/>
              </w:rPr>
              <w:t>68.0</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166</w:t>
            </w:r>
          </w:p>
        </w:tc>
        <w:tc>
          <w:tcPr>
            <w:tcW w:w="0" w:type="dxa"/>
            <w:vAlign w:val="bottom"/>
          </w:tcPr>
          <w:p>
            <w:pPr>
              <w:spacing w:after="0"/>
              <w:rPr>
                <w:sz w:val="1"/>
                <w:szCs w:val="1"/>
                <w:color w:val="auto"/>
              </w:rPr>
            </w:pPr>
          </w:p>
        </w:tc>
      </w:tr>
      <w:tr>
        <w:trPr>
          <w:trHeight w:val="278"/>
        </w:trPr>
        <w:tc>
          <w:tcPr>
            <w:tcW w:w="2080" w:type="dxa"/>
            <w:vAlign w:val="bottom"/>
            <w:shd w:val="clear" w:color="auto" w:fill="CCEEFF"/>
          </w:tcPr>
          <w:p>
            <w:pPr>
              <w:ind w:left="40"/>
              <w:spacing w:after="0"/>
              <w:rPr>
                <w:sz w:val="20"/>
                <w:szCs w:val="20"/>
                <w:color w:val="auto"/>
              </w:rPr>
            </w:pPr>
            <w:r>
              <w:rPr>
                <w:rFonts w:ascii="Arial" w:cs="Arial" w:eastAsia="Arial" w:hAnsi="Arial"/>
                <w:sz w:val="16"/>
                <w:szCs w:val="16"/>
                <w:color w:val="auto"/>
              </w:rPr>
              <w:t>Utah</w:t>
            </w:r>
          </w:p>
        </w:tc>
        <w:tc>
          <w:tcPr>
            <w:tcW w:w="11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0.7</w:t>
            </w: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135</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209.43</w:t>
            </w: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135</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209.13</w:t>
            </w:r>
          </w:p>
        </w:tc>
        <w:tc>
          <w:tcPr>
            <w:tcW w:w="1320" w:type="dxa"/>
            <w:vAlign w:val="bottom"/>
            <w:gridSpan w:val="2"/>
            <w:shd w:val="clear" w:color="auto" w:fill="CCEEFF"/>
          </w:tcPr>
          <w:p>
            <w:pPr>
              <w:jc w:val="right"/>
              <w:ind w:right="99"/>
              <w:spacing w:after="0"/>
              <w:rPr>
                <w:sz w:val="20"/>
                <w:szCs w:val="20"/>
                <w:color w:val="auto"/>
              </w:rPr>
            </w:pPr>
            <w:r>
              <w:rPr>
                <w:rFonts w:ascii="Arial" w:cs="Arial" w:eastAsia="Arial" w:hAnsi="Arial"/>
                <w:sz w:val="16"/>
                <w:szCs w:val="16"/>
                <w:color w:val="auto"/>
              </w:rPr>
              <w:t>99.9</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62"/>
        </w:trPr>
        <w:tc>
          <w:tcPr>
            <w:tcW w:w="2080" w:type="dxa"/>
            <w:vAlign w:val="bottom"/>
          </w:tcPr>
          <w:p>
            <w:pPr>
              <w:ind w:left="40"/>
              <w:spacing w:after="0"/>
              <w:rPr>
                <w:sz w:val="20"/>
                <w:szCs w:val="20"/>
                <w:color w:val="auto"/>
              </w:rPr>
            </w:pPr>
            <w:r>
              <w:rPr>
                <w:rFonts w:ascii="Arial" w:cs="Arial" w:eastAsia="Arial" w:hAnsi="Arial"/>
                <w:sz w:val="16"/>
                <w:szCs w:val="16"/>
                <w:color w:val="auto"/>
              </w:rPr>
              <w:t>Washington</w:t>
            </w: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0.4</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123</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315.95</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128</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327.51</w:t>
            </w:r>
          </w:p>
        </w:tc>
        <w:tc>
          <w:tcPr>
            <w:tcW w:w="1320" w:type="dxa"/>
            <w:vAlign w:val="bottom"/>
            <w:gridSpan w:val="2"/>
          </w:tcPr>
          <w:p>
            <w:pPr>
              <w:jc w:val="right"/>
              <w:ind w:right="99"/>
              <w:spacing w:after="0"/>
              <w:rPr>
                <w:sz w:val="20"/>
                <w:szCs w:val="20"/>
                <w:color w:val="auto"/>
              </w:rPr>
            </w:pPr>
            <w:r>
              <w:rPr>
                <w:rFonts w:ascii="Arial" w:cs="Arial" w:eastAsia="Arial" w:hAnsi="Arial"/>
                <w:sz w:val="16"/>
                <w:szCs w:val="16"/>
                <w:color w:val="auto"/>
              </w:rPr>
              <w:t>103.7</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(5)</w:t>
            </w:r>
          </w:p>
        </w:tc>
        <w:tc>
          <w:tcPr>
            <w:tcW w:w="0" w:type="dxa"/>
            <w:vAlign w:val="bottom"/>
          </w:tcPr>
          <w:p>
            <w:pPr>
              <w:spacing w:after="0"/>
              <w:rPr>
                <w:sz w:val="1"/>
                <w:szCs w:val="1"/>
                <w:color w:val="auto"/>
              </w:rPr>
            </w:pPr>
          </w:p>
        </w:tc>
      </w:tr>
      <w:tr>
        <w:trPr>
          <w:trHeight w:val="278"/>
        </w:trPr>
        <w:tc>
          <w:tcPr>
            <w:tcW w:w="2080" w:type="dxa"/>
            <w:vAlign w:val="bottom"/>
            <w:shd w:val="clear" w:color="auto" w:fill="CCEEFF"/>
          </w:tcPr>
          <w:p>
            <w:pPr>
              <w:ind w:left="40"/>
              <w:spacing w:after="0"/>
              <w:rPr>
                <w:sz w:val="20"/>
                <w:szCs w:val="20"/>
                <w:color w:val="auto"/>
              </w:rPr>
            </w:pPr>
            <w:r>
              <w:rPr>
                <w:rFonts w:ascii="Arial" w:cs="Arial" w:eastAsia="Arial" w:hAnsi="Arial"/>
                <w:sz w:val="16"/>
                <w:szCs w:val="16"/>
                <w:color w:val="auto"/>
              </w:rPr>
              <w:t>Wisconsin</w:t>
            </w:r>
          </w:p>
        </w:tc>
        <w:tc>
          <w:tcPr>
            <w:tcW w:w="11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0.6</w:t>
            </w: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275</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469.44</w:t>
            </w: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260</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443.41</w:t>
            </w:r>
          </w:p>
        </w:tc>
        <w:tc>
          <w:tcPr>
            <w:tcW w:w="1320" w:type="dxa"/>
            <w:vAlign w:val="bottom"/>
            <w:gridSpan w:val="2"/>
            <w:shd w:val="clear" w:color="auto" w:fill="CCEEFF"/>
          </w:tcPr>
          <w:p>
            <w:pPr>
              <w:jc w:val="right"/>
              <w:ind w:right="99"/>
              <w:spacing w:after="0"/>
              <w:rPr>
                <w:sz w:val="20"/>
                <w:szCs w:val="20"/>
                <w:color w:val="auto"/>
              </w:rPr>
            </w:pPr>
            <w:r>
              <w:rPr>
                <w:rFonts w:ascii="Arial" w:cs="Arial" w:eastAsia="Arial" w:hAnsi="Arial"/>
                <w:sz w:val="16"/>
                <w:szCs w:val="16"/>
                <w:color w:val="auto"/>
              </w:rPr>
              <w:t>94.5</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15</w:t>
            </w:r>
          </w:p>
        </w:tc>
        <w:tc>
          <w:tcPr>
            <w:tcW w:w="0" w:type="dxa"/>
            <w:vAlign w:val="bottom"/>
          </w:tcPr>
          <w:p>
            <w:pPr>
              <w:spacing w:after="0"/>
              <w:rPr>
                <w:sz w:val="1"/>
                <w:szCs w:val="1"/>
                <w:color w:val="auto"/>
              </w:rPr>
            </w:pPr>
          </w:p>
        </w:tc>
      </w:tr>
      <w:tr>
        <w:trPr>
          <w:trHeight w:val="264"/>
        </w:trPr>
        <w:tc>
          <w:tcPr>
            <w:tcW w:w="2080" w:type="dxa"/>
            <w:vAlign w:val="bottom"/>
          </w:tcPr>
          <w:p>
            <w:pPr>
              <w:ind w:left="40"/>
              <w:spacing w:after="0"/>
              <w:rPr>
                <w:sz w:val="20"/>
                <w:szCs w:val="20"/>
                <w:color w:val="auto"/>
              </w:rPr>
            </w:pPr>
            <w:r>
              <w:rPr>
                <w:rFonts w:ascii="Arial" w:cs="Arial" w:eastAsia="Arial" w:hAnsi="Arial"/>
                <w:sz w:val="16"/>
                <w:szCs w:val="16"/>
                <w:color w:val="auto"/>
              </w:rPr>
              <w:t>Other (3)</w:t>
            </w:r>
          </w:p>
        </w:tc>
        <w:tc>
          <w:tcPr>
            <w:tcW w:w="12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22"/>
                <w:szCs w:val="22"/>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(4)</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2"/>
                <w:szCs w:val="22"/>
                <w:color w:val="auto"/>
              </w:rPr>
            </w:pPr>
          </w:p>
        </w:tc>
        <w:tc>
          <w:tcPr>
            <w:tcW w:w="130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2"/>
                <w:szCs w:val="22"/>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4</w:t>
            </w:r>
          </w:p>
        </w:tc>
        <w:tc>
          <w:tcPr>
            <w:tcW w:w="0" w:type="dxa"/>
            <w:vAlign w:val="bottom"/>
          </w:tcPr>
          <w:p>
            <w:pPr>
              <w:spacing w:after="0"/>
              <w:rPr>
                <w:sz w:val="1"/>
                <w:szCs w:val="1"/>
                <w:color w:val="auto"/>
              </w:rPr>
            </w:pPr>
          </w:p>
        </w:tc>
      </w:tr>
      <w:tr>
        <w:trPr>
          <w:trHeight w:val="242"/>
        </w:trPr>
        <w:tc>
          <w:tcPr>
            <w:tcW w:w="2080" w:type="dxa"/>
            <w:vAlign w:val="bottom"/>
            <w:tcBorders>
              <w:top w:val="single" w:sz="8" w:color="CCEEFF"/>
              <w:bottom w:val="single" w:sz="8" w:color="CCEEFF"/>
            </w:tcBorders>
            <w:shd w:val="clear" w:color="auto" w:fill="CCEEFF"/>
          </w:tcPr>
          <w:p>
            <w:pPr>
              <w:spacing w:after="0"/>
              <w:rPr>
                <w:sz w:val="21"/>
                <w:szCs w:val="21"/>
                <w:color w:val="auto"/>
              </w:rPr>
            </w:pPr>
          </w:p>
        </w:tc>
        <w:tc>
          <w:tcPr>
            <w:tcW w:w="114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8.4</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14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2,303</w:t>
            </w:r>
          </w:p>
        </w:tc>
        <w:tc>
          <w:tcPr>
            <w:tcW w:w="300" w:type="dxa"/>
            <w:vAlign w:val="bottom"/>
            <w:tcBorders>
              <w:top w:val="single" w:sz="8" w:color="CCEEFF"/>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940" w:type="dxa"/>
            <w:vAlign w:val="bottom"/>
            <w:tcBorders>
              <w:top w:val="single" w:sz="8" w:color="CCEEFF"/>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276.27</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14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1,937</w:t>
            </w:r>
          </w:p>
        </w:tc>
        <w:tc>
          <w:tcPr>
            <w:tcW w:w="340" w:type="dxa"/>
            <w:vAlign w:val="bottom"/>
            <w:tcBorders>
              <w:top w:val="single" w:sz="8" w:color="CCEEFF"/>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900" w:type="dxa"/>
            <w:vAlign w:val="bottom"/>
            <w:tcBorders>
              <w:top w:val="single" w:sz="8" w:color="CCEEFF"/>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232.31</w:t>
            </w:r>
          </w:p>
        </w:tc>
        <w:tc>
          <w:tcPr>
            <w:tcW w:w="1320" w:type="dxa"/>
            <w:vAlign w:val="bottom"/>
            <w:tcBorders>
              <w:top w:val="single" w:sz="8" w:color="CCEEFF"/>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84.1%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4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366</w:t>
            </w:r>
          </w:p>
        </w:tc>
        <w:tc>
          <w:tcPr>
            <w:tcW w:w="0" w:type="dxa"/>
            <w:vAlign w:val="bottom"/>
          </w:tcPr>
          <w:p>
            <w:pPr>
              <w:spacing w:after="0"/>
              <w:rPr>
                <w:sz w:val="1"/>
                <w:szCs w:val="1"/>
                <w:color w:val="auto"/>
              </w:rPr>
            </w:pPr>
          </w:p>
        </w:tc>
      </w:tr>
      <w:tr>
        <w:trPr>
          <w:trHeight w:val="20"/>
        </w:trPr>
        <w:tc>
          <w:tcPr>
            <w:tcW w:w="208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Molina Healthcare, Inc. 2017 Form 10-Q | 51</w:t>
      </w:r>
    </w:p>
    <w:p>
      <w:pPr>
        <w:sectPr>
          <w:pgSz w:w="11900" w:h="16838" w:orient="portrait"/>
          <w:cols w:equalWidth="0" w:num="1">
            <w:col w:w="11420"/>
          </w:cols>
          <w:pgMar w:left="240" w:top="116" w:right="239" w:bottom="1440" w:gutter="0" w:footer="0" w:header="0"/>
        </w:sectPr>
      </w:pPr>
    </w:p>
    <w:bookmarkStart w:id="51" w:name="page52"/>
    <w:bookmarkEnd w:id="5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2080" w:type="dxa"/>
            <w:vAlign w:val="bottom"/>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3740" w:type="dxa"/>
            <w:vAlign w:val="bottom"/>
            <w:tcBorders>
              <w:bottom w:val="single" w:sz="8" w:color="auto"/>
            </w:tcBorders>
            <w:gridSpan w:val="7"/>
          </w:tcPr>
          <w:p>
            <w:pPr>
              <w:jc w:val="right"/>
              <w:ind w:right="479"/>
              <w:spacing w:after="0"/>
              <w:rPr>
                <w:sz w:val="20"/>
                <w:szCs w:val="20"/>
                <w:color w:val="auto"/>
              </w:rPr>
            </w:pPr>
            <w:r>
              <w:rPr>
                <w:rFonts w:ascii="Arial" w:cs="Arial" w:eastAsia="Arial" w:hAnsi="Arial"/>
                <w:sz w:val="16"/>
                <w:szCs w:val="16"/>
                <w:b w:val="1"/>
                <w:bCs w:val="1"/>
                <w:color w:val="auto"/>
              </w:rPr>
              <w:t>Nine Months Ended September 30, 2016</w:t>
            </w:r>
          </w:p>
        </w:tc>
        <w:tc>
          <w:tcPr>
            <w:tcW w:w="12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64"/>
        </w:trPr>
        <w:tc>
          <w:tcPr>
            <w:tcW w:w="2080" w:type="dxa"/>
            <w:vAlign w:val="bottom"/>
          </w:tcPr>
          <w:p>
            <w:pPr>
              <w:spacing w:after="0"/>
              <w:rPr>
                <w:sz w:val="22"/>
                <w:szCs w:val="22"/>
                <w:color w:val="auto"/>
              </w:rPr>
            </w:pPr>
          </w:p>
        </w:tc>
        <w:tc>
          <w:tcPr>
            <w:tcW w:w="1260" w:type="dxa"/>
            <w:vAlign w:val="bottom"/>
            <w:gridSpan w:val="2"/>
            <w:vMerge w:val="restart"/>
          </w:tcPr>
          <w:p>
            <w:pPr>
              <w:jc w:val="center"/>
              <w:ind w:right="120"/>
              <w:spacing w:after="0"/>
              <w:rPr>
                <w:sz w:val="20"/>
                <w:szCs w:val="20"/>
                <w:color w:val="auto"/>
              </w:rPr>
            </w:pPr>
            <w:r>
              <w:rPr>
                <w:rFonts w:ascii="Arial" w:cs="Arial" w:eastAsia="Arial" w:hAnsi="Arial"/>
                <w:sz w:val="16"/>
                <w:szCs w:val="16"/>
                <w:b w:val="1"/>
                <w:bCs w:val="1"/>
                <w:color w:val="auto"/>
              </w:rPr>
              <w:t>Member</w:t>
            </w:r>
          </w:p>
        </w:tc>
        <w:tc>
          <w:tcPr>
            <w:tcW w:w="540" w:type="dxa"/>
            <w:vAlign w:val="bottom"/>
          </w:tcPr>
          <w:p>
            <w:pPr>
              <w:spacing w:after="0"/>
              <w:rPr>
                <w:sz w:val="22"/>
                <w:szCs w:val="22"/>
                <w:color w:val="auto"/>
              </w:rPr>
            </w:pPr>
          </w:p>
        </w:tc>
        <w:tc>
          <w:tcPr>
            <w:tcW w:w="2280" w:type="dxa"/>
            <w:vAlign w:val="bottom"/>
            <w:gridSpan w:val="5"/>
          </w:tcPr>
          <w:p>
            <w:pPr>
              <w:jc w:val="center"/>
              <w:ind w:right="640"/>
              <w:spacing w:after="0"/>
              <w:rPr>
                <w:sz w:val="20"/>
                <w:szCs w:val="20"/>
                <w:color w:val="auto"/>
              </w:rPr>
            </w:pPr>
            <w:r>
              <w:rPr>
                <w:rFonts w:ascii="Arial" w:cs="Arial" w:eastAsia="Arial" w:hAnsi="Arial"/>
                <w:sz w:val="16"/>
                <w:szCs w:val="16"/>
                <w:b w:val="1"/>
                <w:bCs w:val="1"/>
                <w:color w:val="auto"/>
              </w:rPr>
              <w:t>Premium Revenue</w:t>
            </w:r>
          </w:p>
        </w:tc>
        <w:tc>
          <w:tcPr>
            <w:tcW w:w="320" w:type="dxa"/>
            <w:vAlign w:val="bottom"/>
          </w:tcPr>
          <w:p>
            <w:pPr>
              <w:spacing w:after="0"/>
              <w:rPr>
                <w:sz w:val="22"/>
                <w:szCs w:val="22"/>
                <w:color w:val="auto"/>
              </w:rPr>
            </w:pPr>
          </w:p>
        </w:tc>
        <w:tc>
          <w:tcPr>
            <w:tcW w:w="2380" w:type="dxa"/>
            <w:vAlign w:val="bottom"/>
            <w:gridSpan w:val="4"/>
          </w:tcPr>
          <w:p>
            <w:pPr>
              <w:jc w:val="right"/>
              <w:ind w:right="499"/>
              <w:spacing w:after="0"/>
              <w:rPr>
                <w:sz w:val="20"/>
                <w:szCs w:val="20"/>
                <w:color w:val="auto"/>
              </w:rPr>
            </w:pPr>
            <w:r>
              <w:rPr>
                <w:rFonts w:ascii="Arial" w:cs="Arial" w:eastAsia="Arial" w:hAnsi="Arial"/>
                <w:sz w:val="16"/>
                <w:szCs w:val="16"/>
                <w:b w:val="1"/>
                <w:bCs w:val="1"/>
                <w:color w:val="auto"/>
              </w:rPr>
              <w:t>Medical Care Costs</w:t>
            </w:r>
          </w:p>
        </w:tc>
        <w:tc>
          <w:tcPr>
            <w:tcW w:w="12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40" w:type="dxa"/>
            <w:vAlign w:val="bottom"/>
            <w:vMerge w:val="restart"/>
          </w:tcPr>
          <w:p>
            <w:pPr>
              <w:jc w:val="right"/>
              <w:ind w:right="199"/>
              <w:spacing w:after="0"/>
              <w:rPr>
                <w:sz w:val="20"/>
                <w:szCs w:val="20"/>
                <w:color w:val="auto"/>
              </w:rPr>
            </w:pPr>
            <w:r>
              <w:rPr>
                <w:rFonts w:ascii="Arial" w:cs="Arial" w:eastAsia="Arial" w:hAnsi="Arial"/>
                <w:sz w:val="16"/>
                <w:szCs w:val="16"/>
                <w:b w:val="1"/>
                <w:bCs w:val="1"/>
                <w:color w:val="auto"/>
              </w:rPr>
              <w:t>Medical</w:t>
            </w:r>
          </w:p>
        </w:tc>
        <w:tc>
          <w:tcPr>
            <w:tcW w:w="0" w:type="dxa"/>
            <w:vAlign w:val="bottom"/>
          </w:tcPr>
          <w:p>
            <w:pPr>
              <w:spacing w:after="0"/>
              <w:rPr>
                <w:sz w:val="1"/>
                <w:szCs w:val="1"/>
                <w:color w:val="auto"/>
              </w:rPr>
            </w:pPr>
          </w:p>
        </w:tc>
      </w:tr>
      <w:tr>
        <w:trPr>
          <w:trHeight w:val="31"/>
        </w:trPr>
        <w:tc>
          <w:tcPr>
            <w:tcW w:w="2080" w:type="dxa"/>
            <w:vAlign w:val="bottom"/>
          </w:tcPr>
          <w:p>
            <w:pPr>
              <w:spacing w:after="0"/>
              <w:rPr>
                <w:sz w:val="2"/>
                <w:szCs w:val="2"/>
                <w:color w:val="auto"/>
              </w:rPr>
            </w:pPr>
          </w:p>
        </w:tc>
        <w:tc>
          <w:tcPr>
            <w:tcW w:w="1260" w:type="dxa"/>
            <w:vAlign w:val="bottom"/>
            <w:gridSpan w:val="2"/>
            <w:vMerge w:val="continue"/>
          </w:tcPr>
          <w:p>
            <w:pPr>
              <w:spacing w:after="0"/>
              <w:rPr>
                <w:sz w:val="2"/>
                <w:szCs w:val="2"/>
                <w:color w:val="auto"/>
              </w:rPr>
            </w:pPr>
          </w:p>
        </w:tc>
        <w:tc>
          <w:tcPr>
            <w:tcW w:w="540" w:type="dxa"/>
            <w:vAlign w:val="bottom"/>
            <w:tcBorders>
              <w:top w:val="single" w:sz="8" w:color="auto"/>
            </w:tcBorders>
          </w:tcPr>
          <w:p>
            <w:pPr>
              <w:spacing w:after="0"/>
              <w:rPr>
                <w:sz w:val="2"/>
                <w:szCs w:val="2"/>
                <w:color w:val="auto"/>
              </w:rPr>
            </w:pPr>
          </w:p>
        </w:tc>
        <w:tc>
          <w:tcPr>
            <w:tcW w:w="920" w:type="dxa"/>
            <w:vAlign w:val="bottom"/>
            <w:tcBorders>
              <w:top w:val="single" w:sz="8" w:color="auto"/>
            </w:tcBorders>
          </w:tcPr>
          <w:p>
            <w:pPr>
              <w:spacing w:after="0"/>
              <w:rPr>
                <w:sz w:val="2"/>
                <w:szCs w:val="2"/>
                <w:color w:val="auto"/>
              </w:rPr>
            </w:pPr>
          </w:p>
        </w:tc>
        <w:tc>
          <w:tcPr>
            <w:tcW w:w="120" w:type="dxa"/>
            <w:vAlign w:val="bottom"/>
            <w:tcBorders>
              <w:top w:val="single" w:sz="8" w:color="auto"/>
            </w:tcBorders>
          </w:tcPr>
          <w:p>
            <w:pPr>
              <w:spacing w:after="0"/>
              <w:rPr>
                <w:sz w:val="2"/>
                <w:szCs w:val="2"/>
                <w:color w:val="auto"/>
              </w:rPr>
            </w:pPr>
          </w:p>
        </w:tc>
        <w:tc>
          <w:tcPr>
            <w:tcW w:w="200" w:type="dxa"/>
            <w:vAlign w:val="bottom"/>
            <w:tcBorders>
              <w:top w:val="single" w:sz="8" w:color="auto"/>
            </w:tcBorders>
          </w:tcPr>
          <w:p>
            <w:pPr>
              <w:spacing w:after="0"/>
              <w:rPr>
                <w:sz w:val="2"/>
                <w:szCs w:val="2"/>
                <w:color w:val="auto"/>
              </w:rPr>
            </w:pPr>
          </w:p>
        </w:tc>
        <w:tc>
          <w:tcPr>
            <w:tcW w:w="920" w:type="dxa"/>
            <w:vAlign w:val="bottom"/>
            <w:tcBorders>
              <w:top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top w:val="single" w:sz="8" w:color="auto"/>
            </w:tcBorders>
          </w:tcPr>
          <w:p>
            <w:pPr>
              <w:spacing w:after="0"/>
              <w:rPr>
                <w:sz w:val="2"/>
                <w:szCs w:val="2"/>
                <w:color w:val="auto"/>
              </w:rPr>
            </w:pPr>
          </w:p>
        </w:tc>
        <w:tc>
          <w:tcPr>
            <w:tcW w:w="1140" w:type="dxa"/>
            <w:vAlign w:val="bottom"/>
            <w:tcBorders>
              <w:top w:val="single" w:sz="8" w:color="auto"/>
            </w:tcBorders>
          </w:tcPr>
          <w:p>
            <w:pPr>
              <w:spacing w:after="0"/>
              <w:rPr>
                <w:sz w:val="2"/>
                <w:szCs w:val="2"/>
                <w:color w:val="auto"/>
              </w:rPr>
            </w:pPr>
          </w:p>
        </w:tc>
        <w:tc>
          <w:tcPr>
            <w:tcW w:w="120" w:type="dxa"/>
            <w:vAlign w:val="bottom"/>
            <w:tcBorders>
              <w:top w:val="single" w:sz="8" w:color="auto"/>
            </w:tcBorders>
          </w:tcPr>
          <w:p>
            <w:pPr>
              <w:spacing w:after="0"/>
              <w:rPr>
                <w:sz w:val="2"/>
                <w:szCs w:val="2"/>
                <w:color w:val="auto"/>
              </w:rPr>
            </w:pPr>
          </w:p>
        </w:tc>
        <w:tc>
          <w:tcPr>
            <w:tcW w:w="220" w:type="dxa"/>
            <w:vAlign w:val="bottom"/>
            <w:tcBorders>
              <w:top w:val="single" w:sz="8" w:color="auto"/>
            </w:tcBorders>
          </w:tcPr>
          <w:p>
            <w:pPr>
              <w:spacing w:after="0"/>
              <w:rPr>
                <w:sz w:val="2"/>
                <w:szCs w:val="2"/>
                <w:color w:val="auto"/>
              </w:rPr>
            </w:pPr>
          </w:p>
        </w:tc>
        <w:tc>
          <w:tcPr>
            <w:tcW w:w="900" w:type="dxa"/>
            <w:vAlign w:val="bottom"/>
            <w:tcBorders>
              <w:top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2"/>
        </w:trPr>
        <w:tc>
          <w:tcPr>
            <w:tcW w:w="2080" w:type="dxa"/>
            <w:vAlign w:val="bottom"/>
            <w:tcBorders>
              <w:bottom w:val="single" w:sz="8" w:color="CCEEFF"/>
            </w:tcBorders>
          </w:tcPr>
          <w:p>
            <w:pPr>
              <w:spacing w:after="0"/>
              <w:rPr>
                <w:sz w:val="20"/>
                <w:szCs w:val="20"/>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Months</w:t>
            </w:r>
          </w:p>
        </w:tc>
        <w:tc>
          <w:tcPr>
            <w:tcW w:w="120" w:type="dxa"/>
            <w:vAlign w:val="bottom"/>
            <w:tcBorders>
              <w:bottom w:val="single" w:sz="8" w:color="CCEEFF"/>
            </w:tcBorders>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460"/>
              <w:spacing w:after="0"/>
              <w:rPr>
                <w:sz w:val="20"/>
                <w:szCs w:val="20"/>
                <w:color w:val="auto"/>
              </w:rPr>
            </w:pPr>
            <w:r>
              <w:rPr>
                <w:rFonts w:ascii="Arial" w:cs="Arial" w:eastAsia="Arial" w:hAnsi="Arial"/>
                <w:sz w:val="16"/>
                <w:szCs w:val="16"/>
                <w:b w:val="1"/>
                <w:bCs w:val="1"/>
                <w:color w:val="auto"/>
                <w:w w:val="94"/>
              </w:rPr>
              <w:t>Total</w:t>
            </w:r>
          </w:p>
        </w:tc>
        <w:tc>
          <w:tcPr>
            <w:tcW w:w="12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240"/>
              <w:spacing w:after="0"/>
              <w:rPr>
                <w:sz w:val="20"/>
                <w:szCs w:val="20"/>
                <w:color w:val="auto"/>
              </w:rPr>
            </w:pPr>
            <w:r>
              <w:rPr>
                <w:rFonts w:ascii="Arial" w:cs="Arial" w:eastAsia="Arial" w:hAnsi="Arial"/>
                <w:sz w:val="16"/>
                <w:szCs w:val="16"/>
                <w:b w:val="1"/>
                <w:bCs w:val="1"/>
                <w:color w:val="auto"/>
              </w:rPr>
              <w:t>PMPM</w:t>
            </w:r>
          </w:p>
        </w:tc>
        <w:tc>
          <w:tcPr>
            <w:tcW w:w="12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460"/>
              <w:spacing w:after="0"/>
              <w:rPr>
                <w:sz w:val="20"/>
                <w:szCs w:val="20"/>
                <w:color w:val="auto"/>
              </w:rPr>
            </w:pPr>
            <w:r>
              <w:rPr>
                <w:rFonts w:ascii="Arial" w:cs="Arial" w:eastAsia="Arial" w:hAnsi="Arial"/>
                <w:sz w:val="16"/>
                <w:szCs w:val="16"/>
                <w:b w:val="1"/>
                <w:bCs w:val="1"/>
                <w:color w:val="auto"/>
              </w:rPr>
              <w:t>Total</w:t>
            </w:r>
          </w:p>
        </w:tc>
        <w:tc>
          <w:tcPr>
            <w:tcW w:w="12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b w:val="1"/>
                <w:bCs w:val="1"/>
                <w:color w:val="auto"/>
              </w:rPr>
              <w:t>PMPM</w:t>
            </w:r>
          </w:p>
        </w:tc>
        <w:tc>
          <w:tcPr>
            <w:tcW w:w="120" w:type="dxa"/>
            <w:vAlign w:val="bottom"/>
            <w:tcBorders>
              <w:bottom w:val="single" w:sz="8" w:color="CCEEFF"/>
            </w:tcBorders>
          </w:tcPr>
          <w:p>
            <w:pPr>
              <w:spacing w:after="0"/>
              <w:rPr>
                <w:sz w:val="20"/>
                <w:szCs w:val="20"/>
                <w:color w:val="auto"/>
              </w:rPr>
            </w:pPr>
          </w:p>
        </w:tc>
        <w:tc>
          <w:tcPr>
            <w:tcW w:w="1200" w:type="dxa"/>
            <w:vAlign w:val="bottom"/>
            <w:tcBorders>
              <w:bottom w:val="single" w:sz="8" w:color="auto"/>
            </w:tcBorders>
          </w:tcPr>
          <w:p>
            <w:pPr>
              <w:jc w:val="right"/>
              <w:ind w:right="341"/>
              <w:spacing w:after="0"/>
              <w:rPr>
                <w:sz w:val="20"/>
                <w:szCs w:val="20"/>
                <w:color w:val="auto"/>
              </w:rPr>
            </w:pPr>
            <w:r>
              <w:rPr>
                <w:rFonts w:ascii="Arial" w:cs="Arial" w:eastAsia="Arial" w:hAnsi="Arial"/>
                <w:sz w:val="16"/>
                <w:szCs w:val="16"/>
                <w:b w:val="1"/>
                <w:bCs w:val="1"/>
                <w:color w:val="auto"/>
              </w:rPr>
              <w:t>MCR</w:t>
            </w:r>
          </w:p>
        </w:tc>
        <w:tc>
          <w:tcPr>
            <w:tcW w:w="10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b w:val="1"/>
                <w:bCs w:val="1"/>
                <w:color w:val="auto"/>
              </w:rPr>
              <w:t>Margin</w:t>
            </w:r>
          </w:p>
        </w:tc>
        <w:tc>
          <w:tcPr>
            <w:tcW w:w="0" w:type="dxa"/>
            <w:vAlign w:val="bottom"/>
          </w:tcPr>
          <w:p>
            <w:pPr>
              <w:spacing w:after="0"/>
              <w:rPr>
                <w:sz w:val="1"/>
                <w:szCs w:val="1"/>
                <w:color w:val="auto"/>
              </w:rPr>
            </w:pPr>
          </w:p>
        </w:tc>
      </w:tr>
      <w:tr>
        <w:trPr>
          <w:trHeight w:val="254"/>
        </w:trPr>
        <w:tc>
          <w:tcPr>
            <w:tcW w:w="2080" w:type="dxa"/>
            <w:vAlign w:val="bottom"/>
            <w:shd w:val="clear" w:color="auto" w:fill="CCEEFF"/>
          </w:tcPr>
          <w:p>
            <w:pPr>
              <w:ind w:left="40"/>
              <w:spacing w:after="0"/>
              <w:rPr>
                <w:sz w:val="20"/>
                <w:szCs w:val="20"/>
                <w:color w:val="auto"/>
              </w:rPr>
            </w:pPr>
            <w:r>
              <w:rPr>
                <w:rFonts w:ascii="Arial" w:cs="Arial" w:eastAsia="Arial" w:hAnsi="Arial"/>
                <w:sz w:val="16"/>
                <w:szCs w:val="16"/>
                <w:color w:val="auto"/>
              </w:rPr>
              <w:t>California</w:t>
            </w:r>
          </w:p>
        </w:tc>
        <w:tc>
          <w:tcPr>
            <w:tcW w:w="114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0.6</w:t>
            </w:r>
          </w:p>
        </w:tc>
        <w:tc>
          <w:tcPr>
            <w:tcW w:w="120" w:type="dxa"/>
            <w:vAlign w:val="bottom"/>
            <w:shd w:val="clear" w:color="auto" w:fill="CCEEFF"/>
          </w:tcPr>
          <w:p>
            <w:pPr>
              <w:spacing w:after="0"/>
              <w:rPr>
                <w:sz w:val="22"/>
                <w:szCs w:val="22"/>
                <w:color w:val="auto"/>
              </w:rPr>
            </w:pPr>
          </w:p>
        </w:tc>
        <w:tc>
          <w:tcPr>
            <w:tcW w:w="54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w w:val="89"/>
              </w:rPr>
              <w:t>$</w:t>
            </w:r>
          </w:p>
        </w:tc>
        <w:tc>
          <w:tcPr>
            <w:tcW w:w="92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104</w:t>
            </w:r>
          </w:p>
        </w:tc>
        <w:tc>
          <w:tcPr>
            <w:tcW w:w="3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92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177.57</w:t>
            </w:r>
          </w:p>
        </w:tc>
        <w:tc>
          <w:tcPr>
            <w:tcW w:w="120" w:type="dxa"/>
            <w:vAlign w:val="bottom"/>
            <w:shd w:val="clear" w:color="auto" w:fill="CCEEFF"/>
          </w:tcPr>
          <w:p>
            <w:pPr>
              <w:spacing w:after="0"/>
              <w:rPr>
                <w:sz w:val="22"/>
                <w:szCs w:val="22"/>
                <w:color w:val="auto"/>
              </w:rPr>
            </w:pPr>
          </w:p>
        </w:tc>
        <w:tc>
          <w:tcPr>
            <w:tcW w:w="3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14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74</w:t>
            </w:r>
          </w:p>
        </w:tc>
        <w:tc>
          <w:tcPr>
            <w:tcW w:w="3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9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124.29</w:t>
            </w: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70.0%</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ind w:left="40"/>
              <w:spacing w:after="0"/>
              <w:rPr>
                <w:sz w:val="20"/>
                <w:szCs w:val="20"/>
                <w:color w:val="auto"/>
              </w:rPr>
            </w:pPr>
            <w:r>
              <w:rPr>
                <w:rFonts w:ascii="Arial" w:cs="Arial" w:eastAsia="Arial" w:hAnsi="Arial"/>
                <w:sz w:val="16"/>
                <w:szCs w:val="16"/>
                <w:color w:val="auto"/>
              </w:rPr>
              <w:t>$</w:t>
            </w:r>
          </w:p>
        </w:tc>
        <w:tc>
          <w:tcPr>
            <w:tcW w:w="9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30</w:t>
            </w:r>
          </w:p>
        </w:tc>
        <w:tc>
          <w:tcPr>
            <w:tcW w:w="0" w:type="dxa"/>
            <w:vAlign w:val="bottom"/>
          </w:tcPr>
          <w:p>
            <w:pPr>
              <w:spacing w:after="0"/>
              <w:rPr>
                <w:sz w:val="1"/>
                <w:szCs w:val="1"/>
                <w:color w:val="auto"/>
              </w:rPr>
            </w:pPr>
          </w:p>
        </w:tc>
      </w:tr>
      <w:tr>
        <w:trPr>
          <w:trHeight w:val="262"/>
        </w:trPr>
        <w:tc>
          <w:tcPr>
            <w:tcW w:w="2080" w:type="dxa"/>
            <w:vAlign w:val="bottom"/>
          </w:tcPr>
          <w:p>
            <w:pPr>
              <w:ind w:left="40"/>
              <w:spacing w:after="0"/>
              <w:rPr>
                <w:sz w:val="20"/>
                <w:szCs w:val="20"/>
                <w:color w:val="auto"/>
              </w:rPr>
            </w:pPr>
            <w:r>
              <w:rPr>
                <w:rFonts w:ascii="Arial" w:cs="Arial" w:eastAsia="Arial" w:hAnsi="Arial"/>
                <w:sz w:val="16"/>
                <w:szCs w:val="16"/>
                <w:color w:val="auto"/>
              </w:rPr>
              <w:t>Florida</w:t>
            </w:r>
          </w:p>
        </w:tc>
        <w:tc>
          <w:tcPr>
            <w:tcW w:w="1140" w:type="dxa"/>
            <w:vAlign w:val="bottom"/>
          </w:tcPr>
          <w:p>
            <w:pPr>
              <w:jc w:val="right"/>
              <w:ind w:right="20"/>
              <w:spacing w:after="0"/>
              <w:rPr>
                <w:sz w:val="20"/>
                <w:szCs w:val="20"/>
                <w:color w:val="auto"/>
              </w:rPr>
            </w:pPr>
            <w:r>
              <w:rPr>
                <w:rFonts w:ascii="Arial" w:cs="Arial" w:eastAsia="Arial" w:hAnsi="Arial"/>
                <w:sz w:val="16"/>
                <w:szCs w:val="16"/>
                <w:color w:val="auto"/>
              </w:rPr>
              <w:t>2.0</w:t>
            </w:r>
          </w:p>
        </w:tc>
        <w:tc>
          <w:tcPr>
            <w:tcW w:w="12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920" w:type="dxa"/>
            <w:vAlign w:val="bottom"/>
          </w:tcPr>
          <w:p>
            <w:pPr>
              <w:jc w:val="right"/>
              <w:ind w:right="20"/>
              <w:spacing w:after="0"/>
              <w:rPr>
                <w:sz w:val="20"/>
                <w:szCs w:val="20"/>
                <w:color w:val="auto"/>
              </w:rPr>
            </w:pPr>
            <w:r>
              <w:rPr>
                <w:rFonts w:ascii="Arial" w:cs="Arial" w:eastAsia="Arial" w:hAnsi="Arial"/>
                <w:sz w:val="16"/>
                <w:szCs w:val="16"/>
                <w:color w:val="auto"/>
              </w:rPr>
              <w:t>473</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20" w:type="dxa"/>
            <w:vAlign w:val="bottom"/>
          </w:tcPr>
          <w:p>
            <w:pPr>
              <w:jc w:val="right"/>
              <w:ind w:right="20"/>
              <w:spacing w:after="0"/>
              <w:rPr>
                <w:sz w:val="20"/>
                <w:szCs w:val="20"/>
                <w:color w:val="auto"/>
              </w:rPr>
            </w:pPr>
            <w:r>
              <w:rPr>
                <w:rFonts w:ascii="Arial" w:cs="Arial" w:eastAsia="Arial" w:hAnsi="Arial"/>
                <w:sz w:val="16"/>
                <w:szCs w:val="16"/>
                <w:color w:val="auto"/>
              </w:rPr>
              <w:t>237.37</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40" w:type="dxa"/>
            <w:vAlign w:val="bottom"/>
          </w:tcPr>
          <w:p>
            <w:pPr>
              <w:jc w:val="right"/>
              <w:ind w:right="20"/>
              <w:spacing w:after="0"/>
              <w:rPr>
                <w:sz w:val="20"/>
                <w:szCs w:val="20"/>
                <w:color w:val="auto"/>
              </w:rPr>
            </w:pPr>
            <w:r>
              <w:rPr>
                <w:rFonts w:ascii="Arial" w:cs="Arial" w:eastAsia="Arial" w:hAnsi="Arial"/>
                <w:sz w:val="16"/>
                <w:szCs w:val="16"/>
                <w:color w:val="auto"/>
              </w:rPr>
              <w:t>409</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205.37</w:t>
            </w:r>
          </w:p>
        </w:tc>
        <w:tc>
          <w:tcPr>
            <w:tcW w:w="1320" w:type="dxa"/>
            <w:vAlign w:val="bottom"/>
            <w:gridSpan w:val="2"/>
          </w:tcPr>
          <w:p>
            <w:pPr>
              <w:jc w:val="right"/>
              <w:ind w:right="101"/>
              <w:spacing w:after="0"/>
              <w:rPr>
                <w:sz w:val="20"/>
                <w:szCs w:val="20"/>
                <w:color w:val="auto"/>
              </w:rPr>
            </w:pPr>
            <w:r>
              <w:rPr>
                <w:rFonts w:ascii="Arial" w:cs="Arial" w:eastAsia="Arial" w:hAnsi="Arial"/>
                <w:sz w:val="16"/>
                <w:szCs w:val="16"/>
                <w:color w:val="auto"/>
              </w:rPr>
              <w:t>86.5</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64</w:t>
            </w:r>
          </w:p>
        </w:tc>
        <w:tc>
          <w:tcPr>
            <w:tcW w:w="0" w:type="dxa"/>
            <w:vAlign w:val="bottom"/>
          </w:tcPr>
          <w:p>
            <w:pPr>
              <w:spacing w:after="0"/>
              <w:rPr>
                <w:sz w:val="1"/>
                <w:szCs w:val="1"/>
                <w:color w:val="auto"/>
              </w:rPr>
            </w:pPr>
          </w:p>
        </w:tc>
      </w:tr>
      <w:tr>
        <w:trPr>
          <w:trHeight w:val="278"/>
        </w:trPr>
        <w:tc>
          <w:tcPr>
            <w:tcW w:w="2080" w:type="dxa"/>
            <w:vAlign w:val="bottom"/>
            <w:shd w:val="clear" w:color="auto" w:fill="CCEEFF"/>
          </w:tcPr>
          <w:p>
            <w:pPr>
              <w:ind w:left="40"/>
              <w:spacing w:after="0"/>
              <w:rPr>
                <w:sz w:val="20"/>
                <w:szCs w:val="20"/>
                <w:color w:val="auto"/>
              </w:rPr>
            </w:pPr>
            <w:r>
              <w:rPr>
                <w:rFonts w:ascii="Arial" w:cs="Arial" w:eastAsia="Arial" w:hAnsi="Arial"/>
                <w:sz w:val="16"/>
                <w:szCs w:val="16"/>
                <w:color w:val="auto"/>
              </w:rPr>
              <w:t>Michigan</w:t>
            </w: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54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7</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213.35</w:t>
            </w: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5</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138.37</w:t>
            </w:r>
          </w:p>
        </w:tc>
        <w:tc>
          <w:tcPr>
            <w:tcW w:w="1320" w:type="dxa"/>
            <w:vAlign w:val="bottom"/>
            <w:gridSpan w:val="2"/>
            <w:shd w:val="clear" w:color="auto" w:fill="CCEEFF"/>
          </w:tcPr>
          <w:p>
            <w:pPr>
              <w:jc w:val="right"/>
              <w:ind w:right="101"/>
              <w:spacing w:after="0"/>
              <w:rPr>
                <w:sz w:val="20"/>
                <w:szCs w:val="20"/>
                <w:color w:val="auto"/>
              </w:rPr>
            </w:pPr>
            <w:r>
              <w:rPr>
                <w:rFonts w:ascii="Arial" w:cs="Arial" w:eastAsia="Arial" w:hAnsi="Arial"/>
                <w:sz w:val="16"/>
                <w:szCs w:val="16"/>
                <w:color w:val="auto"/>
              </w:rPr>
              <w:t>64.9</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262"/>
        </w:trPr>
        <w:tc>
          <w:tcPr>
            <w:tcW w:w="2080" w:type="dxa"/>
            <w:vAlign w:val="bottom"/>
          </w:tcPr>
          <w:p>
            <w:pPr>
              <w:ind w:left="40"/>
              <w:spacing w:after="0"/>
              <w:rPr>
                <w:sz w:val="20"/>
                <w:szCs w:val="20"/>
                <w:color w:val="auto"/>
              </w:rPr>
            </w:pPr>
            <w:r>
              <w:rPr>
                <w:rFonts w:ascii="Arial" w:cs="Arial" w:eastAsia="Arial" w:hAnsi="Arial"/>
                <w:sz w:val="16"/>
                <w:szCs w:val="16"/>
                <w:color w:val="auto"/>
              </w:rPr>
              <w:t>New Mexico</w:t>
            </w:r>
          </w:p>
        </w:tc>
        <w:tc>
          <w:tcPr>
            <w:tcW w:w="1140" w:type="dxa"/>
            <w:vAlign w:val="bottom"/>
          </w:tcPr>
          <w:p>
            <w:pPr>
              <w:jc w:val="right"/>
              <w:ind w:right="20"/>
              <w:spacing w:after="0"/>
              <w:rPr>
                <w:sz w:val="20"/>
                <w:szCs w:val="20"/>
                <w:color w:val="auto"/>
              </w:rPr>
            </w:pPr>
            <w:r>
              <w:rPr>
                <w:rFonts w:ascii="Arial" w:cs="Arial" w:eastAsia="Arial" w:hAnsi="Arial"/>
                <w:sz w:val="16"/>
                <w:szCs w:val="16"/>
                <w:color w:val="auto"/>
              </w:rPr>
              <w:t>0.2</w:t>
            </w:r>
          </w:p>
        </w:tc>
        <w:tc>
          <w:tcPr>
            <w:tcW w:w="12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920" w:type="dxa"/>
            <w:vAlign w:val="bottom"/>
          </w:tcPr>
          <w:p>
            <w:pPr>
              <w:jc w:val="right"/>
              <w:ind w:right="20"/>
              <w:spacing w:after="0"/>
              <w:rPr>
                <w:sz w:val="20"/>
                <w:szCs w:val="20"/>
                <w:color w:val="auto"/>
              </w:rPr>
            </w:pPr>
            <w:r>
              <w:rPr>
                <w:rFonts w:ascii="Arial" w:cs="Arial" w:eastAsia="Arial" w:hAnsi="Arial"/>
                <w:sz w:val="16"/>
                <w:szCs w:val="16"/>
                <w:color w:val="auto"/>
              </w:rPr>
              <w:t>42</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20" w:type="dxa"/>
            <w:vAlign w:val="bottom"/>
          </w:tcPr>
          <w:p>
            <w:pPr>
              <w:jc w:val="right"/>
              <w:ind w:right="20"/>
              <w:spacing w:after="0"/>
              <w:rPr>
                <w:sz w:val="20"/>
                <w:szCs w:val="20"/>
                <w:color w:val="auto"/>
              </w:rPr>
            </w:pPr>
            <w:r>
              <w:rPr>
                <w:rFonts w:ascii="Arial" w:cs="Arial" w:eastAsia="Arial" w:hAnsi="Arial"/>
                <w:sz w:val="16"/>
                <w:szCs w:val="16"/>
                <w:color w:val="auto"/>
              </w:rPr>
              <w:t>264.76</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40" w:type="dxa"/>
            <w:vAlign w:val="bottom"/>
          </w:tcPr>
          <w:p>
            <w:pPr>
              <w:jc w:val="right"/>
              <w:ind w:right="20"/>
              <w:spacing w:after="0"/>
              <w:rPr>
                <w:sz w:val="20"/>
                <w:szCs w:val="20"/>
                <w:color w:val="auto"/>
              </w:rPr>
            </w:pPr>
            <w:r>
              <w:rPr>
                <w:rFonts w:ascii="Arial" w:cs="Arial" w:eastAsia="Arial" w:hAnsi="Arial"/>
                <w:sz w:val="16"/>
                <w:szCs w:val="16"/>
                <w:color w:val="auto"/>
              </w:rPr>
              <w:t>32</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201.73</w:t>
            </w:r>
          </w:p>
        </w:tc>
        <w:tc>
          <w:tcPr>
            <w:tcW w:w="1320" w:type="dxa"/>
            <w:vAlign w:val="bottom"/>
            <w:gridSpan w:val="2"/>
          </w:tcPr>
          <w:p>
            <w:pPr>
              <w:jc w:val="right"/>
              <w:ind w:right="101"/>
              <w:spacing w:after="0"/>
              <w:rPr>
                <w:sz w:val="20"/>
                <w:szCs w:val="20"/>
                <w:color w:val="auto"/>
              </w:rPr>
            </w:pPr>
            <w:r>
              <w:rPr>
                <w:rFonts w:ascii="Arial" w:cs="Arial" w:eastAsia="Arial" w:hAnsi="Arial"/>
                <w:sz w:val="16"/>
                <w:szCs w:val="16"/>
                <w:color w:val="auto"/>
              </w:rPr>
              <w:t>76.2</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10</w:t>
            </w:r>
          </w:p>
        </w:tc>
        <w:tc>
          <w:tcPr>
            <w:tcW w:w="0" w:type="dxa"/>
            <w:vAlign w:val="bottom"/>
          </w:tcPr>
          <w:p>
            <w:pPr>
              <w:spacing w:after="0"/>
              <w:rPr>
                <w:sz w:val="1"/>
                <w:szCs w:val="1"/>
                <w:color w:val="auto"/>
              </w:rPr>
            </w:pPr>
          </w:p>
        </w:tc>
      </w:tr>
      <w:tr>
        <w:trPr>
          <w:trHeight w:val="278"/>
        </w:trPr>
        <w:tc>
          <w:tcPr>
            <w:tcW w:w="2080" w:type="dxa"/>
            <w:vAlign w:val="bottom"/>
            <w:shd w:val="clear" w:color="auto" w:fill="CCEEFF"/>
          </w:tcPr>
          <w:p>
            <w:pPr>
              <w:ind w:left="40"/>
              <w:spacing w:after="0"/>
              <w:rPr>
                <w:sz w:val="20"/>
                <w:szCs w:val="20"/>
                <w:color w:val="auto"/>
              </w:rPr>
            </w:pPr>
            <w:r>
              <w:rPr>
                <w:rFonts w:ascii="Arial" w:cs="Arial" w:eastAsia="Arial" w:hAnsi="Arial"/>
                <w:sz w:val="16"/>
                <w:szCs w:val="16"/>
                <w:color w:val="auto"/>
              </w:rPr>
              <w:t>Ohio</w:t>
            </w:r>
          </w:p>
        </w:tc>
        <w:tc>
          <w:tcPr>
            <w:tcW w:w="114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0.1</w:t>
            </w:r>
          </w:p>
        </w:tc>
        <w:tc>
          <w:tcPr>
            <w:tcW w:w="120" w:type="dxa"/>
            <w:vAlign w:val="bottom"/>
            <w:shd w:val="clear" w:color="auto" w:fill="CCEEFF"/>
          </w:tcPr>
          <w:p>
            <w:pPr>
              <w:spacing w:after="0"/>
              <w:rPr>
                <w:sz w:val="24"/>
                <w:szCs w:val="24"/>
                <w:color w:val="auto"/>
              </w:rPr>
            </w:pPr>
          </w:p>
        </w:tc>
        <w:tc>
          <w:tcPr>
            <w:tcW w:w="54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28</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322.36</w:t>
            </w: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20</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232.44</w:t>
            </w:r>
          </w:p>
        </w:tc>
        <w:tc>
          <w:tcPr>
            <w:tcW w:w="1320" w:type="dxa"/>
            <w:vAlign w:val="bottom"/>
            <w:gridSpan w:val="2"/>
            <w:shd w:val="clear" w:color="auto" w:fill="CCEEFF"/>
          </w:tcPr>
          <w:p>
            <w:pPr>
              <w:jc w:val="right"/>
              <w:ind w:right="101"/>
              <w:spacing w:after="0"/>
              <w:rPr>
                <w:sz w:val="20"/>
                <w:szCs w:val="20"/>
                <w:color w:val="auto"/>
              </w:rPr>
            </w:pPr>
            <w:r>
              <w:rPr>
                <w:rFonts w:ascii="Arial" w:cs="Arial" w:eastAsia="Arial" w:hAnsi="Arial"/>
                <w:sz w:val="16"/>
                <w:szCs w:val="16"/>
                <w:color w:val="auto"/>
              </w:rPr>
              <w:t>72.1</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8</w:t>
            </w:r>
          </w:p>
        </w:tc>
        <w:tc>
          <w:tcPr>
            <w:tcW w:w="0" w:type="dxa"/>
            <w:vAlign w:val="bottom"/>
          </w:tcPr>
          <w:p>
            <w:pPr>
              <w:spacing w:after="0"/>
              <w:rPr>
                <w:sz w:val="1"/>
                <w:szCs w:val="1"/>
                <w:color w:val="auto"/>
              </w:rPr>
            </w:pPr>
          </w:p>
        </w:tc>
      </w:tr>
      <w:tr>
        <w:trPr>
          <w:trHeight w:val="262"/>
        </w:trPr>
        <w:tc>
          <w:tcPr>
            <w:tcW w:w="2080" w:type="dxa"/>
            <w:vAlign w:val="bottom"/>
          </w:tcPr>
          <w:p>
            <w:pPr>
              <w:ind w:left="40"/>
              <w:spacing w:after="0"/>
              <w:rPr>
                <w:sz w:val="20"/>
                <w:szCs w:val="20"/>
                <w:color w:val="auto"/>
              </w:rPr>
            </w:pPr>
            <w:r>
              <w:rPr>
                <w:rFonts w:ascii="Arial" w:cs="Arial" w:eastAsia="Arial" w:hAnsi="Arial"/>
                <w:sz w:val="16"/>
                <w:szCs w:val="16"/>
                <w:color w:val="auto"/>
              </w:rPr>
              <w:t>Texas</w:t>
            </w:r>
          </w:p>
        </w:tc>
        <w:tc>
          <w:tcPr>
            <w:tcW w:w="1140" w:type="dxa"/>
            <w:vAlign w:val="bottom"/>
          </w:tcPr>
          <w:p>
            <w:pPr>
              <w:jc w:val="right"/>
              <w:ind w:right="20"/>
              <w:spacing w:after="0"/>
              <w:rPr>
                <w:sz w:val="20"/>
                <w:szCs w:val="20"/>
                <w:color w:val="auto"/>
              </w:rPr>
            </w:pPr>
            <w:r>
              <w:rPr>
                <w:rFonts w:ascii="Arial" w:cs="Arial" w:eastAsia="Arial" w:hAnsi="Arial"/>
                <w:sz w:val="16"/>
                <w:szCs w:val="16"/>
                <w:color w:val="auto"/>
              </w:rPr>
              <w:t>1.1</w:t>
            </w:r>
          </w:p>
        </w:tc>
        <w:tc>
          <w:tcPr>
            <w:tcW w:w="12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920" w:type="dxa"/>
            <w:vAlign w:val="bottom"/>
          </w:tcPr>
          <w:p>
            <w:pPr>
              <w:jc w:val="right"/>
              <w:ind w:right="20"/>
              <w:spacing w:after="0"/>
              <w:rPr>
                <w:sz w:val="20"/>
                <w:szCs w:val="20"/>
                <w:color w:val="auto"/>
              </w:rPr>
            </w:pPr>
            <w:r>
              <w:rPr>
                <w:rFonts w:ascii="Arial" w:cs="Arial" w:eastAsia="Arial" w:hAnsi="Arial"/>
                <w:sz w:val="16"/>
                <w:szCs w:val="16"/>
                <w:color w:val="auto"/>
              </w:rPr>
              <w:t>202</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20" w:type="dxa"/>
            <w:vAlign w:val="bottom"/>
          </w:tcPr>
          <w:p>
            <w:pPr>
              <w:jc w:val="right"/>
              <w:ind w:right="20"/>
              <w:spacing w:after="0"/>
              <w:rPr>
                <w:sz w:val="20"/>
                <w:szCs w:val="20"/>
                <w:color w:val="auto"/>
              </w:rPr>
            </w:pPr>
            <w:r>
              <w:rPr>
                <w:rFonts w:ascii="Arial" w:cs="Arial" w:eastAsia="Arial" w:hAnsi="Arial"/>
                <w:sz w:val="16"/>
                <w:szCs w:val="16"/>
                <w:color w:val="auto"/>
              </w:rPr>
              <w:t>196.45</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40" w:type="dxa"/>
            <w:vAlign w:val="bottom"/>
          </w:tcPr>
          <w:p>
            <w:pPr>
              <w:jc w:val="right"/>
              <w:ind w:right="20"/>
              <w:spacing w:after="0"/>
              <w:rPr>
                <w:sz w:val="20"/>
                <w:szCs w:val="20"/>
                <w:color w:val="auto"/>
              </w:rPr>
            </w:pPr>
            <w:r>
              <w:rPr>
                <w:rFonts w:ascii="Arial" w:cs="Arial" w:eastAsia="Arial" w:hAnsi="Arial"/>
                <w:sz w:val="16"/>
                <w:szCs w:val="16"/>
                <w:color w:val="auto"/>
              </w:rPr>
              <w:t>133</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128.97</w:t>
            </w:r>
          </w:p>
        </w:tc>
        <w:tc>
          <w:tcPr>
            <w:tcW w:w="1320" w:type="dxa"/>
            <w:vAlign w:val="bottom"/>
            <w:gridSpan w:val="2"/>
          </w:tcPr>
          <w:p>
            <w:pPr>
              <w:jc w:val="right"/>
              <w:ind w:right="101"/>
              <w:spacing w:after="0"/>
              <w:rPr>
                <w:sz w:val="20"/>
                <w:szCs w:val="20"/>
                <w:color w:val="auto"/>
              </w:rPr>
            </w:pPr>
            <w:r>
              <w:rPr>
                <w:rFonts w:ascii="Arial" w:cs="Arial" w:eastAsia="Arial" w:hAnsi="Arial"/>
                <w:sz w:val="16"/>
                <w:szCs w:val="16"/>
                <w:color w:val="auto"/>
              </w:rPr>
              <w:t>65.7</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69</w:t>
            </w:r>
          </w:p>
        </w:tc>
        <w:tc>
          <w:tcPr>
            <w:tcW w:w="0" w:type="dxa"/>
            <w:vAlign w:val="bottom"/>
          </w:tcPr>
          <w:p>
            <w:pPr>
              <w:spacing w:after="0"/>
              <w:rPr>
                <w:sz w:val="1"/>
                <w:szCs w:val="1"/>
                <w:color w:val="auto"/>
              </w:rPr>
            </w:pPr>
          </w:p>
        </w:tc>
      </w:tr>
      <w:tr>
        <w:trPr>
          <w:trHeight w:val="278"/>
        </w:trPr>
        <w:tc>
          <w:tcPr>
            <w:tcW w:w="2080" w:type="dxa"/>
            <w:vAlign w:val="bottom"/>
            <w:shd w:val="clear" w:color="auto" w:fill="CCEEFF"/>
          </w:tcPr>
          <w:p>
            <w:pPr>
              <w:ind w:left="40"/>
              <w:spacing w:after="0"/>
              <w:rPr>
                <w:sz w:val="20"/>
                <w:szCs w:val="20"/>
                <w:color w:val="auto"/>
              </w:rPr>
            </w:pPr>
            <w:r>
              <w:rPr>
                <w:rFonts w:ascii="Arial" w:cs="Arial" w:eastAsia="Arial" w:hAnsi="Arial"/>
                <w:sz w:val="16"/>
                <w:szCs w:val="16"/>
                <w:color w:val="auto"/>
              </w:rPr>
              <w:t>Utah</w:t>
            </w:r>
          </w:p>
        </w:tc>
        <w:tc>
          <w:tcPr>
            <w:tcW w:w="114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0.4</w:t>
            </w:r>
          </w:p>
        </w:tc>
        <w:tc>
          <w:tcPr>
            <w:tcW w:w="120" w:type="dxa"/>
            <w:vAlign w:val="bottom"/>
            <w:shd w:val="clear" w:color="auto" w:fill="CCEEFF"/>
          </w:tcPr>
          <w:p>
            <w:pPr>
              <w:spacing w:after="0"/>
              <w:rPr>
                <w:sz w:val="24"/>
                <w:szCs w:val="24"/>
                <w:color w:val="auto"/>
              </w:rPr>
            </w:pPr>
          </w:p>
        </w:tc>
        <w:tc>
          <w:tcPr>
            <w:tcW w:w="54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75</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160.33</w:t>
            </w: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91</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194.78</w:t>
            </w:r>
          </w:p>
        </w:tc>
        <w:tc>
          <w:tcPr>
            <w:tcW w:w="1320" w:type="dxa"/>
            <w:vAlign w:val="bottom"/>
            <w:gridSpan w:val="2"/>
            <w:shd w:val="clear" w:color="auto" w:fill="CCEEFF"/>
          </w:tcPr>
          <w:p>
            <w:pPr>
              <w:jc w:val="right"/>
              <w:ind w:right="101"/>
              <w:spacing w:after="0"/>
              <w:rPr>
                <w:sz w:val="20"/>
                <w:szCs w:val="20"/>
                <w:color w:val="auto"/>
              </w:rPr>
            </w:pPr>
            <w:r>
              <w:rPr>
                <w:rFonts w:ascii="Arial" w:cs="Arial" w:eastAsia="Arial" w:hAnsi="Arial"/>
                <w:sz w:val="16"/>
                <w:szCs w:val="16"/>
                <w:color w:val="auto"/>
              </w:rPr>
              <w:t>121.5</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w:t>
            </w:r>
          </w:p>
        </w:tc>
        <w:tc>
          <w:tcPr>
            <w:tcW w:w="0" w:type="dxa"/>
            <w:vAlign w:val="bottom"/>
          </w:tcPr>
          <w:p>
            <w:pPr>
              <w:spacing w:after="0"/>
              <w:rPr>
                <w:sz w:val="1"/>
                <w:szCs w:val="1"/>
                <w:color w:val="auto"/>
              </w:rPr>
            </w:pPr>
          </w:p>
        </w:tc>
      </w:tr>
      <w:tr>
        <w:trPr>
          <w:trHeight w:val="262"/>
        </w:trPr>
        <w:tc>
          <w:tcPr>
            <w:tcW w:w="2080" w:type="dxa"/>
            <w:vAlign w:val="bottom"/>
          </w:tcPr>
          <w:p>
            <w:pPr>
              <w:ind w:left="40"/>
              <w:spacing w:after="0"/>
              <w:rPr>
                <w:sz w:val="20"/>
                <w:szCs w:val="20"/>
                <w:color w:val="auto"/>
              </w:rPr>
            </w:pPr>
            <w:r>
              <w:rPr>
                <w:rFonts w:ascii="Arial" w:cs="Arial" w:eastAsia="Arial" w:hAnsi="Arial"/>
                <w:sz w:val="16"/>
                <w:szCs w:val="16"/>
                <w:color w:val="auto"/>
              </w:rPr>
              <w:t>Washington</w:t>
            </w:r>
          </w:p>
        </w:tc>
        <w:tc>
          <w:tcPr>
            <w:tcW w:w="1140" w:type="dxa"/>
            <w:vAlign w:val="bottom"/>
          </w:tcPr>
          <w:p>
            <w:pPr>
              <w:jc w:val="right"/>
              <w:ind w:right="20"/>
              <w:spacing w:after="0"/>
              <w:rPr>
                <w:sz w:val="20"/>
                <w:szCs w:val="20"/>
                <w:color w:val="auto"/>
              </w:rPr>
            </w:pPr>
            <w:r>
              <w:rPr>
                <w:rFonts w:ascii="Arial" w:cs="Arial" w:eastAsia="Arial" w:hAnsi="Arial"/>
                <w:sz w:val="16"/>
                <w:szCs w:val="16"/>
                <w:color w:val="auto"/>
              </w:rPr>
              <w:t>0.2</w:t>
            </w:r>
          </w:p>
        </w:tc>
        <w:tc>
          <w:tcPr>
            <w:tcW w:w="12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920" w:type="dxa"/>
            <w:vAlign w:val="bottom"/>
          </w:tcPr>
          <w:p>
            <w:pPr>
              <w:jc w:val="right"/>
              <w:ind w:right="20"/>
              <w:spacing w:after="0"/>
              <w:rPr>
                <w:sz w:val="20"/>
                <w:szCs w:val="20"/>
                <w:color w:val="auto"/>
              </w:rPr>
            </w:pPr>
            <w:r>
              <w:rPr>
                <w:rFonts w:ascii="Arial" w:cs="Arial" w:eastAsia="Arial" w:hAnsi="Arial"/>
                <w:sz w:val="16"/>
                <w:szCs w:val="16"/>
                <w:color w:val="auto"/>
              </w:rPr>
              <w:t>58</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20" w:type="dxa"/>
            <w:vAlign w:val="bottom"/>
          </w:tcPr>
          <w:p>
            <w:pPr>
              <w:jc w:val="right"/>
              <w:ind w:right="20"/>
              <w:spacing w:after="0"/>
              <w:rPr>
                <w:sz w:val="20"/>
                <w:szCs w:val="20"/>
                <w:color w:val="auto"/>
              </w:rPr>
            </w:pPr>
            <w:r>
              <w:rPr>
                <w:rFonts w:ascii="Arial" w:cs="Arial" w:eastAsia="Arial" w:hAnsi="Arial"/>
                <w:sz w:val="16"/>
                <w:szCs w:val="16"/>
                <w:color w:val="auto"/>
              </w:rPr>
              <w:t>281.80</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40" w:type="dxa"/>
            <w:vAlign w:val="bottom"/>
          </w:tcPr>
          <w:p>
            <w:pPr>
              <w:jc w:val="right"/>
              <w:ind w:right="20"/>
              <w:spacing w:after="0"/>
              <w:rPr>
                <w:sz w:val="20"/>
                <w:szCs w:val="20"/>
                <w:color w:val="auto"/>
              </w:rPr>
            </w:pPr>
            <w:r>
              <w:rPr>
                <w:rFonts w:ascii="Arial" w:cs="Arial" w:eastAsia="Arial" w:hAnsi="Arial"/>
                <w:sz w:val="16"/>
                <w:szCs w:val="16"/>
                <w:color w:val="auto"/>
              </w:rPr>
              <w:t>48</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235.78</w:t>
            </w:r>
          </w:p>
        </w:tc>
        <w:tc>
          <w:tcPr>
            <w:tcW w:w="1320" w:type="dxa"/>
            <w:vAlign w:val="bottom"/>
            <w:gridSpan w:val="2"/>
          </w:tcPr>
          <w:p>
            <w:pPr>
              <w:jc w:val="right"/>
              <w:ind w:right="101"/>
              <w:spacing w:after="0"/>
              <w:rPr>
                <w:sz w:val="20"/>
                <w:szCs w:val="20"/>
                <w:color w:val="auto"/>
              </w:rPr>
            </w:pPr>
            <w:r>
              <w:rPr>
                <w:rFonts w:ascii="Arial" w:cs="Arial" w:eastAsia="Arial" w:hAnsi="Arial"/>
                <w:sz w:val="16"/>
                <w:szCs w:val="16"/>
                <w:color w:val="auto"/>
              </w:rPr>
              <w:t>83.7</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10</w:t>
            </w:r>
          </w:p>
        </w:tc>
        <w:tc>
          <w:tcPr>
            <w:tcW w:w="0" w:type="dxa"/>
            <w:vAlign w:val="bottom"/>
          </w:tcPr>
          <w:p>
            <w:pPr>
              <w:spacing w:after="0"/>
              <w:rPr>
                <w:sz w:val="1"/>
                <w:szCs w:val="1"/>
                <w:color w:val="auto"/>
              </w:rPr>
            </w:pPr>
          </w:p>
        </w:tc>
      </w:tr>
      <w:tr>
        <w:trPr>
          <w:trHeight w:val="278"/>
        </w:trPr>
        <w:tc>
          <w:tcPr>
            <w:tcW w:w="2080" w:type="dxa"/>
            <w:vAlign w:val="bottom"/>
            <w:shd w:val="clear" w:color="auto" w:fill="CCEEFF"/>
          </w:tcPr>
          <w:p>
            <w:pPr>
              <w:ind w:left="40"/>
              <w:spacing w:after="0"/>
              <w:rPr>
                <w:sz w:val="20"/>
                <w:szCs w:val="20"/>
                <w:color w:val="auto"/>
              </w:rPr>
            </w:pPr>
            <w:r>
              <w:rPr>
                <w:rFonts w:ascii="Arial" w:cs="Arial" w:eastAsia="Arial" w:hAnsi="Arial"/>
                <w:sz w:val="16"/>
                <w:szCs w:val="16"/>
                <w:color w:val="auto"/>
              </w:rPr>
              <w:t>Wisconsin</w:t>
            </w:r>
          </w:p>
        </w:tc>
        <w:tc>
          <w:tcPr>
            <w:tcW w:w="114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0.5</w:t>
            </w:r>
          </w:p>
        </w:tc>
        <w:tc>
          <w:tcPr>
            <w:tcW w:w="120" w:type="dxa"/>
            <w:vAlign w:val="bottom"/>
            <w:shd w:val="clear" w:color="auto" w:fill="CCEEFF"/>
          </w:tcPr>
          <w:p>
            <w:pPr>
              <w:spacing w:after="0"/>
              <w:rPr>
                <w:sz w:val="24"/>
                <w:szCs w:val="24"/>
                <w:color w:val="auto"/>
              </w:rPr>
            </w:pPr>
          </w:p>
        </w:tc>
        <w:tc>
          <w:tcPr>
            <w:tcW w:w="54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192</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357.80</w:t>
            </w: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200</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373.94</w:t>
            </w:r>
          </w:p>
        </w:tc>
        <w:tc>
          <w:tcPr>
            <w:tcW w:w="1320" w:type="dxa"/>
            <w:vAlign w:val="bottom"/>
            <w:gridSpan w:val="2"/>
            <w:shd w:val="clear" w:color="auto" w:fill="CCEEFF"/>
          </w:tcPr>
          <w:p>
            <w:pPr>
              <w:jc w:val="right"/>
              <w:ind w:right="101"/>
              <w:spacing w:after="0"/>
              <w:rPr>
                <w:sz w:val="20"/>
                <w:szCs w:val="20"/>
                <w:color w:val="auto"/>
              </w:rPr>
            </w:pPr>
            <w:r>
              <w:rPr>
                <w:rFonts w:ascii="Arial" w:cs="Arial" w:eastAsia="Arial" w:hAnsi="Arial"/>
                <w:sz w:val="16"/>
                <w:szCs w:val="16"/>
                <w:color w:val="auto"/>
              </w:rPr>
              <w:t>104.5</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w:t>
            </w:r>
          </w:p>
        </w:tc>
        <w:tc>
          <w:tcPr>
            <w:tcW w:w="0" w:type="dxa"/>
            <w:vAlign w:val="bottom"/>
          </w:tcPr>
          <w:p>
            <w:pPr>
              <w:spacing w:after="0"/>
              <w:rPr>
                <w:sz w:val="1"/>
                <w:szCs w:val="1"/>
                <w:color w:val="auto"/>
              </w:rPr>
            </w:pPr>
          </w:p>
        </w:tc>
      </w:tr>
      <w:tr>
        <w:trPr>
          <w:trHeight w:val="264"/>
        </w:trPr>
        <w:tc>
          <w:tcPr>
            <w:tcW w:w="2080" w:type="dxa"/>
            <w:vAlign w:val="bottom"/>
          </w:tcPr>
          <w:p>
            <w:pPr>
              <w:ind w:left="40"/>
              <w:spacing w:after="0"/>
              <w:rPr>
                <w:sz w:val="20"/>
                <w:szCs w:val="20"/>
                <w:color w:val="auto"/>
              </w:rPr>
            </w:pPr>
            <w:r>
              <w:rPr>
                <w:rFonts w:ascii="Arial" w:cs="Arial" w:eastAsia="Arial" w:hAnsi="Arial"/>
                <w:sz w:val="16"/>
                <w:szCs w:val="16"/>
                <w:color w:val="auto"/>
              </w:rPr>
              <w:t>Other (3)</w:t>
            </w:r>
          </w:p>
        </w:tc>
        <w:tc>
          <w:tcPr>
            <w:tcW w:w="12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540" w:type="dxa"/>
            <w:vAlign w:val="bottom"/>
          </w:tcPr>
          <w:p>
            <w:pPr>
              <w:spacing w:after="0"/>
              <w:rPr>
                <w:sz w:val="22"/>
                <w:szCs w:val="22"/>
                <w:color w:val="auto"/>
              </w:rPr>
            </w:pPr>
          </w:p>
        </w:tc>
        <w:tc>
          <w:tcPr>
            <w:tcW w:w="92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(3)</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2"/>
                <w:szCs w:val="22"/>
                <w:color w:val="auto"/>
              </w:rPr>
            </w:pPr>
          </w:p>
        </w:tc>
        <w:tc>
          <w:tcPr>
            <w:tcW w:w="130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2"/>
                <w:szCs w:val="22"/>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242"/>
        </w:trPr>
        <w:tc>
          <w:tcPr>
            <w:tcW w:w="2080" w:type="dxa"/>
            <w:vAlign w:val="bottom"/>
            <w:tcBorders>
              <w:top w:val="single" w:sz="8" w:color="CCEEFF"/>
              <w:bottom w:val="single" w:sz="8" w:color="CCEEFF"/>
            </w:tcBorders>
            <w:shd w:val="clear" w:color="auto" w:fill="CCEEFF"/>
          </w:tcPr>
          <w:p>
            <w:pPr>
              <w:spacing w:after="0"/>
              <w:rPr>
                <w:sz w:val="21"/>
                <w:szCs w:val="21"/>
                <w:color w:val="auto"/>
              </w:rPr>
            </w:pPr>
          </w:p>
        </w:tc>
        <w:tc>
          <w:tcPr>
            <w:tcW w:w="1140" w:type="dxa"/>
            <w:vAlign w:val="bottom"/>
            <w:tcBorders>
              <w:top w:val="single" w:sz="8" w:color="auto"/>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5.1</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540" w:type="dxa"/>
            <w:vAlign w:val="bottom"/>
            <w:tcBorders>
              <w:top w:val="single" w:sz="8" w:color="auto"/>
              <w:bottom w:val="single" w:sz="8" w:color="auto"/>
            </w:tcBorders>
            <w:shd w:val="clear" w:color="auto" w:fill="CCEEFF"/>
          </w:tcPr>
          <w:p>
            <w:pPr>
              <w:jc w:val="right"/>
              <w:ind w:right="359"/>
              <w:spacing w:after="0"/>
              <w:rPr>
                <w:sz w:val="20"/>
                <w:szCs w:val="20"/>
                <w:color w:val="auto"/>
              </w:rPr>
            </w:pPr>
            <w:r>
              <w:rPr>
                <w:rFonts w:ascii="Arial" w:cs="Arial" w:eastAsia="Arial" w:hAnsi="Arial"/>
                <w:sz w:val="16"/>
                <w:szCs w:val="16"/>
                <w:color w:val="auto"/>
                <w:w w:val="89"/>
              </w:rPr>
              <w:t>$</w:t>
            </w:r>
          </w:p>
        </w:tc>
        <w:tc>
          <w:tcPr>
            <w:tcW w:w="920" w:type="dxa"/>
            <w:vAlign w:val="bottom"/>
            <w:tcBorders>
              <w:top w:val="single" w:sz="8" w:color="auto"/>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1,181</w:t>
            </w:r>
          </w:p>
        </w:tc>
        <w:tc>
          <w:tcPr>
            <w:tcW w:w="320" w:type="dxa"/>
            <w:vAlign w:val="bottom"/>
            <w:tcBorders>
              <w:top w:val="single" w:sz="8" w:color="CCEEFF"/>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920" w:type="dxa"/>
            <w:vAlign w:val="bottom"/>
            <w:tcBorders>
              <w:top w:val="single" w:sz="8" w:color="CCEEFF"/>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231.69</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140" w:type="dxa"/>
            <w:vAlign w:val="bottom"/>
            <w:tcBorders>
              <w:top w:val="single" w:sz="8" w:color="auto"/>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1,009</w:t>
            </w:r>
          </w:p>
        </w:tc>
        <w:tc>
          <w:tcPr>
            <w:tcW w:w="340" w:type="dxa"/>
            <w:vAlign w:val="bottom"/>
            <w:tcBorders>
              <w:top w:val="single" w:sz="8" w:color="CCEEFF"/>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900" w:type="dxa"/>
            <w:vAlign w:val="bottom"/>
            <w:tcBorders>
              <w:top w:val="single" w:sz="8" w:color="CCEEFF"/>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197.77</w:t>
            </w:r>
          </w:p>
        </w:tc>
        <w:tc>
          <w:tcPr>
            <w:tcW w:w="1320" w:type="dxa"/>
            <w:vAlign w:val="bottom"/>
            <w:tcBorders>
              <w:top w:val="single" w:sz="8" w:color="CCEEFF"/>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85.4%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w:t>
            </w:r>
          </w:p>
        </w:tc>
        <w:tc>
          <w:tcPr>
            <w:tcW w:w="94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172</w:t>
            </w:r>
          </w:p>
        </w:tc>
        <w:tc>
          <w:tcPr>
            <w:tcW w:w="0" w:type="dxa"/>
            <w:vAlign w:val="bottom"/>
          </w:tcPr>
          <w:p>
            <w:pPr>
              <w:spacing w:after="0"/>
              <w:rPr>
                <w:sz w:val="1"/>
                <w:szCs w:val="1"/>
                <w:color w:val="auto"/>
              </w:rPr>
            </w:pPr>
          </w:p>
        </w:tc>
      </w:tr>
      <w:tr>
        <w:trPr>
          <w:trHeight w:val="20"/>
        </w:trPr>
        <w:tc>
          <w:tcPr>
            <w:tcW w:w="208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3880" w:type="dxa"/>
            <w:vAlign w:val="bottom"/>
            <w:gridSpan w:val="4"/>
          </w:tcPr>
          <w:p>
            <w:pPr>
              <w:spacing w:after="0"/>
              <w:rPr>
                <w:sz w:val="20"/>
                <w:szCs w:val="20"/>
                <w:color w:val="auto"/>
              </w:rPr>
            </w:pPr>
            <w:r>
              <w:rPr>
                <w:rFonts w:ascii="Arial" w:cs="Arial" w:eastAsia="Arial" w:hAnsi="Arial"/>
                <w:sz w:val="18"/>
                <w:szCs w:val="18"/>
                <w:b w:val="1"/>
                <w:bCs w:val="1"/>
                <w:i w:val="1"/>
                <w:iCs w:val="1"/>
                <w:color w:val="auto"/>
                <w:w w:val="99"/>
              </w:rPr>
              <w:t>Health Plans Segment Financial Data — Total</w:t>
            </w: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62"/>
        </w:trPr>
        <w:tc>
          <w:tcPr>
            <w:tcW w:w="2080" w:type="dxa"/>
            <w:vAlign w:val="bottom"/>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3740" w:type="dxa"/>
            <w:vAlign w:val="bottom"/>
            <w:tcBorders>
              <w:bottom w:val="single" w:sz="8" w:color="auto"/>
            </w:tcBorders>
            <w:gridSpan w:val="7"/>
          </w:tcPr>
          <w:p>
            <w:pPr>
              <w:jc w:val="right"/>
              <w:ind w:right="619"/>
              <w:spacing w:after="0"/>
              <w:rPr>
                <w:sz w:val="20"/>
                <w:szCs w:val="20"/>
                <w:color w:val="auto"/>
              </w:rPr>
            </w:pPr>
            <w:r>
              <w:rPr>
                <w:rFonts w:ascii="Arial" w:cs="Arial" w:eastAsia="Arial" w:hAnsi="Arial"/>
                <w:sz w:val="14"/>
                <w:szCs w:val="14"/>
                <w:b w:val="1"/>
                <w:bCs w:val="1"/>
                <w:color w:val="auto"/>
              </w:rPr>
              <w:t>Three Months Ended September 30, 2017</w:t>
            </w:r>
          </w:p>
        </w:tc>
        <w:tc>
          <w:tcPr>
            <w:tcW w:w="12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2080" w:type="dxa"/>
            <w:vAlign w:val="bottom"/>
          </w:tcPr>
          <w:p>
            <w:pPr>
              <w:spacing w:after="0"/>
              <w:rPr>
                <w:sz w:val="22"/>
                <w:szCs w:val="22"/>
                <w:color w:val="auto"/>
              </w:rPr>
            </w:pPr>
          </w:p>
        </w:tc>
        <w:tc>
          <w:tcPr>
            <w:tcW w:w="126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rPr>
              <w:t>Member</w:t>
            </w:r>
          </w:p>
        </w:tc>
        <w:tc>
          <w:tcPr>
            <w:tcW w:w="540" w:type="dxa"/>
            <w:vAlign w:val="bottom"/>
          </w:tcPr>
          <w:p>
            <w:pPr>
              <w:spacing w:after="0"/>
              <w:rPr>
                <w:sz w:val="22"/>
                <w:szCs w:val="22"/>
                <w:color w:val="auto"/>
              </w:rPr>
            </w:pPr>
          </w:p>
        </w:tc>
        <w:tc>
          <w:tcPr>
            <w:tcW w:w="2280" w:type="dxa"/>
            <w:vAlign w:val="bottom"/>
            <w:gridSpan w:val="5"/>
          </w:tcPr>
          <w:p>
            <w:pPr>
              <w:jc w:val="center"/>
              <w:ind w:right="640"/>
              <w:spacing w:after="0"/>
              <w:rPr>
                <w:sz w:val="20"/>
                <w:szCs w:val="20"/>
                <w:color w:val="auto"/>
              </w:rPr>
            </w:pPr>
            <w:r>
              <w:rPr>
                <w:rFonts w:ascii="Arial" w:cs="Arial" w:eastAsia="Arial" w:hAnsi="Arial"/>
                <w:sz w:val="14"/>
                <w:szCs w:val="14"/>
                <w:b w:val="1"/>
                <w:bCs w:val="1"/>
                <w:color w:val="auto"/>
              </w:rPr>
              <w:t>Premium Revenue</w:t>
            </w:r>
          </w:p>
        </w:tc>
        <w:tc>
          <w:tcPr>
            <w:tcW w:w="320" w:type="dxa"/>
            <w:vAlign w:val="bottom"/>
          </w:tcPr>
          <w:p>
            <w:pPr>
              <w:spacing w:after="0"/>
              <w:rPr>
                <w:sz w:val="22"/>
                <w:szCs w:val="22"/>
                <w:color w:val="auto"/>
              </w:rPr>
            </w:pPr>
          </w:p>
        </w:tc>
        <w:tc>
          <w:tcPr>
            <w:tcW w:w="2380" w:type="dxa"/>
            <w:vAlign w:val="bottom"/>
            <w:gridSpan w:val="4"/>
          </w:tcPr>
          <w:p>
            <w:pPr>
              <w:jc w:val="right"/>
              <w:ind w:right="599"/>
              <w:spacing w:after="0"/>
              <w:rPr>
                <w:sz w:val="20"/>
                <w:szCs w:val="20"/>
                <w:color w:val="auto"/>
              </w:rPr>
            </w:pPr>
            <w:r>
              <w:rPr>
                <w:rFonts w:ascii="Arial" w:cs="Arial" w:eastAsia="Arial" w:hAnsi="Arial"/>
                <w:sz w:val="14"/>
                <w:szCs w:val="14"/>
                <w:b w:val="1"/>
                <w:bCs w:val="1"/>
                <w:color w:val="auto"/>
              </w:rPr>
              <w:t>Medical Care Costs</w:t>
            </w:r>
          </w:p>
        </w:tc>
        <w:tc>
          <w:tcPr>
            <w:tcW w:w="12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0"/>
        </w:trPr>
        <w:tc>
          <w:tcPr>
            <w:tcW w:w="208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540" w:type="dxa"/>
            <w:vAlign w:val="bottom"/>
            <w:tcBorders>
              <w:top w:val="single" w:sz="8" w:color="auto"/>
            </w:tcBorders>
          </w:tcPr>
          <w:p>
            <w:pPr>
              <w:spacing w:after="0"/>
              <w:rPr>
                <w:sz w:val="5"/>
                <w:szCs w:val="5"/>
                <w:color w:val="auto"/>
              </w:rPr>
            </w:pPr>
          </w:p>
        </w:tc>
        <w:tc>
          <w:tcPr>
            <w:tcW w:w="920" w:type="dxa"/>
            <w:vAlign w:val="bottom"/>
            <w:tcBorders>
              <w:top w:val="single" w:sz="8" w:color="auto"/>
            </w:tcBorders>
          </w:tcPr>
          <w:p>
            <w:pPr>
              <w:spacing w:after="0"/>
              <w:rPr>
                <w:sz w:val="5"/>
                <w:szCs w:val="5"/>
                <w:color w:val="auto"/>
              </w:rPr>
            </w:pPr>
          </w:p>
        </w:tc>
        <w:tc>
          <w:tcPr>
            <w:tcW w:w="120" w:type="dxa"/>
            <w:vAlign w:val="bottom"/>
            <w:tcBorders>
              <w:top w:val="single" w:sz="8" w:color="auto"/>
            </w:tcBorders>
          </w:tcPr>
          <w:p>
            <w:pPr>
              <w:spacing w:after="0"/>
              <w:rPr>
                <w:sz w:val="5"/>
                <w:szCs w:val="5"/>
                <w:color w:val="auto"/>
              </w:rPr>
            </w:pPr>
          </w:p>
        </w:tc>
        <w:tc>
          <w:tcPr>
            <w:tcW w:w="200" w:type="dxa"/>
            <w:vAlign w:val="bottom"/>
            <w:tcBorders>
              <w:top w:val="single" w:sz="8" w:color="auto"/>
            </w:tcBorders>
          </w:tcPr>
          <w:p>
            <w:pPr>
              <w:spacing w:after="0"/>
              <w:rPr>
                <w:sz w:val="5"/>
                <w:szCs w:val="5"/>
                <w:color w:val="auto"/>
              </w:rPr>
            </w:pPr>
          </w:p>
        </w:tc>
        <w:tc>
          <w:tcPr>
            <w:tcW w:w="920" w:type="dxa"/>
            <w:vAlign w:val="bottom"/>
            <w:tcBorders>
              <w:top w:val="single" w:sz="8" w:color="auto"/>
            </w:tcBorders>
          </w:tcPr>
          <w:p>
            <w:pPr>
              <w:spacing w:after="0"/>
              <w:rPr>
                <w:sz w:val="5"/>
                <w:szCs w:val="5"/>
                <w:color w:val="auto"/>
              </w:rPr>
            </w:pPr>
          </w:p>
        </w:tc>
        <w:tc>
          <w:tcPr>
            <w:tcW w:w="120" w:type="dxa"/>
            <w:vAlign w:val="bottom"/>
          </w:tcPr>
          <w:p>
            <w:pPr>
              <w:spacing w:after="0"/>
              <w:rPr>
                <w:sz w:val="5"/>
                <w:szCs w:val="5"/>
                <w:color w:val="auto"/>
              </w:rPr>
            </w:pPr>
          </w:p>
        </w:tc>
        <w:tc>
          <w:tcPr>
            <w:tcW w:w="320" w:type="dxa"/>
            <w:vAlign w:val="bottom"/>
            <w:tcBorders>
              <w:top w:val="single" w:sz="8" w:color="auto"/>
            </w:tcBorders>
          </w:tcPr>
          <w:p>
            <w:pPr>
              <w:spacing w:after="0"/>
              <w:rPr>
                <w:sz w:val="5"/>
                <w:szCs w:val="5"/>
                <w:color w:val="auto"/>
              </w:rPr>
            </w:pPr>
          </w:p>
        </w:tc>
        <w:tc>
          <w:tcPr>
            <w:tcW w:w="1140" w:type="dxa"/>
            <w:vAlign w:val="bottom"/>
            <w:tcBorders>
              <w:top w:val="single" w:sz="8" w:color="auto"/>
            </w:tcBorders>
          </w:tcPr>
          <w:p>
            <w:pPr>
              <w:spacing w:after="0"/>
              <w:rPr>
                <w:sz w:val="5"/>
                <w:szCs w:val="5"/>
                <w:color w:val="auto"/>
              </w:rPr>
            </w:pPr>
          </w:p>
        </w:tc>
        <w:tc>
          <w:tcPr>
            <w:tcW w:w="120" w:type="dxa"/>
            <w:vAlign w:val="bottom"/>
            <w:tcBorders>
              <w:top w:val="single" w:sz="8" w:color="auto"/>
            </w:tcBorders>
          </w:tcPr>
          <w:p>
            <w:pPr>
              <w:spacing w:after="0"/>
              <w:rPr>
                <w:sz w:val="5"/>
                <w:szCs w:val="5"/>
                <w:color w:val="auto"/>
              </w:rPr>
            </w:pPr>
          </w:p>
        </w:tc>
        <w:tc>
          <w:tcPr>
            <w:tcW w:w="220" w:type="dxa"/>
            <w:vAlign w:val="bottom"/>
            <w:tcBorders>
              <w:top w:val="single" w:sz="8" w:color="auto"/>
            </w:tcBorders>
          </w:tcPr>
          <w:p>
            <w:pPr>
              <w:spacing w:after="0"/>
              <w:rPr>
                <w:sz w:val="5"/>
                <w:szCs w:val="5"/>
                <w:color w:val="auto"/>
              </w:rPr>
            </w:pPr>
          </w:p>
        </w:tc>
        <w:tc>
          <w:tcPr>
            <w:tcW w:w="900" w:type="dxa"/>
            <w:vAlign w:val="bottom"/>
            <w:tcBorders>
              <w:top w:val="single" w:sz="8" w:color="auto"/>
            </w:tcBorders>
          </w:tcPr>
          <w:p>
            <w:pPr>
              <w:spacing w:after="0"/>
              <w:rPr>
                <w:sz w:val="5"/>
                <w:szCs w:val="5"/>
                <w:color w:val="auto"/>
              </w:rPr>
            </w:pPr>
          </w:p>
        </w:tc>
        <w:tc>
          <w:tcPr>
            <w:tcW w:w="120" w:type="dxa"/>
            <w:vAlign w:val="bottom"/>
          </w:tcPr>
          <w:p>
            <w:pPr>
              <w:spacing w:after="0"/>
              <w:rPr>
                <w:sz w:val="5"/>
                <w:szCs w:val="5"/>
                <w:color w:val="auto"/>
              </w:rPr>
            </w:pPr>
          </w:p>
        </w:tc>
        <w:tc>
          <w:tcPr>
            <w:tcW w:w="120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0" w:type="dxa"/>
            <w:vAlign w:val="bottom"/>
          </w:tcPr>
          <w:p>
            <w:pPr>
              <w:spacing w:after="0"/>
              <w:rPr>
                <w:sz w:val="5"/>
                <w:szCs w:val="5"/>
                <w:color w:val="auto"/>
              </w:rPr>
            </w:pPr>
          </w:p>
        </w:tc>
        <w:tc>
          <w:tcPr>
            <w:tcW w:w="9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3"/>
        </w:trPr>
        <w:tc>
          <w:tcPr>
            <w:tcW w:w="2080" w:type="dxa"/>
            <w:vAlign w:val="bottom"/>
            <w:tcBorders>
              <w:bottom w:val="single" w:sz="8" w:color="CCEEFF"/>
            </w:tcBorders>
          </w:tcPr>
          <w:p>
            <w:pPr>
              <w:spacing w:after="0"/>
              <w:rPr>
                <w:sz w:val="17"/>
                <w:szCs w:val="17"/>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Months</w:t>
            </w:r>
          </w:p>
        </w:tc>
        <w:tc>
          <w:tcPr>
            <w:tcW w:w="120" w:type="dxa"/>
            <w:vAlign w:val="bottom"/>
            <w:tcBorders>
              <w:bottom w:val="single" w:sz="8" w:color="CCEEFF"/>
            </w:tcBorders>
          </w:tcPr>
          <w:p>
            <w:pPr>
              <w:spacing w:after="0"/>
              <w:rPr>
                <w:sz w:val="17"/>
                <w:szCs w:val="17"/>
                <w:color w:val="auto"/>
              </w:rPr>
            </w:pPr>
          </w:p>
        </w:tc>
        <w:tc>
          <w:tcPr>
            <w:tcW w:w="54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480"/>
              <w:spacing w:after="0"/>
              <w:rPr>
                <w:sz w:val="20"/>
                <w:szCs w:val="20"/>
                <w:color w:val="auto"/>
              </w:rPr>
            </w:pPr>
            <w:r>
              <w:rPr>
                <w:rFonts w:ascii="Arial" w:cs="Arial" w:eastAsia="Arial" w:hAnsi="Arial"/>
                <w:sz w:val="14"/>
                <w:szCs w:val="14"/>
                <w:b w:val="1"/>
                <w:bCs w:val="1"/>
                <w:color w:val="auto"/>
              </w:rPr>
              <w:t>Total</w:t>
            </w:r>
          </w:p>
        </w:tc>
        <w:tc>
          <w:tcPr>
            <w:tcW w:w="12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260"/>
              <w:spacing w:after="0"/>
              <w:rPr>
                <w:sz w:val="20"/>
                <w:szCs w:val="20"/>
                <w:color w:val="auto"/>
              </w:rPr>
            </w:pPr>
            <w:r>
              <w:rPr>
                <w:rFonts w:ascii="Arial" w:cs="Arial" w:eastAsia="Arial" w:hAnsi="Arial"/>
                <w:sz w:val="14"/>
                <w:szCs w:val="14"/>
                <w:b w:val="1"/>
                <w:bCs w:val="1"/>
                <w:color w:val="auto"/>
              </w:rPr>
              <w:t>PMPM</w:t>
            </w:r>
          </w:p>
        </w:tc>
        <w:tc>
          <w:tcPr>
            <w:tcW w:w="12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480"/>
              <w:spacing w:after="0"/>
              <w:rPr>
                <w:sz w:val="20"/>
                <w:szCs w:val="20"/>
                <w:color w:val="auto"/>
              </w:rPr>
            </w:pPr>
            <w:r>
              <w:rPr>
                <w:rFonts w:ascii="Arial" w:cs="Arial" w:eastAsia="Arial" w:hAnsi="Arial"/>
                <w:sz w:val="14"/>
                <w:szCs w:val="14"/>
                <w:b w:val="1"/>
                <w:bCs w:val="1"/>
                <w:color w:val="auto"/>
              </w:rPr>
              <w:t>Total</w:t>
            </w:r>
          </w:p>
        </w:tc>
        <w:tc>
          <w:tcPr>
            <w:tcW w:w="12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259"/>
              <w:spacing w:after="0"/>
              <w:rPr>
                <w:sz w:val="20"/>
                <w:szCs w:val="20"/>
                <w:color w:val="auto"/>
              </w:rPr>
            </w:pPr>
            <w:r>
              <w:rPr>
                <w:rFonts w:ascii="Arial" w:cs="Arial" w:eastAsia="Arial" w:hAnsi="Arial"/>
                <w:sz w:val="14"/>
                <w:szCs w:val="14"/>
                <w:b w:val="1"/>
                <w:bCs w:val="1"/>
                <w:color w:val="auto"/>
              </w:rPr>
              <w:t>PMPM</w:t>
            </w:r>
          </w:p>
        </w:tc>
        <w:tc>
          <w:tcPr>
            <w:tcW w:w="120" w:type="dxa"/>
            <w:vAlign w:val="bottom"/>
            <w:tcBorders>
              <w:bottom w:val="single" w:sz="8" w:color="CCEEFF"/>
            </w:tcBorders>
          </w:tcPr>
          <w:p>
            <w:pPr>
              <w:spacing w:after="0"/>
              <w:rPr>
                <w:sz w:val="17"/>
                <w:szCs w:val="17"/>
                <w:color w:val="auto"/>
              </w:rPr>
            </w:pPr>
          </w:p>
        </w:tc>
        <w:tc>
          <w:tcPr>
            <w:tcW w:w="1200" w:type="dxa"/>
            <w:vAlign w:val="bottom"/>
            <w:tcBorders>
              <w:bottom w:val="single" w:sz="8" w:color="auto"/>
            </w:tcBorders>
          </w:tcPr>
          <w:p>
            <w:pPr>
              <w:jc w:val="right"/>
              <w:ind w:right="361"/>
              <w:spacing w:after="0"/>
              <w:rPr>
                <w:sz w:val="20"/>
                <w:szCs w:val="20"/>
                <w:color w:val="auto"/>
              </w:rPr>
            </w:pPr>
            <w:r>
              <w:rPr>
                <w:rFonts w:ascii="Arial" w:cs="Arial" w:eastAsia="Arial" w:hAnsi="Arial"/>
                <w:sz w:val="14"/>
                <w:szCs w:val="14"/>
                <w:b w:val="1"/>
                <w:bCs w:val="1"/>
                <w:color w:val="auto"/>
              </w:rPr>
              <w:t>MCR</w:t>
            </w:r>
          </w:p>
        </w:tc>
        <w:tc>
          <w:tcPr>
            <w:tcW w:w="100" w:type="dxa"/>
            <w:vAlign w:val="bottom"/>
            <w:tcBorders>
              <w:bottom w:val="single" w:sz="8" w:color="CCEEFF"/>
            </w:tcBorders>
          </w:tcPr>
          <w:p>
            <w:pPr>
              <w:spacing w:after="0"/>
              <w:rPr>
                <w:sz w:val="17"/>
                <w:szCs w:val="17"/>
                <w:color w:val="auto"/>
              </w:rPr>
            </w:pPr>
          </w:p>
        </w:tc>
        <w:tc>
          <w:tcPr>
            <w:tcW w:w="1140" w:type="dxa"/>
            <w:vAlign w:val="bottom"/>
            <w:tcBorders>
              <w:bottom w:val="single" w:sz="8" w:color="auto"/>
            </w:tcBorders>
            <w:gridSpan w:val="2"/>
          </w:tcPr>
          <w:p>
            <w:pPr>
              <w:ind w:left="60"/>
              <w:spacing w:after="0"/>
              <w:rPr>
                <w:sz w:val="20"/>
                <w:szCs w:val="20"/>
                <w:color w:val="auto"/>
              </w:rPr>
            </w:pPr>
            <w:r>
              <w:rPr>
                <w:rFonts w:ascii="Arial" w:cs="Arial" w:eastAsia="Arial" w:hAnsi="Arial"/>
                <w:sz w:val="14"/>
                <w:szCs w:val="14"/>
                <w:b w:val="1"/>
                <w:bCs w:val="1"/>
                <w:color w:val="auto"/>
              </w:rPr>
              <w:t>Medical Margin</w:t>
            </w:r>
          </w:p>
        </w:tc>
        <w:tc>
          <w:tcPr>
            <w:tcW w:w="0" w:type="dxa"/>
            <w:vAlign w:val="bottom"/>
          </w:tcPr>
          <w:p>
            <w:pPr>
              <w:spacing w:after="0"/>
              <w:rPr>
                <w:sz w:val="1"/>
                <w:szCs w:val="1"/>
                <w:color w:val="auto"/>
              </w:rPr>
            </w:pPr>
          </w:p>
        </w:tc>
      </w:tr>
      <w:tr>
        <w:trPr>
          <w:trHeight w:val="251"/>
        </w:trPr>
        <w:tc>
          <w:tcPr>
            <w:tcW w:w="2080" w:type="dxa"/>
            <w:vAlign w:val="bottom"/>
            <w:shd w:val="clear" w:color="auto" w:fill="CCEEFF"/>
          </w:tcPr>
          <w:p>
            <w:pPr>
              <w:ind w:left="40"/>
              <w:spacing w:after="0"/>
              <w:rPr>
                <w:sz w:val="20"/>
                <w:szCs w:val="20"/>
                <w:color w:val="auto"/>
              </w:rPr>
            </w:pPr>
            <w:r>
              <w:rPr>
                <w:rFonts w:ascii="Arial" w:cs="Arial" w:eastAsia="Arial" w:hAnsi="Arial"/>
                <w:sz w:val="16"/>
                <w:szCs w:val="16"/>
                <w:color w:val="auto"/>
              </w:rPr>
              <w:t>California</w:t>
            </w:r>
          </w:p>
        </w:tc>
        <w:tc>
          <w:tcPr>
            <w:tcW w:w="114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2.2</w:t>
            </w:r>
          </w:p>
        </w:tc>
        <w:tc>
          <w:tcPr>
            <w:tcW w:w="120" w:type="dxa"/>
            <w:vAlign w:val="bottom"/>
            <w:shd w:val="clear" w:color="auto" w:fill="CCEEFF"/>
          </w:tcPr>
          <w:p>
            <w:pPr>
              <w:spacing w:after="0"/>
              <w:rPr>
                <w:sz w:val="21"/>
                <w:szCs w:val="21"/>
                <w:color w:val="auto"/>
              </w:rPr>
            </w:pPr>
          </w:p>
        </w:tc>
        <w:tc>
          <w:tcPr>
            <w:tcW w:w="54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w w:val="89"/>
              </w:rPr>
              <w:t>$</w:t>
            </w:r>
          </w:p>
        </w:tc>
        <w:tc>
          <w:tcPr>
            <w:tcW w:w="92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689</w:t>
            </w:r>
          </w:p>
        </w:tc>
        <w:tc>
          <w:tcPr>
            <w:tcW w:w="3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92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301.64</w:t>
            </w:r>
          </w:p>
        </w:tc>
        <w:tc>
          <w:tcPr>
            <w:tcW w:w="120" w:type="dxa"/>
            <w:vAlign w:val="bottom"/>
            <w:shd w:val="clear" w:color="auto" w:fill="CCEEFF"/>
          </w:tcPr>
          <w:p>
            <w:pPr>
              <w:spacing w:after="0"/>
              <w:rPr>
                <w:sz w:val="21"/>
                <w:szCs w:val="21"/>
                <w:color w:val="auto"/>
              </w:rPr>
            </w:pPr>
          </w:p>
        </w:tc>
        <w:tc>
          <w:tcPr>
            <w:tcW w:w="3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14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626</w:t>
            </w:r>
          </w:p>
        </w:tc>
        <w:tc>
          <w:tcPr>
            <w:tcW w:w="3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9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273.90</w:t>
            </w: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90.8%</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ind w:left="40"/>
              <w:spacing w:after="0"/>
              <w:rPr>
                <w:sz w:val="20"/>
                <w:szCs w:val="20"/>
                <w:color w:val="auto"/>
              </w:rPr>
            </w:pPr>
            <w:r>
              <w:rPr>
                <w:rFonts w:ascii="Arial" w:cs="Arial" w:eastAsia="Arial" w:hAnsi="Arial"/>
                <w:sz w:val="16"/>
                <w:szCs w:val="16"/>
                <w:color w:val="auto"/>
              </w:rPr>
              <w:t>$</w:t>
            </w:r>
          </w:p>
        </w:tc>
        <w:tc>
          <w:tcPr>
            <w:tcW w:w="9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63</w:t>
            </w:r>
          </w:p>
        </w:tc>
        <w:tc>
          <w:tcPr>
            <w:tcW w:w="0" w:type="dxa"/>
            <w:vAlign w:val="bottom"/>
          </w:tcPr>
          <w:p>
            <w:pPr>
              <w:spacing w:after="0"/>
              <w:rPr>
                <w:sz w:val="1"/>
                <w:szCs w:val="1"/>
                <w:color w:val="auto"/>
              </w:rPr>
            </w:pPr>
          </w:p>
        </w:tc>
      </w:tr>
      <w:tr>
        <w:trPr>
          <w:trHeight w:val="262"/>
        </w:trPr>
        <w:tc>
          <w:tcPr>
            <w:tcW w:w="2080" w:type="dxa"/>
            <w:vAlign w:val="bottom"/>
          </w:tcPr>
          <w:p>
            <w:pPr>
              <w:ind w:left="40"/>
              <w:spacing w:after="0"/>
              <w:rPr>
                <w:sz w:val="20"/>
                <w:szCs w:val="20"/>
                <w:color w:val="auto"/>
              </w:rPr>
            </w:pPr>
            <w:r>
              <w:rPr>
                <w:rFonts w:ascii="Arial" w:cs="Arial" w:eastAsia="Arial" w:hAnsi="Arial"/>
                <w:sz w:val="16"/>
                <w:szCs w:val="16"/>
                <w:color w:val="auto"/>
              </w:rPr>
              <w:t>Florida</w:t>
            </w:r>
          </w:p>
        </w:tc>
        <w:tc>
          <w:tcPr>
            <w:tcW w:w="1140" w:type="dxa"/>
            <w:vAlign w:val="bottom"/>
          </w:tcPr>
          <w:p>
            <w:pPr>
              <w:jc w:val="right"/>
              <w:ind w:right="20"/>
              <w:spacing w:after="0"/>
              <w:rPr>
                <w:sz w:val="20"/>
                <w:szCs w:val="20"/>
                <w:color w:val="auto"/>
              </w:rPr>
            </w:pPr>
            <w:r>
              <w:rPr>
                <w:rFonts w:ascii="Arial" w:cs="Arial" w:eastAsia="Arial" w:hAnsi="Arial"/>
                <w:sz w:val="16"/>
                <w:szCs w:val="16"/>
                <w:color w:val="auto"/>
              </w:rPr>
              <w:t>1.9</w:t>
            </w:r>
          </w:p>
        </w:tc>
        <w:tc>
          <w:tcPr>
            <w:tcW w:w="12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920" w:type="dxa"/>
            <w:vAlign w:val="bottom"/>
          </w:tcPr>
          <w:p>
            <w:pPr>
              <w:jc w:val="right"/>
              <w:ind w:right="20"/>
              <w:spacing w:after="0"/>
              <w:rPr>
                <w:sz w:val="20"/>
                <w:szCs w:val="20"/>
                <w:color w:val="auto"/>
              </w:rPr>
            </w:pPr>
            <w:r>
              <w:rPr>
                <w:rFonts w:ascii="Arial" w:cs="Arial" w:eastAsia="Arial" w:hAnsi="Arial"/>
                <w:sz w:val="16"/>
                <w:szCs w:val="16"/>
                <w:color w:val="auto"/>
              </w:rPr>
              <w:t>648</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20" w:type="dxa"/>
            <w:vAlign w:val="bottom"/>
          </w:tcPr>
          <w:p>
            <w:pPr>
              <w:jc w:val="right"/>
              <w:ind w:right="20"/>
              <w:spacing w:after="0"/>
              <w:rPr>
                <w:sz w:val="20"/>
                <w:szCs w:val="20"/>
                <w:color w:val="auto"/>
              </w:rPr>
            </w:pPr>
            <w:r>
              <w:rPr>
                <w:rFonts w:ascii="Arial" w:cs="Arial" w:eastAsia="Arial" w:hAnsi="Arial"/>
                <w:sz w:val="16"/>
                <w:szCs w:val="16"/>
                <w:color w:val="auto"/>
              </w:rPr>
              <w:t>337.40</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40" w:type="dxa"/>
            <w:vAlign w:val="bottom"/>
          </w:tcPr>
          <w:p>
            <w:pPr>
              <w:jc w:val="right"/>
              <w:ind w:right="20"/>
              <w:spacing w:after="0"/>
              <w:rPr>
                <w:sz w:val="20"/>
                <w:szCs w:val="20"/>
                <w:color w:val="auto"/>
              </w:rPr>
            </w:pPr>
            <w:r>
              <w:rPr>
                <w:rFonts w:ascii="Arial" w:cs="Arial" w:eastAsia="Arial" w:hAnsi="Arial"/>
                <w:sz w:val="16"/>
                <w:szCs w:val="16"/>
                <w:color w:val="auto"/>
              </w:rPr>
              <w:t>625</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325.09</w:t>
            </w:r>
          </w:p>
        </w:tc>
        <w:tc>
          <w:tcPr>
            <w:tcW w:w="1320" w:type="dxa"/>
            <w:vAlign w:val="bottom"/>
            <w:gridSpan w:val="2"/>
          </w:tcPr>
          <w:p>
            <w:pPr>
              <w:jc w:val="right"/>
              <w:ind w:right="101"/>
              <w:spacing w:after="0"/>
              <w:rPr>
                <w:sz w:val="20"/>
                <w:szCs w:val="20"/>
                <w:color w:val="auto"/>
              </w:rPr>
            </w:pPr>
            <w:r>
              <w:rPr>
                <w:rFonts w:ascii="Arial" w:cs="Arial" w:eastAsia="Arial" w:hAnsi="Arial"/>
                <w:sz w:val="16"/>
                <w:szCs w:val="16"/>
                <w:color w:val="auto"/>
              </w:rPr>
              <w:t>96.4</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23</w:t>
            </w:r>
          </w:p>
        </w:tc>
        <w:tc>
          <w:tcPr>
            <w:tcW w:w="0" w:type="dxa"/>
            <w:vAlign w:val="bottom"/>
          </w:tcPr>
          <w:p>
            <w:pPr>
              <w:spacing w:after="0"/>
              <w:rPr>
                <w:sz w:val="1"/>
                <w:szCs w:val="1"/>
                <w:color w:val="auto"/>
              </w:rPr>
            </w:pPr>
          </w:p>
        </w:tc>
      </w:tr>
      <w:tr>
        <w:trPr>
          <w:trHeight w:val="278"/>
        </w:trPr>
        <w:tc>
          <w:tcPr>
            <w:tcW w:w="2080" w:type="dxa"/>
            <w:vAlign w:val="bottom"/>
            <w:shd w:val="clear" w:color="auto" w:fill="CCEEFF"/>
          </w:tcPr>
          <w:p>
            <w:pPr>
              <w:ind w:left="40"/>
              <w:spacing w:after="0"/>
              <w:rPr>
                <w:sz w:val="20"/>
                <w:szCs w:val="20"/>
                <w:color w:val="auto"/>
              </w:rPr>
            </w:pPr>
            <w:r>
              <w:rPr>
                <w:rFonts w:ascii="Arial" w:cs="Arial" w:eastAsia="Arial" w:hAnsi="Arial"/>
                <w:sz w:val="16"/>
                <w:szCs w:val="16"/>
                <w:color w:val="auto"/>
              </w:rPr>
              <w:t>Illinois</w:t>
            </w:r>
          </w:p>
        </w:tc>
        <w:tc>
          <w:tcPr>
            <w:tcW w:w="114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0.5</w:t>
            </w:r>
          </w:p>
        </w:tc>
        <w:tc>
          <w:tcPr>
            <w:tcW w:w="120" w:type="dxa"/>
            <w:vAlign w:val="bottom"/>
            <w:shd w:val="clear" w:color="auto" w:fill="CCEEFF"/>
          </w:tcPr>
          <w:p>
            <w:pPr>
              <w:spacing w:after="0"/>
              <w:rPr>
                <w:sz w:val="24"/>
                <w:szCs w:val="24"/>
                <w:color w:val="auto"/>
              </w:rPr>
            </w:pPr>
          </w:p>
        </w:tc>
        <w:tc>
          <w:tcPr>
            <w:tcW w:w="54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137</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287.69</w:t>
            </w: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138</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289.36</w:t>
            </w:r>
          </w:p>
        </w:tc>
        <w:tc>
          <w:tcPr>
            <w:tcW w:w="1320" w:type="dxa"/>
            <w:vAlign w:val="bottom"/>
            <w:gridSpan w:val="2"/>
            <w:shd w:val="clear" w:color="auto" w:fill="CCEEFF"/>
          </w:tcPr>
          <w:p>
            <w:pPr>
              <w:jc w:val="right"/>
              <w:ind w:right="101"/>
              <w:spacing w:after="0"/>
              <w:rPr>
                <w:sz w:val="20"/>
                <w:szCs w:val="20"/>
                <w:color w:val="auto"/>
              </w:rPr>
            </w:pPr>
            <w:r>
              <w:rPr>
                <w:rFonts w:ascii="Arial" w:cs="Arial" w:eastAsia="Arial" w:hAnsi="Arial"/>
                <w:sz w:val="16"/>
                <w:szCs w:val="16"/>
                <w:color w:val="auto"/>
              </w:rPr>
              <w:t>100.6</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62"/>
        </w:trPr>
        <w:tc>
          <w:tcPr>
            <w:tcW w:w="2080" w:type="dxa"/>
            <w:vAlign w:val="bottom"/>
          </w:tcPr>
          <w:p>
            <w:pPr>
              <w:ind w:left="40"/>
              <w:spacing w:after="0"/>
              <w:rPr>
                <w:sz w:val="20"/>
                <w:szCs w:val="20"/>
                <w:color w:val="auto"/>
              </w:rPr>
            </w:pPr>
            <w:r>
              <w:rPr>
                <w:rFonts w:ascii="Arial" w:cs="Arial" w:eastAsia="Arial" w:hAnsi="Arial"/>
                <w:sz w:val="16"/>
                <w:szCs w:val="16"/>
                <w:color w:val="auto"/>
              </w:rPr>
              <w:t>Michigan</w:t>
            </w:r>
          </w:p>
        </w:tc>
        <w:tc>
          <w:tcPr>
            <w:tcW w:w="1140" w:type="dxa"/>
            <w:vAlign w:val="bottom"/>
          </w:tcPr>
          <w:p>
            <w:pPr>
              <w:jc w:val="right"/>
              <w:ind w:right="20"/>
              <w:spacing w:after="0"/>
              <w:rPr>
                <w:sz w:val="20"/>
                <w:szCs w:val="20"/>
                <w:color w:val="auto"/>
              </w:rPr>
            </w:pPr>
            <w:r>
              <w:rPr>
                <w:rFonts w:ascii="Arial" w:cs="Arial" w:eastAsia="Arial" w:hAnsi="Arial"/>
                <w:sz w:val="16"/>
                <w:szCs w:val="16"/>
                <w:color w:val="auto"/>
              </w:rPr>
              <w:t>1.2</w:t>
            </w:r>
          </w:p>
        </w:tc>
        <w:tc>
          <w:tcPr>
            <w:tcW w:w="12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920" w:type="dxa"/>
            <w:vAlign w:val="bottom"/>
          </w:tcPr>
          <w:p>
            <w:pPr>
              <w:jc w:val="right"/>
              <w:ind w:right="20"/>
              <w:spacing w:after="0"/>
              <w:rPr>
                <w:sz w:val="20"/>
                <w:szCs w:val="20"/>
                <w:color w:val="auto"/>
              </w:rPr>
            </w:pPr>
            <w:r>
              <w:rPr>
                <w:rFonts w:ascii="Arial" w:cs="Arial" w:eastAsia="Arial" w:hAnsi="Arial"/>
                <w:sz w:val="16"/>
                <w:szCs w:val="16"/>
                <w:color w:val="auto"/>
              </w:rPr>
              <w:t>404</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20" w:type="dxa"/>
            <w:vAlign w:val="bottom"/>
          </w:tcPr>
          <w:p>
            <w:pPr>
              <w:jc w:val="right"/>
              <w:ind w:right="20"/>
              <w:spacing w:after="0"/>
              <w:rPr>
                <w:sz w:val="20"/>
                <w:szCs w:val="20"/>
                <w:color w:val="auto"/>
              </w:rPr>
            </w:pPr>
            <w:r>
              <w:rPr>
                <w:rFonts w:ascii="Arial" w:cs="Arial" w:eastAsia="Arial" w:hAnsi="Arial"/>
                <w:sz w:val="16"/>
                <w:szCs w:val="16"/>
                <w:color w:val="auto"/>
              </w:rPr>
              <w:t>330.27</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40" w:type="dxa"/>
            <w:vAlign w:val="bottom"/>
          </w:tcPr>
          <w:p>
            <w:pPr>
              <w:jc w:val="right"/>
              <w:ind w:right="20"/>
              <w:spacing w:after="0"/>
              <w:rPr>
                <w:sz w:val="20"/>
                <w:szCs w:val="20"/>
                <w:color w:val="auto"/>
              </w:rPr>
            </w:pPr>
            <w:r>
              <w:rPr>
                <w:rFonts w:ascii="Arial" w:cs="Arial" w:eastAsia="Arial" w:hAnsi="Arial"/>
                <w:sz w:val="16"/>
                <w:szCs w:val="16"/>
                <w:color w:val="auto"/>
              </w:rPr>
              <w:t>355</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290.63</w:t>
            </w:r>
          </w:p>
        </w:tc>
        <w:tc>
          <w:tcPr>
            <w:tcW w:w="1320" w:type="dxa"/>
            <w:vAlign w:val="bottom"/>
            <w:gridSpan w:val="2"/>
          </w:tcPr>
          <w:p>
            <w:pPr>
              <w:jc w:val="right"/>
              <w:ind w:right="101"/>
              <w:spacing w:after="0"/>
              <w:rPr>
                <w:sz w:val="20"/>
                <w:szCs w:val="20"/>
                <w:color w:val="auto"/>
              </w:rPr>
            </w:pPr>
            <w:r>
              <w:rPr>
                <w:rFonts w:ascii="Arial" w:cs="Arial" w:eastAsia="Arial" w:hAnsi="Arial"/>
                <w:sz w:val="16"/>
                <w:szCs w:val="16"/>
                <w:color w:val="auto"/>
              </w:rPr>
              <w:t>88.0</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49</w:t>
            </w:r>
          </w:p>
        </w:tc>
        <w:tc>
          <w:tcPr>
            <w:tcW w:w="0" w:type="dxa"/>
            <w:vAlign w:val="bottom"/>
          </w:tcPr>
          <w:p>
            <w:pPr>
              <w:spacing w:after="0"/>
              <w:rPr>
                <w:sz w:val="1"/>
                <w:szCs w:val="1"/>
                <w:color w:val="auto"/>
              </w:rPr>
            </w:pPr>
          </w:p>
        </w:tc>
      </w:tr>
      <w:tr>
        <w:trPr>
          <w:trHeight w:val="278"/>
        </w:trPr>
        <w:tc>
          <w:tcPr>
            <w:tcW w:w="2080" w:type="dxa"/>
            <w:vAlign w:val="bottom"/>
            <w:shd w:val="clear" w:color="auto" w:fill="CCEEFF"/>
          </w:tcPr>
          <w:p>
            <w:pPr>
              <w:ind w:left="40"/>
              <w:spacing w:after="0"/>
              <w:rPr>
                <w:sz w:val="20"/>
                <w:szCs w:val="20"/>
                <w:color w:val="auto"/>
              </w:rPr>
            </w:pPr>
            <w:r>
              <w:rPr>
                <w:rFonts w:ascii="Arial" w:cs="Arial" w:eastAsia="Arial" w:hAnsi="Arial"/>
                <w:sz w:val="16"/>
                <w:szCs w:val="16"/>
                <w:color w:val="auto"/>
              </w:rPr>
              <w:t>New Mexico</w:t>
            </w:r>
          </w:p>
        </w:tc>
        <w:tc>
          <w:tcPr>
            <w:tcW w:w="114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0.8</w:t>
            </w:r>
          </w:p>
        </w:tc>
        <w:tc>
          <w:tcPr>
            <w:tcW w:w="120" w:type="dxa"/>
            <w:vAlign w:val="bottom"/>
            <w:shd w:val="clear" w:color="auto" w:fill="CCEEFF"/>
          </w:tcPr>
          <w:p>
            <w:pPr>
              <w:spacing w:after="0"/>
              <w:rPr>
                <w:sz w:val="24"/>
                <w:szCs w:val="24"/>
                <w:color w:val="auto"/>
              </w:rPr>
            </w:pPr>
          </w:p>
        </w:tc>
        <w:tc>
          <w:tcPr>
            <w:tcW w:w="54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333</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424.61</w:t>
            </w: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297</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378.98</w:t>
            </w:r>
          </w:p>
        </w:tc>
        <w:tc>
          <w:tcPr>
            <w:tcW w:w="1320" w:type="dxa"/>
            <w:vAlign w:val="bottom"/>
            <w:gridSpan w:val="2"/>
            <w:shd w:val="clear" w:color="auto" w:fill="CCEEFF"/>
          </w:tcPr>
          <w:p>
            <w:pPr>
              <w:jc w:val="right"/>
              <w:ind w:right="101"/>
              <w:spacing w:after="0"/>
              <w:rPr>
                <w:sz w:val="20"/>
                <w:szCs w:val="20"/>
                <w:color w:val="auto"/>
              </w:rPr>
            </w:pPr>
            <w:r>
              <w:rPr>
                <w:rFonts w:ascii="Arial" w:cs="Arial" w:eastAsia="Arial" w:hAnsi="Arial"/>
                <w:sz w:val="16"/>
                <w:szCs w:val="16"/>
                <w:color w:val="auto"/>
              </w:rPr>
              <w:t>89.3</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36</w:t>
            </w:r>
          </w:p>
        </w:tc>
        <w:tc>
          <w:tcPr>
            <w:tcW w:w="0" w:type="dxa"/>
            <w:vAlign w:val="bottom"/>
          </w:tcPr>
          <w:p>
            <w:pPr>
              <w:spacing w:after="0"/>
              <w:rPr>
                <w:sz w:val="1"/>
                <w:szCs w:val="1"/>
                <w:color w:val="auto"/>
              </w:rPr>
            </w:pPr>
          </w:p>
        </w:tc>
      </w:tr>
      <w:tr>
        <w:trPr>
          <w:trHeight w:val="270"/>
        </w:trPr>
        <w:tc>
          <w:tcPr>
            <w:tcW w:w="2080" w:type="dxa"/>
            <w:vAlign w:val="bottom"/>
          </w:tcPr>
          <w:p>
            <w:pPr>
              <w:ind w:left="40"/>
              <w:spacing w:after="0"/>
              <w:rPr>
                <w:sz w:val="20"/>
                <w:szCs w:val="20"/>
                <w:color w:val="auto"/>
              </w:rPr>
            </w:pPr>
            <w:r>
              <w:rPr>
                <w:rFonts w:ascii="Arial" w:cs="Arial" w:eastAsia="Arial" w:hAnsi="Arial"/>
                <w:sz w:val="16"/>
                <w:szCs w:val="16"/>
                <w:color w:val="auto"/>
              </w:rPr>
              <w:t xml:space="preserve">New York </w:t>
            </w:r>
            <w:r>
              <w:rPr>
                <w:rFonts w:ascii="Arial" w:cs="Arial" w:eastAsia="Arial" w:hAnsi="Arial"/>
                <w:sz w:val="21"/>
                <w:szCs w:val="21"/>
                <w:color w:val="auto"/>
                <w:vertAlign w:val="superscript"/>
              </w:rPr>
              <w:t>(1)</w:t>
            </w:r>
          </w:p>
        </w:tc>
        <w:tc>
          <w:tcPr>
            <w:tcW w:w="1140" w:type="dxa"/>
            <w:vAlign w:val="bottom"/>
          </w:tcPr>
          <w:p>
            <w:pPr>
              <w:jc w:val="right"/>
              <w:ind w:right="20"/>
              <w:spacing w:after="0"/>
              <w:rPr>
                <w:sz w:val="20"/>
                <w:szCs w:val="20"/>
                <w:color w:val="auto"/>
              </w:rPr>
            </w:pPr>
            <w:r>
              <w:rPr>
                <w:rFonts w:ascii="Arial" w:cs="Arial" w:eastAsia="Arial" w:hAnsi="Arial"/>
                <w:sz w:val="16"/>
                <w:szCs w:val="16"/>
                <w:color w:val="auto"/>
              </w:rPr>
              <w:t>0.1</w:t>
            </w:r>
          </w:p>
        </w:tc>
        <w:tc>
          <w:tcPr>
            <w:tcW w:w="12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920" w:type="dxa"/>
            <w:vAlign w:val="bottom"/>
          </w:tcPr>
          <w:p>
            <w:pPr>
              <w:jc w:val="right"/>
              <w:ind w:right="20"/>
              <w:spacing w:after="0"/>
              <w:rPr>
                <w:sz w:val="20"/>
                <w:szCs w:val="20"/>
                <w:color w:val="auto"/>
              </w:rPr>
            </w:pPr>
            <w:r>
              <w:rPr>
                <w:rFonts w:ascii="Arial" w:cs="Arial" w:eastAsia="Arial" w:hAnsi="Arial"/>
                <w:sz w:val="16"/>
                <w:szCs w:val="16"/>
                <w:color w:val="auto"/>
              </w:rPr>
              <w:t>43</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20" w:type="dxa"/>
            <w:vAlign w:val="bottom"/>
          </w:tcPr>
          <w:p>
            <w:pPr>
              <w:jc w:val="right"/>
              <w:ind w:right="20"/>
              <w:spacing w:after="0"/>
              <w:rPr>
                <w:sz w:val="20"/>
                <w:szCs w:val="20"/>
                <w:color w:val="auto"/>
              </w:rPr>
            </w:pPr>
            <w:r>
              <w:rPr>
                <w:rFonts w:ascii="Arial" w:cs="Arial" w:eastAsia="Arial" w:hAnsi="Arial"/>
                <w:sz w:val="16"/>
                <w:szCs w:val="16"/>
                <w:color w:val="auto"/>
              </w:rPr>
              <w:t>435.00</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40" w:type="dxa"/>
            <w:vAlign w:val="bottom"/>
          </w:tcPr>
          <w:p>
            <w:pPr>
              <w:jc w:val="right"/>
              <w:ind w:right="20"/>
              <w:spacing w:after="0"/>
              <w:rPr>
                <w:sz w:val="20"/>
                <w:szCs w:val="20"/>
                <w:color w:val="auto"/>
              </w:rPr>
            </w:pPr>
            <w:r>
              <w:rPr>
                <w:rFonts w:ascii="Arial" w:cs="Arial" w:eastAsia="Arial" w:hAnsi="Arial"/>
                <w:sz w:val="16"/>
                <w:szCs w:val="16"/>
                <w:color w:val="auto"/>
              </w:rPr>
              <w:t>41</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413.02</w:t>
            </w:r>
          </w:p>
        </w:tc>
        <w:tc>
          <w:tcPr>
            <w:tcW w:w="1320" w:type="dxa"/>
            <w:vAlign w:val="bottom"/>
            <w:gridSpan w:val="2"/>
          </w:tcPr>
          <w:p>
            <w:pPr>
              <w:jc w:val="right"/>
              <w:ind w:right="101"/>
              <w:spacing w:after="0"/>
              <w:rPr>
                <w:sz w:val="20"/>
                <w:szCs w:val="20"/>
                <w:color w:val="auto"/>
              </w:rPr>
            </w:pPr>
            <w:r>
              <w:rPr>
                <w:rFonts w:ascii="Arial" w:cs="Arial" w:eastAsia="Arial" w:hAnsi="Arial"/>
                <w:sz w:val="16"/>
                <w:szCs w:val="16"/>
                <w:color w:val="auto"/>
              </w:rPr>
              <w:t>94.9</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270"/>
        </w:trPr>
        <w:tc>
          <w:tcPr>
            <w:tcW w:w="2080" w:type="dxa"/>
            <w:vAlign w:val="bottom"/>
            <w:shd w:val="clear" w:color="auto" w:fill="CCEEFF"/>
          </w:tcPr>
          <w:p>
            <w:pPr>
              <w:ind w:left="40"/>
              <w:spacing w:after="0"/>
              <w:rPr>
                <w:sz w:val="20"/>
                <w:szCs w:val="20"/>
                <w:color w:val="auto"/>
              </w:rPr>
            </w:pPr>
            <w:r>
              <w:rPr>
                <w:rFonts w:ascii="Arial" w:cs="Arial" w:eastAsia="Arial" w:hAnsi="Arial"/>
                <w:sz w:val="16"/>
                <w:szCs w:val="16"/>
                <w:color w:val="auto"/>
              </w:rPr>
              <w:t>Ohio</w:t>
            </w:r>
          </w:p>
        </w:tc>
        <w:tc>
          <w:tcPr>
            <w:tcW w:w="114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1.0</w:t>
            </w:r>
          </w:p>
        </w:tc>
        <w:tc>
          <w:tcPr>
            <w:tcW w:w="120" w:type="dxa"/>
            <w:vAlign w:val="bottom"/>
            <w:shd w:val="clear" w:color="auto" w:fill="CCEEFF"/>
          </w:tcPr>
          <w:p>
            <w:pPr>
              <w:spacing w:after="0"/>
              <w:rPr>
                <w:sz w:val="23"/>
                <w:szCs w:val="23"/>
                <w:color w:val="auto"/>
              </w:rPr>
            </w:pPr>
          </w:p>
        </w:tc>
        <w:tc>
          <w:tcPr>
            <w:tcW w:w="540" w:type="dxa"/>
            <w:vAlign w:val="bottom"/>
            <w:shd w:val="clear" w:color="auto" w:fill="CCEEFF"/>
          </w:tcPr>
          <w:p>
            <w:pPr>
              <w:spacing w:after="0"/>
              <w:rPr>
                <w:sz w:val="23"/>
                <w:szCs w:val="23"/>
                <w:color w:val="auto"/>
              </w:rPr>
            </w:pPr>
          </w:p>
        </w:tc>
        <w:tc>
          <w:tcPr>
            <w:tcW w:w="92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572</w:t>
            </w: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92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550.75</w:t>
            </w:r>
          </w:p>
        </w:tc>
        <w:tc>
          <w:tcPr>
            <w:tcW w:w="12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14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503</w:t>
            </w: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9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485.61</w:t>
            </w:r>
          </w:p>
        </w:tc>
        <w:tc>
          <w:tcPr>
            <w:tcW w:w="1320" w:type="dxa"/>
            <w:vAlign w:val="bottom"/>
            <w:gridSpan w:val="2"/>
            <w:shd w:val="clear" w:color="auto" w:fill="CCEEFF"/>
          </w:tcPr>
          <w:p>
            <w:pPr>
              <w:jc w:val="right"/>
              <w:ind w:right="101"/>
              <w:spacing w:after="0"/>
              <w:rPr>
                <w:sz w:val="20"/>
                <w:szCs w:val="20"/>
                <w:color w:val="auto"/>
              </w:rPr>
            </w:pPr>
            <w:r>
              <w:rPr>
                <w:rFonts w:ascii="Arial" w:cs="Arial" w:eastAsia="Arial" w:hAnsi="Arial"/>
                <w:sz w:val="16"/>
                <w:szCs w:val="16"/>
                <w:color w:val="auto"/>
              </w:rPr>
              <w:t>88.2</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9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69</w:t>
            </w:r>
          </w:p>
        </w:tc>
        <w:tc>
          <w:tcPr>
            <w:tcW w:w="0" w:type="dxa"/>
            <w:vAlign w:val="bottom"/>
          </w:tcPr>
          <w:p>
            <w:pPr>
              <w:spacing w:after="0"/>
              <w:rPr>
                <w:sz w:val="1"/>
                <w:szCs w:val="1"/>
                <w:color w:val="auto"/>
              </w:rPr>
            </w:pPr>
          </w:p>
        </w:tc>
      </w:tr>
      <w:tr>
        <w:trPr>
          <w:trHeight w:val="262"/>
        </w:trPr>
        <w:tc>
          <w:tcPr>
            <w:tcW w:w="2080" w:type="dxa"/>
            <w:vAlign w:val="bottom"/>
          </w:tcPr>
          <w:p>
            <w:pPr>
              <w:ind w:left="40"/>
              <w:spacing w:after="0"/>
              <w:rPr>
                <w:sz w:val="20"/>
                <w:szCs w:val="20"/>
                <w:color w:val="auto"/>
              </w:rPr>
            </w:pPr>
            <w:r>
              <w:rPr>
                <w:rFonts w:ascii="Arial" w:cs="Arial" w:eastAsia="Arial" w:hAnsi="Arial"/>
                <w:sz w:val="16"/>
                <w:szCs w:val="16"/>
                <w:color w:val="auto"/>
              </w:rPr>
              <w:t>Puerto Rico</w:t>
            </w:r>
          </w:p>
        </w:tc>
        <w:tc>
          <w:tcPr>
            <w:tcW w:w="1140" w:type="dxa"/>
            <w:vAlign w:val="bottom"/>
          </w:tcPr>
          <w:p>
            <w:pPr>
              <w:jc w:val="right"/>
              <w:ind w:right="20"/>
              <w:spacing w:after="0"/>
              <w:rPr>
                <w:sz w:val="20"/>
                <w:szCs w:val="20"/>
                <w:color w:val="auto"/>
              </w:rPr>
            </w:pPr>
            <w:r>
              <w:rPr>
                <w:rFonts w:ascii="Arial" w:cs="Arial" w:eastAsia="Arial" w:hAnsi="Arial"/>
                <w:sz w:val="16"/>
                <w:szCs w:val="16"/>
                <w:color w:val="auto"/>
              </w:rPr>
              <w:t>1.0</w:t>
            </w:r>
          </w:p>
        </w:tc>
        <w:tc>
          <w:tcPr>
            <w:tcW w:w="12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920" w:type="dxa"/>
            <w:vAlign w:val="bottom"/>
          </w:tcPr>
          <w:p>
            <w:pPr>
              <w:jc w:val="right"/>
              <w:ind w:right="20"/>
              <w:spacing w:after="0"/>
              <w:rPr>
                <w:sz w:val="20"/>
                <w:szCs w:val="20"/>
                <w:color w:val="auto"/>
              </w:rPr>
            </w:pPr>
            <w:r>
              <w:rPr>
                <w:rFonts w:ascii="Arial" w:cs="Arial" w:eastAsia="Arial" w:hAnsi="Arial"/>
                <w:sz w:val="16"/>
                <w:szCs w:val="16"/>
                <w:color w:val="auto"/>
              </w:rPr>
              <w:t>191</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20" w:type="dxa"/>
            <w:vAlign w:val="bottom"/>
          </w:tcPr>
          <w:p>
            <w:pPr>
              <w:jc w:val="right"/>
              <w:ind w:right="20"/>
              <w:spacing w:after="0"/>
              <w:rPr>
                <w:sz w:val="20"/>
                <w:szCs w:val="20"/>
                <w:color w:val="auto"/>
              </w:rPr>
            </w:pPr>
            <w:r>
              <w:rPr>
                <w:rFonts w:ascii="Arial" w:cs="Arial" w:eastAsia="Arial" w:hAnsi="Arial"/>
                <w:sz w:val="16"/>
                <w:szCs w:val="16"/>
                <w:color w:val="auto"/>
              </w:rPr>
              <w:t>202.59</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40" w:type="dxa"/>
            <w:vAlign w:val="bottom"/>
          </w:tcPr>
          <w:p>
            <w:pPr>
              <w:jc w:val="right"/>
              <w:ind w:right="20"/>
              <w:spacing w:after="0"/>
              <w:rPr>
                <w:sz w:val="20"/>
                <w:szCs w:val="20"/>
                <w:color w:val="auto"/>
              </w:rPr>
            </w:pPr>
            <w:r>
              <w:rPr>
                <w:rFonts w:ascii="Arial" w:cs="Arial" w:eastAsia="Arial" w:hAnsi="Arial"/>
                <w:sz w:val="16"/>
                <w:szCs w:val="16"/>
                <w:color w:val="auto"/>
              </w:rPr>
              <w:t>159</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168.25</w:t>
            </w:r>
          </w:p>
        </w:tc>
        <w:tc>
          <w:tcPr>
            <w:tcW w:w="1320" w:type="dxa"/>
            <w:vAlign w:val="bottom"/>
            <w:gridSpan w:val="2"/>
          </w:tcPr>
          <w:p>
            <w:pPr>
              <w:jc w:val="right"/>
              <w:ind w:right="101"/>
              <w:spacing w:after="0"/>
              <w:rPr>
                <w:sz w:val="20"/>
                <w:szCs w:val="20"/>
                <w:color w:val="auto"/>
              </w:rPr>
            </w:pPr>
            <w:r>
              <w:rPr>
                <w:rFonts w:ascii="Arial" w:cs="Arial" w:eastAsia="Arial" w:hAnsi="Arial"/>
                <w:sz w:val="16"/>
                <w:szCs w:val="16"/>
                <w:color w:val="auto"/>
              </w:rPr>
              <w:t>83.1</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32</w:t>
            </w:r>
          </w:p>
        </w:tc>
        <w:tc>
          <w:tcPr>
            <w:tcW w:w="0" w:type="dxa"/>
            <w:vAlign w:val="bottom"/>
          </w:tcPr>
          <w:p>
            <w:pPr>
              <w:spacing w:after="0"/>
              <w:rPr>
                <w:sz w:val="1"/>
                <w:szCs w:val="1"/>
                <w:color w:val="auto"/>
              </w:rPr>
            </w:pPr>
          </w:p>
        </w:tc>
      </w:tr>
      <w:tr>
        <w:trPr>
          <w:trHeight w:val="278"/>
        </w:trPr>
        <w:tc>
          <w:tcPr>
            <w:tcW w:w="2080" w:type="dxa"/>
            <w:vAlign w:val="bottom"/>
            <w:shd w:val="clear" w:color="auto" w:fill="CCEEFF"/>
          </w:tcPr>
          <w:p>
            <w:pPr>
              <w:ind w:left="40"/>
              <w:spacing w:after="0"/>
              <w:rPr>
                <w:sz w:val="20"/>
                <w:szCs w:val="20"/>
                <w:color w:val="auto"/>
              </w:rPr>
            </w:pPr>
            <w:r>
              <w:rPr>
                <w:rFonts w:ascii="Arial" w:cs="Arial" w:eastAsia="Arial" w:hAnsi="Arial"/>
                <w:sz w:val="16"/>
                <w:szCs w:val="16"/>
                <w:color w:val="auto"/>
              </w:rPr>
              <w:t>South Carolina</w:t>
            </w:r>
          </w:p>
        </w:tc>
        <w:tc>
          <w:tcPr>
            <w:tcW w:w="114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0.3</w:t>
            </w:r>
          </w:p>
        </w:tc>
        <w:tc>
          <w:tcPr>
            <w:tcW w:w="120" w:type="dxa"/>
            <w:vAlign w:val="bottom"/>
            <w:shd w:val="clear" w:color="auto" w:fill="CCEEFF"/>
          </w:tcPr>
          <w:p>
            <w:pPr>
              <w:spacing w:after="0"/>
              <w:rPr>
                <w:sz w:val="24"/>
                <w:szCs w:val="24"/>
                <w:color w:val="auto"/>
              </w:rPr>
            </w:pPr>
          </w:p>
        </w:tc>
        <w:tc>
          <w:tcPr>
            <w:tcW w:w="54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113</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332.48</w:t>
            </w: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101</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297.74</w:t>
            </w:r>
          </w:p>
        </w:tc>
        <w:tc>
          <w:tcPr>
            <w:tcW w:w="1320" w:type="dxa"/>
            <w:vAlign w:val="bottom"/>
            <w:gridSpan w:val="2"/>
            <w:shd w:val="clear" w:color="auto" w:fill="CCEEFF"/>
          </w:tcPr>
          <w:p>
            <w:pPr>
              <w:jc w:val="right"/>
              <w:ind w:right="101"/>
              <w:spacing w:after="0"/>
              <w:rPr>
                <w:sz w:val="20"/>
                <w:szCs w:val="20"/>
                <w:color w:val="auto"/>
              </w:rPr>
            </w:pPr>
            <w:r>
              <w:rPr>
                <w:rFonts w:ascii="Arial" w:cs="Arial" w:eastAsia="Arial" w:hAnsi="Arial"/>
                <w:sz w:val="16"/>
                <w:szCs w:val="16"/>
                <w:color w:val="auto"/>
              </w:rPr>
              <w:t>89.6</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12</w:t>
            </w:r>
          </w:p>
        </w:tc>
        <w:tc>
          <w:tcPr>
            <w:tcW w:w="0" w:type="dxa"/>
            <w:vAlign w:val="bottom"/>
          </w:tcPr>
          <w:p>
            <w:pPr>
              <w:spacing w:after="0"/>
              <w:rPr>
                <w:sz w:val="1"/>
                <w:szCs w:val="1"/>
                <w:color w:val="auto"/>
              </w:rPr>
            </w:pPr>
          </w:p>
        </w:tc>
      </w:tr>
      <w:tr>
        <w:trPr>
          <w:trHeight w:val="262"/>
        </w:trPr>
        <w:tc>
          <w:tcPr>
            <w:tcW w:w="2080" w:type="dxa"/>
            <w:vAlign w:val="bottom"/>
          </w:tcPr>
          <w:p>
            <w:pPr>
              <w:ind w:left="40"/>
              <w:spacing w:after="0"/>
              <w:rPr>
                <w:sz w:val="20"/>
                <w:szCs w:val="20"/>
                <w:color w:val="auto"/>
              </w:rPr>
            </w:pPr>
            <w:r>
              <w:rPr>
                <w:rFonts w:ascii="Arial" w:cs="Arial" w:eastAsia="Arial" w:hAnsi="Arial"/>
                <w:sz w:val="16"/>
                <w:szCs w:val="16"/>
                <w:color w:val="auto"/>
              </w:rPr>
              <w:t>Texas</w:t>
            </w:r>
          </w:p>
        </w:tc>
        <w:tc>
          <w:tcPr>
            <w:tcW w:w="1140" w:type="dxa"/>
            <w:vAlign w:val="bottom"/>
          </w:tcPr>
          <w:p>
            <w:pPr>
              <w:jc w:val="right"/>
              <w:ind w:right="20"/>
              <w:spacing w:after="0"/>
              <w:rPr>
                <w:sz w:val="20"/>
                <w:szCs w:val="20"/>
                <w:color w:val="auto"/>
              </w:rPr>
            </w:pPr>
            <w:r>
              <w:rPr>
                <w:rFonts w:ascii="Arial" w:cs="Arial" w:eastAsia="Arial" w:hAnsi="Arial"/>
                <w:sz w:val="16"/>
                <w:szCs w:val="16"/>
                <w:color w:val="auto"/>
              </w:rPr>
              <w:t>1.4</w:t>
            </w:r>
          </w:p>
        </w:tc>
        <w:tc>
          <w:tcPr>
            <w:tcW w:w="12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920" w:type="dxa"/>
            <w:vAlign w:val="bottom"/>
          </w:tcPr>
          <w:p>
            <w:pPr>
              <w:jc w:val="right"/>
              <w:ind w:right="20"/>
              <w:spacing w:after="0"/>
              <w:rPr>
                <w:sz w:val="20"/>
                <w:szCs w:val="20"/>
                <w:color w:val="auto"/>
              </w:rPr>
            </w:pPr>
            <w:r>
              <w:rPr>
                <w:rFonts w:ascii="Arial" w:cs="Arial" w:eastAsia="Arial" w:hAnsi="Arial"/>
                <w:sz w:val="16"/>
                <w:szCs w:val="16"/>
                <w:color w:val="auto"/>
              </w:rPr>
              <w:t>724</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20" w:type="dxa"/>
            <w:vAlign w:val="bottom"/>
          </w:tcPr>
          <w:p>
            <w:pPr>
              <w:jc w:val="right"/>
              <w:ind w:right="20"/>
              <w:spacing w:after="0"/>
              <w:rPr>
                <w:sz w:val="20"/>
                <w:szCs w:val="20"/>
                <w:color w:val="auto"/>
              </w:rPr>
            </w:pPr>
            <w:r>
              <w:rPr>
                <w:rFonts w:ascii="Arial" w:cs="Arial" w:eastAsia="Arial" w:hAnsi="Arial"/>
                <w:sz w:val="16"/>
                <w:szCs w:val="16"/>
                <w:color w:val="auto"/>
              </w:rPr>
              <w:t>546.57</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40" w:type="dxa"/>
            <w:vAlign w:val="bottom"/>
          </w:tcPr>
          <w:p>
            <w:pPr>
              <w:jc w:val="right"/>
              <w:ind w:right="20"/>
              <w:spacing w:after="0"/>
              <w:rPr>
                <w:sz w:val="20"/>
                <w:szCs w:val="20"/>
                <w:color w:val="auto"/>
              </w:rPr>
            </w:pPr>
            <w:r>
              <w:rPr>
                <w:rFonts w:ascii="Arial" w:cs="Arial" w:eastAsia="Arial" w:hAnsi="Arial"/>
                <w:sz w:val="16"/>
                <w:szCs w:val="16"/>
                <w:color w:val="auto"/>
              </w:rPr>
              <w:t>615</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463.83</w:t>
            </w:r>
          </w:p>
        </w:tc>
        <w:tc>
          <w:tcPr>
            <w:tcW w:w="1320" w:type="dxa"/>
            <w:vAlign w:val="bottom"/>
            <w:gridSpan w:val="2"/>
          </w:tcPr>
          <w:p>
            <w:pPr>
              <w:jc w:val="right"/>
              <w:ind w:right="101"/>
              <w:spacing w:after="0"/>
              <w:rPr>
                <w:sz w:val="20"/>
                <w:szCs w:val="20"/>
                <w:color w:val="auto"/>
              </w:rPr>
            </w:pPr>
            <w:r>
              <w:rPr>
                <w:rFonts w:ascii="Arial" w:cs="Arial" w:eastAsia="Arial" w:hAnsi="Arial"/>
                <w:sz w:val="16"/>
                <w:szCs w:val="16"/>
                <w:color w:val="auto"/>
              </w:rPr>
              <w:t>84.9</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109</w:t>
            </w:r>
          </w:p>
        </w:tc>
        <w:tc>
          <w:tcPr>
            <w:tcW w:w="0" w:type="dxa"/>
            <w:vAlign w:val="bottom"/>
          </w:tcPr>
          <w:p>
            <w:pPr>
              <w:spacing w:after="0"/>
              <w:rPr>
                <w:sz w:val="1"/>
                <w:szCs w:val="1"/>
                <w:color w:val="auto"/>
              </w:rPr>
            </w:pPr>
          </w:p>
        </w:tc>
      </w:tr>
      <w:tr>
        <w:trPr>
          <w:trHeight w:val="278"/>
        </w:trPr>
        <w:tc>
          <w:tcPr>
            <w:tcW w:w="2080" w:type="dxa"/>
            <w:vAlign w:val="bottom"/>
            <w:shd w:val="clear" w:color="auto" w:fill="CCEEFF"/>
          </w:tcPr>
          <w:p>
            <w:pPr>
              <w:ind w:left="40"/>
              <w:spacing w:after="0"/>
              <w:rPr>
                <w:sz w:val="20"/>
                <w:szCs w:val="20"/>
                <w:color w:val="auto"/>
              </w:rPr>
            </w:pPr>
            <w:r>
              <w:rPr>
                <w:rFonts w:ascii="Arial" w:cs="Arial" w:eastAsia="Arial" w:hAnsi="Arial"/>
                <w:sz w:val="16"/>
                <w:szCs w:val="16"/>
                <w:color w:val="auto"/>
              </w:rPr>
              <w:t>Utah</w:t>
            </w:r>
          </w:p>
        </w:tc>
        <w:tc>
          <w:tcPr>
            <w:tcW w:w="114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0.5</w:t>
            </w:r>
          </w:p>
        </w:tc>
        <w:tc>
          <w:tcPr>
            <w:tcW w:w="120" w:type="dxa"/>
            <w:vAlign w:val="bottom"/>
            <w:shd w:val="clear" w:color="auto" w:fill="CCEEFF"/>
          </w:tcPr>
          <w:p>
            <w:pPr>
              <w:spacing w:after="0"/>
              <w:rPr>
                <w:sz w:val="24"/>
                <w:szCs w:val="24"/>
                <w:color w:val="auto"/>
              </w:rPr>
            </w:pPr>
          </w:p>
        </w:tc>
        <w:tc>
          <w:tcPr>
            <w:tcW w:w="54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138</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286.39</w:t>
            </w: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102</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212.91</w:t>
            </w:r>
          </w:p>
        </w:tc>
        <w:tc>
          <w:tcPr>
            <w:tcW w:w="1320" w:type="dxa"/>
            <w:vAlign w:val="bottom"/>
            <w:gridSpan w:val="2"/>
            <w:shd w:val="clear" w:color="auto" w:fill="CCEEFF"/>
          </w:tcPr>
          <w:p>
            <w:pPr>
              <w:jc w:val="right"/>
              <w:ind w:right="101"/>
              <w:spacing w:after="0"/>
              <w:rPr>
                <w:sz w:val="20"/>
                <w:szCs w:val="20"/>
                <w:color w:val="auto"/>
              </w:rPr>
            </w:pPr>
            <w:r>
              <w:rPr>
                <w:rFonts w:ascii="Arial" w:cs="Arial" w:eastAsia="Arial" w:hAnsi="Arial"/>
                <w:sz w:val="16"/>
                <w:szCs w:val="16"/>
                <w:color w:val="auto"/>
              </w:rPr>
              <w:t>74.3</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36</w:t>
            </w:r>
          </w:p>
        </w:tc>
        <w:tc>
          <w:tcPr>
            <w:tcW w:w="0" w:type="dxa"/>
            <w:vAlign w:val="bottom"/>
          </w:tcPr>
          <w:p>
            <w:pPr>
              <w:spacing w:after="0"/>
              <w:rPr>
                <w:sz w:val="1"/>
                <w:szCs w:val="1"/>
                <w:color w:val="auto"/>
              </w:rPr>
            </w:pPr>
          </w:p>
        </w:tc>
      </w:tr>
      <w:tr>
        <w:trPr>
          <w:trHeight w:val="262"/>
        </w:trPr>
        <w:tc>
          <w:tcPr>
            <w:tcW w:w="2080" w:type="dxa"/>
            <w:vAlign w:val="bottom"/>
          </w:tcPr>
          <w:p>
            <w:pPr>
              <w:ind w:left="40"/>
              <w:spacing w:after="0"/>
              <w:rPr>
                <w:sz w:val="20"/>
                <w:szCs w:val="20"/>
                <w:color w:val="auto"/>
              </w:rPr>
            </w:pPr>
            <w:r>
              <w:rPr>
                <w:rFonts w:ascii="Arial" w:cs="Arial" w:eastAsia="Arial" w:hAnsi="Arial"/>
                <w:sz w:val="16"/>
                <w:szCs w:val="16"/>
                <w:color w:val="auto"/>
              </w:rPr>
              <w:t>Washington</w:t>
            </w:r>
          </w:p>
        </w:tc>
        <w:tc>
          <w:tcPr>
            <w:tcW w:w="1140" w:type="dxa"/>
            <w:vAlign w:val="bottom"/>
          </w:tcPr>
          <w:p>
            <w:pPr>
              <w:jc w:val="right"/>
              <w:ind w:right="20"/>
              <w:spacing w:after="0"/>
              <w:rPr>
                <w:sz w:val="20"/>
                <w:szCs w:val="20"/>
                <w:color w:val="auto"/>
              </w:rPr>
            </w:pPr>
            <w:r>
              <w:rPr>
                <w:rFonts w:ascii="Arial" w:cs="Arial" w:eastAsia="Arial" w:hAnsi="Arial"/>
                <w:sz w:val="16"/>
                <w:szCs w:val="16"/>
                <w:color w:val="auto"/>
              </w:rPr>
              <w:t>2.4</w:t>
            </w:r>
          </w:p>
        </w:tc>
        <w:tc>
          <w:tcPr>
            <w:tcW w:w="12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920" w:type="dxa"/>
            <w:vAlign w:val="bottom"/>
          </w:tcPr>
          <w:p>
            <w:pPr>
              <w:jc w:val="right"/>
              <w:ind w:right="20"/>
              <w:spacing w:after="0"/>
              <w:rPr>
                <w:sz w:val="20"/>
                <w:szCs w:val="20"/>
                <w:color w:val="auto"/>
              </w:rPr>
            </w:pPr>
            <w:r>
              <w:rPr>
                <w:rFonts w:ascii="Arial" w:cs="Arial" w:eastAsia="Arial" w:hAnsi="Arial"/>
                <w:sz w:val="16"/>
                <w:szCs w:val="16"/>
                <w:color w:val="auto"/>
              </w:rPr>
              <w:t>654</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20" w:type="dxa"/>
            <w:vAlign w:val="bottom"/>
          </w:tcPr>
          <w:p>
            <w:pPr>
              <w:jc w:val="right"/>
              <w:ind w:right="20"/>
              <w:spacing w:after="0"/>
              <w:rPr>
                <w:sz w:val="20"/>
                <w:szCs w:val="20"/>
                <w:color w:val="auto"/>
              </w:rPr>
            </w:pPr>
            <w:r>
              <w:rPr>
                <w:rFonts w:ascii="Arial" w:cs="Arial" w:eastAsia="Arial" w:hAnsi="Arial"/>
                <w:sz w:val="16"/>
                <w:szCs w:val="16"/>
                <w:color w:val="auto"/>
              </w:rPr>
              <w:t>279.52</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40" w:type="dxa"/>
            <w:vAlign w:val="bottom"/>
          </w:tcPr>
          <w:p>
            <w:pPr>
              <w:jc w:val="right"/>
              <w:ind w:right="20"/>
              <w:spacing w:after="0"/>
              <w:rPr>
                <w:sz w:val="20"/>
                <w:szCs w:val="20"/>
                <w:color w:val="auto"/>
              </w:rPr>
            </w:pPr>
            <w:r>
              <w:rPr>
                <w:rFonts w:ascii="Arial" w:cs="Arial" w:eastAsia="Arial" w:hAnsi="Arial"/>
                <w:sz w:val="16"/>
                <w:szCs w:val="16"/>
                <w:color w:val="auto"/>
              </w:rPr>
              <w:t>555</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237.23</w:t>
            </w:r>
          </w:p>
        </w:tc>
        <w:tc>
          <w:tcPr>
            <w:tcW w:w="1320" w:type="dxa"/>
            <w:vAlign w:val="bottom"/>
            <w:gridSpan w:val="2"/>
          </w:tcPr>
          <w:p>
            <w:pPr>
              <w:jc w:val="right"/>
              <w:ind w:right="101"/>
              <w:spacing w:after="0"/>
              <w:rPr>
                <w:sz w:val="20"/>
                <w:szCs w:val="20"/>
                <w:color w:val="auto"/>
              </w:rPr>
            </w:pPr>
            <w:r>
              <w:rPr>
                <w:rFonts w:ascii="Arial" w:cs="Arial" w:eastAsia="Arial" w:hAnsi="Arial"/>
                <w:sz w:val="16"/>
                <w:szCs w:val="16"/>
                <w:color w:val="auto"/>
              </w:rPr>
              <w:t>84.9</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99</w:t>
            </w:r>
          </w:p>
        </w:tc>
        <w:tc>
          <w:tcPr>
            <w:tcW w:w="0" w:type="dxa"/>
            <w:vAlign w:val="bottom"/>
          </w:tcPr>
          <w:p>
            <w:pPr>
              <w:spacing w:after="0"/>
              <w:rPr>
                <w:sz w:val="1"/>
                <w:szCs w:val="1"/>
                <w:color w:val="auto"/>
              </w:rPr>
            </w:pPr>
          </w:p>
        </w:tc>
      </w:tr>
      <w:tr>
        <w:trPr>
          <w:trHeight w:val="278"/>
        </w:trPr>
        <w:tc>
          <w:tcPr>
            <w:tcW w:w="2080" w:type="dxa"/>
            <w:vAlign w:val="bottom"/>
            <w:shd w:val="clear" w:color="auto" w:fill="CCEEFF"/>
          </w:tcPr>
          <w:p>
            <w:pPr>
              <w:ind w:left="40"/>
              <w:spacing w:after="0"/>
              <w:rPr>
                <w:sz w:val="20"/>
                <w:szCs w:val="20"/>
                <w:color w:val="auto"/>
              </w:rPr>
            </w:pPr>
            <w:r>
              <w:rPr>
                <w:rFonts w:ascii="Arial" w:cs="Arial" w:eastAsia="Arial" w:hAnsi="Arial"/>
                <w:sz w:val="16"/>
                <w:szCs w:val="16"/>
                <w:color w:val="auto"/>
              </w:rPr>
              <w:t>Wisconsin</w:t>
            </w:r>
          </w:p>
        </w:tc>
        <w:tc>
          <w:tcPr>
            <w:tcW w:w="114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0.4</w:t>
            </w:r>
          </w:p>
        </w:tc>
        <w:tc>
          <w:tcPr>
            <w:tcW w:w="120" w:type="dxa"/>
            <w:vAlign w:val="bottom"/>
            <w:shd w:val="clear" w:color="auto" w:fill="CCEEFF"/>
          </w:tcPr>
          <w:p>
            <w:pPr>
              <w:spacing w:after="0"/>
              <w:rPr>
                <w:sz w:val="24"/>
                <w:szCs w:val="24"/>
                <w:color w:val="auto"/>
              </w:rPr>
            </w:pPr>
          </w:p>
        </w:tc>
        <w:tc>
          <w:tcPr>
            <w:tcW w:w="54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129</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345.63</w:t>
            </w: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97</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259.66</w:t>
            </w:r>
          </w:p>
        </w:tc>
        <w:tc>
          <w:tcPr>
            <w:tcW w:w="1320" w:type="dxa"/>
            <w:vAlign w:val="bottom"/>
            <w:gridSpan w:val="2"/>
            <w:shd w:val="clear" w:color="auto" w:fill="CCEEFF"/>
          </w:tcPr>
          <w:p>
            <w:pPr>
              <w:jc w:val="right"/>
              <w:ind w:right="101"/>
              <w:spacing w:after="0"/>
              <w:rPr>
                <w:sz w:val="20"/>
                <w:szCs w:val="20"/>
                <w:color w:val="auto"/>
              </w:rPr>
            </w:pPr>
            <w:r>
              <w:rPr>
                <w:rFonts w:ascii="Arial" w:cs="Arial" w:eastAsia="Arial" w:hAnsi="Arial"/>
                <w:sz w:val="16"/>
                <w:szCs w:val="16"/>
                <w:color w:val="auto"/>
              </w:rPr>
              <w:t>75.1</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32</w:t>
            </w:r>
          </w:p>
        </w:tc>
        <w:tc>
          <w:tcPr>
            <w:tcW w:w="0" w:type="dxa"/>
            <w:vAlign w:val="bottom"/>
          </w:tcPr>
          <w:p>
            <w:pPr>
              <w:spacing w:after="0"/>
              <w:rPr>
                <w:sz w:val="1"/>
                <w:szCs w:val="1"/>
                <w:color w:val="auto"/>
              </w:rPr>
            </w:pPr>
          </w:p>
        </w:tc>
      </w:tr>
      <w:tr>
        <w:trPr>
          <w:trHeight w:val="270"/>
        </w:trPr>
        <w:tc>
          <w:tcPr>
            <w:tcW w:w="2080" w:type="dxa"/>
            <w:vAlign w:val="bottom"/>
          </w:tcPr>
          <w:p>
            <w:pPr>
              <w:ind w:left="40"/>
              <w:spacing w:after="0"/>
              <w:rPr>
                <w:sz w:val="20"/>
                <w:szCs w:val="20"/>
                <w:color w:val="auto"/>
              </w:rPr>
            </w:pPr>
            <w:r>
              <w:rPr>
                <w:rFonts w:ascii="Arial" w:cs="Arial" w:eastAsia="Arial" w:hAnsi="Arial"/>
                <w:sz w:val="16"/>
                <w:szCs w:val="16"/>
                <w:color w:val="auto"/>
              </w:rPr>
              <w:t xml:space="preserve">Other </w:t>
            </w:r>
            <w:r>
              <w:rPr>
                <w:rFonts w:ascii="Arial" w:cs="Arial" w:eastAsia="Arial" w:hAnsi="Arial"/>
                <w:sz w:val="21"/>
                <w:szCs w:val="21"/>
                <w:color w:val="auto"/>
                <w:vertAlign w:val="superscript"/>
              </w:rPr>
              <w:t>(2)</w:t>
            </w:r>
          </w:p>
        </w:tc>
        <w:tc>
          <w:tcPr>
            <w:tcW w:w="12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540" w:type="dxa"/>
            <w:vAlign w:val="bottom"/>
          </w:tcPr>
          <w:p>
            <w:pPr>
              <w:spacing w:after="0"/>
              <w:rPr>
                <w:sz w:val="23"/>
                <w:szCs w:val="23"/>
                <w:color w:val="auto"/>
              </w:rPr>
            </w:pPr>
          </w:p>
        </w:tc>
        <w:tc>
          <w:tcPr>
            <w:tcW w:w="920" w:type="dxa"/>
            <w:vAlign w:val="bottom"/>
          </w:tcPr>
          <w:p>
            <w:pPr>
              <w:jc w:val="right"/>
              <w:ind w:right="20"/>
              <w:spacing w:after="0"/>
              <w:rPr>
                <w:sz w:val="20"/>
                <w:szCs w:val="20"/>
                <w:color w:val="auto"/>
              </w:rPr>
            </w:pPr>
            <w:r>
              <w:rPr>
                <w:rFonts w:ascii="Arial" w:cs="Arial" w:eastAsia="Arial" w:hAnsi="Arial"/>
                <w:sz w:val="16"/>
                <w:szCs w:val="16"/>
                <w:color w:val="auto"/>
              </w:rPr>
              <w:t>2</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23"/>
                <w:szCs w:val="23"/>
                <w:color w:val="auto"/>
              </w:rPr>
            </w:pPr>
          </w:p>
        </w:tc>
        <w:tc>
          <w:tcPr>
            <w:tcW w:w="1140" w:type="dxa"/>
            <w:vAlign w:val="bottom"/>
          </w:tcPr>
          <w:p>
            <w:pPr>
              <w:jc w:val="right"/>
              <w:ind w:right="20"/>
              <w:spacing w:after="0"/>
              <w:rPr>
                <w:sz w:val="20"/>
                <w:szCs w:val="20"/>
                <w:color w:val="auto"/>
              </w:rPr>
            </w:pPr>
            <w:r>
              <w:rPr>
                <w:rFonts w:ascii="Arial" w:cs="Arial" w:eastAsia="Arial" w:hAnsi="Arial"/>
                <w:sz w:val="16"/>
                <w:szCs w:val="16"/>
                <w:color w:val="auto"/>
              </w:rPr>
              <w:t>6</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3"/>
                <w:szCs w:val="23"/>
                <w:color w:val="auto"/>
              </w:rPr>
            </w:pPr>
          </w:p>
        </w:tc>
        <w:tc>
          <w:tcPr>
            <w:tcW w:w="130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(4)</w:t>
            </w:r>
          </w:p>
        </w:tc>
        <w:tc>
          <w:tcPr>
            <w:tcW w:w="0" w:type="dxa"/>
            <w:vAlign w:val="bottom"/>
          </w:tcPr>
          <w:p>
            <w:pPr>
              <w:spacing w:after="0"/>
              <w:rPr>
                <w:sz w:val="1"/>
                <w:szCs w:val="1"/>
                <w:color w:val="auto"/>
              </w:rPr>
            </w:pPr>
          </w:p>
        </w:tc>
      </w:tr>
      <w:tr>
        <w:trPr>
          <w:trHeight w:val="236"/>
        </w:trPr>
        <w:tc>
          <w:tcPr>
            <w:tcW w:w="2080" w:type="dxa"/>
            <w:vAlign w:val="bottom"/>
            <w:tcBorders>
              <w:top w:val="single" w:sz="8" w:color="CCEEFF"/>
              <w:bottom w:val="single" w:sz="8" w:color="CCEEFF"/>
            </w:tcBorders>
            <w:shd w:val="clear" w:color="auto" w:fill="CCEEFF"/>
          </w:tcPr>
          <w:p>
            <w:pPr>
              <w:spacing w:after="0"/>
              <w:rPr>
                <w:sz w:val="20"/>
                <w:szCs w:val="20"/>
                <w:color w:val="auto"/>
              </w:rPr>
            </w:pPr>
          </w:p>
        </w:tc>
        <w:tc>
          <w:tcPr>
            <w:tcW w:w="1140" w:type="dxa"/>
            <w:vAlign w:val="bottom"/>
            <w:tcBorders>
              <w:top w:val="single" w:sz="8" w:color="auto"/>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13.7</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540" w:type="dxa"/>
            <w:vAlign w:val="bottom"/>
            <w:tcBorders>
              <w:top w:val="single" w:sz="8" w:color="auto"/>
              <w:bottom w:val="single" w:sz="8" w:color="auto"/>
            </w:tcBorders>
            <w:shd w:val="clear" w:color="auto" w:fill="CCEEFF"/>
          </w:tcPr>
          <w:p>
            <w:pPr>
              <w:jc w:val="right"/>
              <w:ind w:right="359"/>
              <w:spacing w:after="0"/>
              <w:rPr>
                <w:sz w:val="20"/>
                <w:szCs w:val="20"/>
                <w:color w:val="auto"/>
              </w:rPr>
            </w:pPr>
            <w:r>
              <w:rPr>
                <w:rFonts w:ascii="Arial" w:cs="Arial" w:eastAsia="Arial" w:hAnsi="Arial"/>
                <w:sz w:val="16"/>
                <w:szCs w:val="16"/>
                <w:color w:val="auto"/>
                <w:w w:val="89"/>
              </w:rPr>
              <w:t>$</w:t>
            </w:r>
          </w:p>
        </w:tc>
        <w:tc>
          <w:tcPr>
            <w:tcW w:w="920" w:type="dxa"/>
            <w:vAlign w:val="bottom"/>
            <w:tcBorders>
              <w:top w:val="single" w:sz="8" w:color="auto"/>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4,777</w:t>
            </w:r>
          </w:p>
        </w:tc>
        <w:tc>
          <w:tcPr>
            <w:tcW w:w="320" w:type="dxa"/>
            <w:vAlign w:val="bottom"/>
            <w:tcBorders>
              <w:top w:val="single" w:sz="8" w:color="CCEEFF"/>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920" w:type="dxa"/>
            <w:vAlign w:val="bottom"/>
            <w:tcBorders>
              <w:top w:val="single" w:sz="8" w:color="CCEEFF"/>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350.55</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320" w:type="dxa"/>
            <w:vAlign w:val="bottom"/>
            <w:tcBorders>
              <w:top w:val="single" w:sz="8" w:color="auto"/>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140" w:type="dxa"/>
            <w:vAlign w:val="bottom"/>
            <w:tcBorders>
              <w:top w:val="single" w:sz="8" w:color="auto"/>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4,220</w:t>
            </w:r>
          </w:p>
        </w:tc>
        <w:tc>
          <w:tcPr>
            <w:tcW w:w="340" w:type="dxa"/>
            <w:vAlign w:val="bottom"/>
            <w:tcBorders>
              <w:top w:val="single" w:sz="8" w:color="CCEEFF"/>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900" w:type="dxa"/>
            <w:vAlign w:val="bottom"/>
            <w:tcBorders>
              <w:top w:val="single" w:sz="8" w:color="CCEEFF"/>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309.68</w:t>
            </w:r>
          </w:p>
        </w:tc>
        <w:tc>
          <w:tcPr>
            <w:tcW w:w="1320" w:type="dxa"/>
            <w:vAlign w:val="bottom"/>
            <w:tcBorders>
              <w:top w:val="single" w:sz="8" w:color="CCEEFF"/>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88.3%</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w:t>
            </w:r>
          </w:p>
        </w:tc>
        <w:tc>
          <w:tcPr>
            <w:tcW w:w="94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557</w:t>
            </w:r>
          </w:p>
        </w:tc>
        <w:tc>
          <w:tcPr>
            <w:tcW w:w="0" w:type="dxa"/>
            <w:vAlign w:val="bottom"/>
          </w:tcPr>
          <w:p>
            <w:pPr>
              <w:spacing w:after="0"/>
              <w:rPr>
                <w:sz w:val="1"/>
                <w:szCs w:val="1"/>
                <w:color w:val="auto"/>
              </w:rPr>
            </w:pPr>
          </w:p>
        </w:tc>
      </w:tr>
      <w:tr>
        <w:trPr>
          <w:trHeight w:val="20"/>
        </w:trPr>
        <w:tc>
          <w:tcPr>
            <w:tcW w:w="208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Molina Healthcare, Inc. 2017 Form 10-Q | 52</w:t>
      </w:r>
    </w:p>
    <w:p>
      <w:pPr>
        <w:sectPr>
          <w:pgSz w:w="11900" w:h="16838" w:orient="portrait"/>
          <w:cols w:equalWidth="0" w:num="1">
            <w:col w:w="11420"/>
          </w:cols>
          <w:pgMar w:left="240" w:top="116" w:right="239" w:bottom="1440" w:gutter="0" w:footer="0" w:header="0"/>
        </w:sectPr>
      </w:pPr>
    </w:p>
    <w:bookmarkStart w:id="52" w:name="page53"/>
    <w:bookmarkEnd w:id="5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080" w:type="dxa"/>
            <w:vAlign w:val="bottom"/>
          </w:tcPr>
          <w:p>
            <w:pPr>
              <w:spacing w:after="0"/>
              <w:rPr>
                <w:sz w:val="17"/>
                <w:szCs w:val="17"/>
                <w:color w:val="auto"/>
              </w:rPr>
            </w:pPr>
          </w:p>
        </w:tc>
        <w:tc>
          <w:tcPr>
            <w:tcW w:w="114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3720" w:type="dxa"/>
            <w:vAlign w:val="bottom"/>
            <w:tcBorders>
              <w:bottom w:val="single" w:sz="8" w:color="auto"/>
            </w:tcBorders>
            <w:gridSpan w:val="7"/>
          </w:tcPr>
          <w:p>
            <w:pPr>
              <w:jc w:val="right"/>
              <w:ind w:right="620"/>
              <w:spacing w:after="0"/>
              <w:rPr>
                <w:sz w:val="20"/>
                <w:szCs w:val="20"/>
                <w:color w:val="auto"/>
              </w:rPr>
            </w:pPr>
            <w:r>
              <w:rPr>
                <w:rFonts w:ascii="Arial" w:cs="Arial" w:eastAsia="Arial" w:hAnsi="Arial"/>
                <w:sz w:val="14"/>
                <w:szCs w:val="14"/>
                <w:b w:val="1"/>
                <w:bCs w:val="1"/>
                <w:color w:val="auto"/>
              </w:rPr>
              <w:t>Three Months Ended September 30, 2016</w:t>
            </w:r>
          </w:p>
        </w:tc>
        <w:tc>
          <w:tcPr>
            <w:tcW w:w="12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64"/>
        </w:trPr>
        <w:tc>
          <w:tcPr>
            <w:tcW w:w="2080" w:type="dxa"/>
            <w:vAlign w:val="bottom"/>
          </w:tcPr>
          <w:p>
            <w:pPr>
              <w:spacing w:after="0"/>
              <w:rPr>
                <w:sz w:val="22"/>
                <w:szCs w:val="22"/>
                <w:color w:val="auto"/>
              </w:rPr>
            </w:pPr>
          </w:p>
        </w:tc>
        <w:tc>
          <w:tcPr>
            <w:tcW w:w="1260" w:type="dxa"/>
            <w:vAlign w:val="bottom"/>
            <w:gridSpan w:val="2"/>
            <w:vMerge w:val="restart"/>
          </w:tcPr>
          <w:p>
            <w:pPr>
              <w:ind w:left="300"/>
              <w:spacing w:after="0"/>
              <w:rPr>
                <w:sz w:val="20"/>
                <w:szCs w:val="20"/>
                <w:color w:val="auto"/>
              </w:rPr>
            </w:pPr>
            <w:r>
              <w:rPr>
                <w:rFonts w:ascii="Arial" w:cs="Arial" w:eastAsia="Arial" w:hAnsi="Arial"/>
                <w:sz w:val="14"/>
                <w:szCs w:val="14"/>
                <w:b w:val="1"/>
                <w:bCs w:val="1"/>
                <w:color w:val="auto"/>
              </w:rPr>
              <w:t>Member</w:t>
            </w:r>
          </w:p>
        </w:tc>
        <w:tc>
          <w:tcPr>
            <w:tcW w:w="340" w:type="dxa"/>
            <w:vAlign w:val="bottom"/>
          </w:tcPr>
          <w:p>
            <w:pPr>
              <w:spacing w:after="0"/>
              <w:rPr>
                <w:sz w:val="22"/>
                <w:szCs w:val="22"/>
                <w:color w:val="auto"/>
              </w:rPr>
            </w:pPr>
          </w:p>
        </w:tc>
        <w:tc>
          <w:tcPr>
            <w:tcW w:w="2480" w:type="dxa"/>
            <w:vAlign w:val="bottom"/>
            <w:gridSpan w:val="5"/>
          </w:tcPr>
          <w:p>
            <w:pPr>
              <w:ind w:left="400"/>
              <w:spacing w:after="0"/>
              <w:rPr>
                <w:sz w:val="20"/>
                <w:szCs w:val="20"/>
                <w:color w:val="auto"/>
              </w:rPr>
            </w:pPr>
            <w:r>
              <w:rPr>
                <w:rFonts w:ascii="Arial" w:cs="Arial" w:eastAsia="Arial" w:hAnsi="Arial"/>
                <w:sz w:val="14"/>
                <w:szCs w:val="14"/>
                <w:b w:val="1"/>
                <w:bCs w:val="1"/>
                <w:color w:val="auto"/>
              </w:rPr>
              <w:t>Premium Revenue</w:t>
            </w:r>
          </w:p>
        </w:tc>
        <w:tc>
          <w:tcPr>
            <w:tcW w:w="340" w:type="dxa"/>
            <w:vAlign w:val="bottom"/>
          </w:tcPr>
          <w:p>
            <w:pPr>
              <w:spacing w:after="0"/>
              <w:rPr>
                <w:sz w:val="22"/>
                <w:szCs w:val="22"/>
                <w:color w:val="auto"/>
              </w:rPr>
            </w:pPr>
          </w:p>
        </w:tc>
        <w:tc>
          <w:tcPr>
            <w:tcW w:w="2360" w:type="dxa"/>
            <w:vAlign w:val="bottom"/>
            <w:gridSpan w:val="4"/>
          </w:tcPr>
          <w:p>
            <w:pPr>
              <w:jc w:val="right"/>
              <w:ind w:right="600"/>
              <w:spacing w:after="0"/>
              <w:rPr>
                <w:sz w:val="20"/>
                <w:szCs w:val="20"/>
                <w:color w:val="auto"/>
              </w:rPr>
            </w:pPr>
            <w:r>
              <w:rPr>
                <w:rFonts w:ascii="Arial" w:cs="Arial" w:eastAsia="Arial" w:hAnsi="Arial"/>
                <w:sz w:val="14"/>
                <w:szCs w:val="14"/>
                <w:b w:val="1"/>
                <w:bCs w:val="1"/>
                <w:color w:val="auto"/>
              </w:rPr>
              <w:t>Medical Care Costs</w:t>
            </w:r>
          </w:p>
        </w:tc>
        <w:tc>
          <w:tcPr>
            <w:tcW w:w="12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0"/>
        </w:trPr>
        <w:tc>
          <w:tcPr>
            <w:tcW w:w="208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340" w:type="dxa"/>
            <w:vAlign w:val="bottom"/>
            <w:tcBorders>
              <w:top w:val="single" w:sz="8" w:color="auto"/>
            </w:tcBorders>
          </w:tcPr>
          <w:p>
            <w:pPr>
              <w:spacing w:after="0"/>
              <w:rPr>
                <w:sz w:val="5"/>
                <w:szCs w:val="5"/>
                <w:color w:val="auto"/>
              </w:rPr>
            </w:pPr>
          </w:p>
        </w:tc>
        <w:tc>
          <w:tcPr>
            <w:tcW w:w="1120" w:type="dxa"/>
            <w:vAlign w:val="bottom"/>
            <w:tcBorders>
              <w:top w:val="single" w:sz="8" w:color="auto"/>
            </w:tcBorders>
          </w:tcPr>
          <w:p>
            <w:pPr>
              <w:spacing w:after="0"/>
              <w:rPr>
                <w:sz w:val="5"/>
                <w:szCs w:val="5"/>
                <w:color w:val="auto"/>
              </w:rPr>
            </w:pPr>
          </w:p>
        </w:tc>
        <w:tc>
          <w:tcPr>
            <w:tcW w:w="120" w:type="dxa"/>
            <w:vAlign w:val="bottom"/>
            <w:tcBorders>
              <w:top w:val="single" w:sz="8" w:color="auto"/>
            </w:tcBorders>
          </w:tcPr>
          <w:p>
            <w:pPr>
              <w:spacing w:after="0"/>
              <w:rPr>
                <w:sz w:val="5"/>
                <w:szCs w:val="5"/>
                <w:color w:val="auto"/>
              </w:rPr>
            </w:pPr>
          </w:p>
        </w:tc>
        <w:tc>
          <w:tcPr>
            <w:tcW w:w="220" w:type="dxa"/>
            <w:vAlign w:val="bottom"/>
            <w:tcBorders>
              <w:top w:val="single" w:sz="8" w:color="auto"/>
            </w:tcBorders>
          </w:tcPr>
          <w:p>
            <w:pPr>
              <w:spacing w:after="0"/>
              <w:rPr>
                <w:sz w:val="5"/>
                <w:szCs w:val="5"/>
                <w:color w:val="auto"/>
              </w:rPr>
            </w:pPr>
          </w:p>
        </w:tc>
        <w:tc>
          <w:tcPr>
            <w:tcW w:w="900" w:type="dxa"/>
            <w:vAlign w:val="bottom"/>
            <w:tcBorders>
              <w:top w:val="single" w:sz="8" w:color="auto"/>
            </w:tcBorders>
          </w:tcPr>
          <w:p>
            <w:pPr>
              <w:spacing w:after="0"/>
              <w:rPr>
                <w:sz w:val="5"/>
                <w:szCs w:val="5"/>
                <w:color w:val="auto"/>
              </w:rPr>
            </w:pPr>
          </w:p>
        </w:tc>
        <w:tc>
          <w:tcPr>
            <w:tcW w:w="120" w:type="dxa"/>
            <w:vAlign w:val="bottom"/>
          </w:tcPr>
          <w:p>
            <w:pPr>
              <w:spacing w:after="0"/>
              <w:rPr>
                <w:sz w:val="5"/>
                <w:szCs w:val="5"/>
                <w:color w:val="auto"/>
              </w:rPr>
            </w:pPr>
          </w:p>
        </w:tc>
        <w:tc>
          <w:tcPr>
            <w:tcW w:w="340" w:type="dxa"/>
            <w:vAlign w:val="bottom"/>
            <w:tcBorders>
              <w:top w:val="single" w:sz="8" w:color="auto"/>
            </w:tcBorders>
          </w:tcPr>
          <w:p>
            <w:pPr>
              <w:spacing w:after="0"/>
              <w:rPr>
                <w:sz w:val="5"/>
                <w:szCs w:val="5"/>
                <w:color w:val="auto"/>
              </w:rPr>
            </w:pPr>
          </w:p>
        </w:tc>
        <w:tc>
          <w:tcPr>
            <w:tcW w:w="1120" w:type="dxa"/>
            <w:vAlign w:val="bottom"/>
            <w:tcBorders>
              <w:top w:val="single" w:sz="8" w:color="auto"/>
            </w:tcBorders>
          </w:tcPr>
          <w:p>
            <w:pPr>
              <w:spacing w:after="0"/>
              <w:rPr>
                <w:sz w:val="5"/>
                <w:szCs w:val="5"/>
                <w:color w:val="auto"/>
              </w:rPr>
            </w:pPr>
          </w:p>
        </w:tc>
        <w:tc>
          <w:tcPr>
            <w:tcW w:w="120" w:type="dxa"/>
            <w:vAlign w:val="bottom"/>
            <w:tcBorders>
              <w:top w:val="single" w:sz="8" w:color="auto"/>
            </w:tcBorders>
          </w:tcPr>
          <w:p>
            <w:pPr>
              <w:spacing w:after="0"/>
              <w:rPr>
                <w:sz w:val="5"/>
                <w:szCs w:val="5"/>
                <w:color w:val="auto"/>
              </w:rPr>
            </w:pPr>
          </w:p>
        </w:tc>
        <w:tc>
          <w:tcPr>
            <w:tcW w:w="220" w:type="dxa"/>
            <w:vAlign w:val="bottom"/>
            <w:tcBorders>
              <w:top w:val="single" w:sz="8" w:color="auto"/>
            </w:tcBorders>
          </w:tcPr>
          <w:p>
            <w:pPr>
              <w:spacing w:after="0"/>
              <w:rPr>
                <w:sz w:val="5"/>
                <w:szCs w:val="5"/>
                <w:color w:val="auto"/>
              </w:rPr>
            </w:pPr>
          </w:p>
        </w:tc>
        <w:tc>
          <w:tcPr>
            <w:tcW w:w="900" w:type="dxa"/>
            <w:vAlign w:val="bottom"/>
            <w:tcBorders>
              <w:top w:val="single" w:sz="8" w:color="auto"/>
            </w:tcBorders>
          </w:tcPr>
          <w:p>
            <w:pPr>
              <w:spacing w:after="0"/>
              <w:rPr>
                <w:sz w:val="5"/>
                <w:szCs w:val="5"/>
                <w:color w:val="auto"/>
              </w:rPr>
            </w:pPr>
          </w:p>
        </w:tc>
        <w:tc>
          <w:tcPr>
            <w:tcW w:w="120" w:type="dxa"/>
            <w:vAlign w:val="bottom"/>
          </w:tcPr>
          <w:p>
            <w:pPr>
              <w:spacing w:after="0"/>
              <w:rPr>
                <w:sz w:val="5"/>
                <w:szCs w:val="5"/>
                <w:color w:val="auto"/>
              </w:rPr>
            </w:pPr>
          </w:p>
        </w:tc>
        <w:tc>
          <w:tcPr>
            <w:tcW w:w="1200" w:type="dxa"/>
            <w:vAlign w:val="bottom"/>
          </w:tcPr>
          <w:p>
            <w:pPr>
              <w:spacing w:after="0"/>
              <w:rPr>
                <w:sz w:val="5"/>
                <w:szCs w:val="5"/>
                <w:color w:val="auto"/>
              </w:rPr>
            </w:pPr>
          </w:p>
        </w:tc>
        <w:tc>
          <w:tcPr>
            <w:tcW w:w="100" w:type="dxa"/>
            <w:vAlign w:val="bottom"/>
          </w:tcPr>
          <w:p>
            <w:pPr>
              <w:spacing w:after="0"/>
              <w:rPr>
                <w:sz w:val="5"/>
                <w:szCs w:val="5"/>
                <w:color w:val="auto"/>
              </w:rPr>
            </w:pPr>
          </w:p>
        </w:tc>
        <w:tc>
          <w:tcPr>
            <w:tcW w:w="380" w:type="dxa"/>
            <w:vAlign w:val="bottom"/>
          </w:tcPr>
          <w:p>
            <w:pPr>
              <w:spacing w:after="0"/>
              <w:rPr>
                <w:sz w:val="5"/>
                <w:szCs w:val="5"/>
                <w:color w:val="auto"/>
              </w:rPr>
            </w:pPr>
          </w:p>
        </w:tc>
        <w:tc>
          <w:tcPr>
            <w:tcW w:w="7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3"/>
        </w:trPr>
        <w:tc>
          <w:tcPr>
            <w:tcW w:w="2080" w:type="dxa"/>
            <w:vAlign w:val="bottom"/>
            <w:tcBorders>
              <w:bottom w:val="single" w:sz="8" w:color="CCEEFF"/>
            </w:tcBorders>
          </w:tcPr>
          <w:p>
            <w:pPr>
              <w:spacing w:after="0"/>
              <w:rPr>
                <w:sz w:val="17"/>
                <w:szCs w:val="17"/>
                <w:color w:val="auto"/>
              </w:rPr>
            </w:pPr>
          </w:p>
        </w:tc>
        <w:tc>
          <w:tcPr>
            <w:tcW w:w="1140" w:type="dxa"/>
            <w:vAlign w:val="bottom"/>
            <w:tcBorders>
              <w:bottom w:val="single" w:sz="8" w:color="auto"/>
            </w:tcBorders>
          </w:tcPr>
          <w:p>
            <w:pPr>
              <w:ind w:left="320"/>
              <w:spacing w:after="0"/>
              <w:rPr>
                <w:sz w:val="20"/>
                <w:szCs w:val="20"/>
                <w:color w:val="auto"/>
              </w:rPr>
            </w:pPr>
            <w:r>
              <w:rPr>
                <w:rFonts w:ascii="Arial" w:cs="Arial" w:eastAsia="Arial" w:hAnsi="Arial"/>
                <w:sz w:val="14"/>
                <w:szCs w:val="14"/>
                <w:b w:val="1"/>
                <w:bCs w:val="1"/>
                <w:color w:val="auto"/>
              </w:rPr>
              <w:t>Months</w:t>
            </w:r>
          </w:p>
        </w:tc>
        <w:tc>
          <w:tcPr>
            <w:tcW w:w="12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480"/>
              <w:spacing w:after="0"/>
              <w:rPr>
                <w:sz w:val="20"/>
                <w:szCs w:val="20"/>
                <w:color w:val="auto"/>
              </w:rPr>
            </w:pPr>
            <w:r>
              <w:rPr>
                <w:rFonts w:ascii="Arial" w:cs="Arial" w:eastAsia="Arial" w:hAnsi="Arial"/>
                <w:sz w:val="14"/>
                <w:szCs w:val="14"/>
                <w:b w:val="1"/>
                <w:bCs w:val="1"/>
                <w:color w:val="auto"/>
              </w:rPr>
              <w:t>Total</w:t>
            </w:r>
          </w:p>
        </w:tc>
        <w:tc>
          <w:tcPr>
            <w:tcW w:w="12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260"/>
              <w:spacing w:after="0"/>
              <w:rPr>
                <w:sz w:val="20"/>
                <w:szCs w:val="20"/>
                <w:color w:val="auto"/>
              </w:rPr>
            </w:pPr>
            <w:r>
              <w:rPr>
                <w:rFonts w:ascii="Arial" w:cs="Arial" w:eastAsia="Arial" w:hAnsi="Arial"/>
                <w:sz w:val="14"/>
                <w:szCs w:val="14"/>
                <w:b w:val="1"/>
                <w:bCs w:val="1"/>
                <w:color w:val="auto"/>
              </w:rPr>
              <w:t>PMPM</w:t>
            </w:r>
          </w:p>
        </w:tc>
        <w:tc>
          <w:tcPr>
            <w:tcW w:w="12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480"/>
              <w:spacing w:after="0"/>
              <w:rPr>
                <w:sz w:val="20"/>
                <w:szCs w:val="20"/>
                <w:color w:val="auto"/>
              </w:rPr>
            </w:pPr>
            <w:r>
              <w:rPr>
                <w:rFonts w:ascii="Arial" w:cs="Arial" w:eastAsia="Arial" w:hAnsi="Arial"/>
                <w:sz w:val="14"/>
                <w:szCs w:val="14"/>
                <w:b w:val="1"/>
                <w:bCs w:val="1"/>
                <w:color w:val="auto"/>
              </w:rPr>
              <w:t>Total</w:t>
            </w:r>
          </w:p>
        </w:tc>
        <w:tc>
          <w:tcPr>
            <w:tcW w:w="12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260"/>
              <w:spacing w:after="0"/>
              <w:rPr>
                <w:sz w:val="20"/>
                <w:szCs w:val="20"/>
                <w:color w:val="auto"/>
              </w:rPr>
            </w:pPr>
            <w:r>
              <w:rPr>
                <w:rFonts w:ascii="Arial" w:cs="Arial" w:eastAsia="Arial" w:hAnsi="Arial"/>
                <w:sz w:val="14"/>
                <w:szCs w:val="14"/>
                <w:b w:val="1"/>
                <w:bCs w:val="1"/>
                <w:color w:val="auto"/>
              </w:rPr>
              <w:t>PMPM</w:t>
            </w:r>
          </w:p>
        </w:tc>
        <w:tc>
          <w:tcPr>
            <w:tcW w:w="120" w:type="dxa"/>
            <w:vAlign w:val="bottom"/>
            <w:tcBorders>
              <w:bottom w:val="single" w:sz="8" w:color="CCEEFF"/>
            </w:tcBorders>
          </w:tcPr>
          <w:p>
            <w:pPr>
              <w:spacing w:after="0"/>
              <w:rPr>
                <w:sz w:val="17"/>
                <w:szCs w:val="17"/>
                <w:color w:val="auto"/>
              </w:rPr>
            </w:pPr>
          </w:p>
        </w:tc>
        <w:tc>
          <w:tcPr>
            <w:tcW w:w="1200" w:type="dxa"/>
            <w:vAlign w:val="bottom"/>
            <w:tcBorders>
              <w:bottom w:val="single" w:sz="8" w:color="auto"/>
            </w:tcBorders>
          </w:tcPr>
          <w:p>
            <w:pPr>
              <w:jc w:val="right"/>
              <w:ind w:right="363"/>
              <w:spacing w:after="0"/>
              <w:rPr>
                <w:sz w:val="20"/>
                <w:szCs w:val="20"/>
                <w:color w:val="auto"/>
              </w:rPr>
            </w:pPr>
            <w:r>
              <w:rPr>
                <w:rFonts w:ascii="Arial" w:cs="Arial" w:eastAsia="Arial" w:hAnsi="Arial"/>
                <w:sz w:val="14"/>
                <w:szCs w:val="14"/>
                <w:b w:val="1"/>
                <w:bCs w:val="1"/>
                <w:color w:val="auto"/>
              </w:rPr>
              <w:t>MCR</w:t>
            </w:r>
          </w:p>
        </w:tc>
        <w:tc>
          <w:tcPr>
            <w:tcW w:w="100" w:type="dxa"/>
            <w:vAlign w:val="bottom"/>
            <w:tcBorders>
              <w:bottom w:val="single" w:sz="8" w:color="CCEEFF"/>
            </w:tcBorders>
          </w:tcPr>
          <w:p>
            <w:pPr>
              <w:spacing w:after="0"/>
              <w:rPr>
                <w:sz w:val="17"/>
                <w:szCs w:val="17"/>
                <w:color w:val="auto"/>
              </w:rPr>
            </w:pPr>
          </w:p>
        </w:tc>
        <w:tc>
          <w:tcPr>
            <w:tcW w:w="1140" w:type="dxa"/>
            <w:vAlign w:val="bottom"/>
            <w:tcBorders>
              <w:bottom w:val="single" w:sz="8" w:color="auto"/>
            </w:tcBorders>
            <w:gridSpan w:val="2"/>
          </w:tcPr>
          <w:p>
            <w:pPr>
              <w:ind w:left="60"/>
              <w:spacing w:after="0"/>
              <w:rPr>
                <w:sz w:val="20"/>
                <w:szCs w:val="20"/>
                <w:color w:val="auto"/>
              </w:rPr>
            </w:pPr>
            <w:r>
              <w:rPr>
                <w:rFonts w:ascii="Arial" w:cs="Arial" w:eastAsia="Arial" w:hAnsi="Arial"/>
                <w:sz w:val="14"/>
                <w:szCs w:val="14"/>
                <w:b w:val="1"/>
                <w:bCs w:val="1"/>
                <w:color w:val="auto"/>
              </w:rPr>
              <w:t>Medical Margin</w:t>
            </w:r>
          </w:p>
        </w:tc>
        <w:tc>
          <w:tcPr>
            <w:tcW w:w="0" w:type="dxa"/>
            <w:vAlign w:val="bottom"/>
          </w:tcPr>
          <w:p>
            <w:pPr>
              <w:spacing w:after="0"/>
              <w:rPr>
                <w:sz w:val="1"/>
                <w:szCs w:val="1"/>
                <w:color w:val="auto"/>
              </w:rPr>
            </w:pPr>
          </w:p>
        </w:tc>
      </w:tr>
      <w:tr>
        <w:trPr>
          <w:trHeight w:val="251"/>
        </w:trPr>
        <w:tc>
          <w:tcPr>
            <w:tcW w:w="2080" w:type="dxa"/>
            <w:vAlign w:val="bottom"/>
            <w:shd w:val="clear" w:color="auto" w:fill="CCEEFF"/>
          </w:tcPr>
          <w:p>
            <w:pPr>
              <w:ind w:left="40"/>
              <w:spacing w:after="0"/>
              <w:rPr>
                <w:sz w:val="20"/>
                <w:szCs w:val="20"/>
                <w:color w:val="auto"/>
              </w:rPr>
            </w:pPr>
            <w:r>
              <w:rPr>
                <w:rFonts w:ascii="Arial" w:cs="Arial" w:eastAsia="Arial" w:hAnsi="Arial"/>
                <w:sz w:val="16"/>
                <w:szCs w:val="16"/>
                <w:color w:val="auto"/>
              </w:rPr>
              <w:t>California</w:t>
            </w:r>
          </w:p>
        </w:tc>
        <w:tc>
          <w:tcPr>
            <w:tcW w:w="114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2.1</w:t>
            </w:r>
          </w:p>
        </w:tc>
        <w:tc>
          <w:tcPr>
            <w:tcW w:w="120" w:type="dxa"/>
            <w:vAlign w:val="bottom"/>
            <w:shd w:val="clear" w:color="auto" w:fill="CCEEFF"/>
          </w:tcPr>
          <w:p>
            <w:pPr>
              <w:spacing w:after="0"/>
              <w:rPr>
                <w:sz w:val="21"/>
                <w:szCs w:val="21"/>
                <w:color w:val="auto"/>
              </w:rPr>
            </w:pPr>
          </w:p>
        </w:tc>
        <w:tc>
          <w:tcPr>
            <w:tcW w:w="3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612</w:t>
            </w:r>
          </w:p>
        </w:tc>
        <w:tc>
          <w:tcPr>
            <w:tcW w:w="3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90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298.05</w:t>
            </w:r>
          </w:p>
        </w:tc>
        <w:tc>
          <w:tcPr>
            <w:tcW w:w="120" w:type="dxa"/>
            <w:vAlign w:val="bottom"/>
            <w:shd w:val="clear" w:color="auto" w:fill="CCEEFF"/>
          </w:tcPr>
          <w:p>
            <w:pPr>
              <w:spacing w:after="0"/>
              <w:rPr>
                <w:sz w:val="21"/>
                <w:szCs w:val="21"/>
                <w:color w:val="auto"/>
              </w:rPr>
            </w:pPr>
          </w:p>
        </w:tc>
        <w:tc>
          <w:tcPr>
            <w:tcW w:w="3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12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523</w:t>
            </w:r>
          </w:p>
        </w:tc>
        <w:tc>
          <w:tcPr>
            <w:tcW w:w="3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90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254.11</w:t>
            </w: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85.3%</w:t>
            </w:r>
          </w:p>
        </w:tc>
        <w:tc>
          <w:tcPr>
            <w:tcW w:w="100" w:type="dxa"/>
            <w:vAlign w:val="bottom"/>
            <w:shd w:val="clear" w:color="auto" w:fill="CCEEFF"/>
          </w:tcPr>
          <w:p>
            <w:pPr>
              <w:spacing w:after="0"/>
              <w:rPr>
                <w:sz w:val="21"/>
                <w:szCs w:val="21"/>
                <w:color w:val="auto"/>
              </w:rPr>
            </w:pPr>
          </w:p>
        </w:tc>
        <w:tc>
          <w:tcPr>
            <w:tcW w:w="380" w:type="dxa"/>
            <w:vAlign w:val="bottom"/>
            <w:shd w:val="clear" w:color="auto" w:fill="CCEEFF"/>
          </w:tcPr>
          <w:p>
            <w:pPr>
              <w:ind w:left="40"/>
              <w:spacing w:after="0"/>
              <w:rPr>
                <w:sz w:val="20"/>
                <w:szCs w:val="20"/>
                <w:color w:val="auto"/>
              </w:rPr>
            </w:pPr>
            <w:r>
              <w:rPr>
                <w:rFonts w:ascii="Arial" w:cs="Arial" w:eastAsia="Arial" w:hAnsi="Arial"/>
                <w:sz w:val="16"/>
                <w:szCs w:val="16"/>
                <w:color w:val="auto"/>
              </w:rPr>
              <w:t>$</w:t>
            </w:r>
          </w:p>
        </w:tc>
        <w:tc>
          <w:tcPr>
            <w:tcW w:w="7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89</w:t>
            </w:r>
          </w:p>
        </w:tc>
        <w:tc>
          <w:tcPr>
            <w:tcW w:w="0" w:type="dxa"/>
            <w:vAlign w:val="bottom"/>
          </w:tcPr>
          <w:p>
            <w:pPr>
              <w:spacing w:after="0"/>
              <w:rPr>
                <w:sz w:val="1"/>
                <w:szCs w:val="1"/>
                <w:color w:val="auto"/>
              </w:rPr>
            </w:pPr>
          </w:p>
        </w:tc>
      </w:tr>
      <w:tr>
        <w:trPr>
          <w:trHeight w:val="262"/>
        </w:trPr>
        <w:tc>
          <w:tcPr>
            <w:tcW w:w="2080" w:type="dxa"/>
            <w:vAlign w:val="bottom"/>
          </w:tcPr>
          <w:p>
            <w:pPr>
              <w:ind w:left="40"/>
              <w:spacing w:after="0"/>
              <w:rPr>
                <w:sz w:val="20"/>
                <w:szCs w:val="20"/>
                <w:color w:val="auto"/>
              </w:rPr>
            </w:pPr>
            <w:r>
              <w:rPr>
                <w:rFonts w:ascii="Arial" w:cs="Arial" w:eastAsia="Arial" w:hAnsi="Arial"/>
                <w:sz w:val="16"/>
                <w:szCs w:val="16"/>
                <w:color w:val="auto"/>
              </w:rPr>
              <w:t>Florida</w:t>
            </w:r>
          </w:p>
        </w:tc>
        <w:tc>
          <w:tcPr>
            <w:tcW w:w="1140" w:type="dxa"/>
            <w:vAlign w:val="bottom"/>
          </w:tcPr>
          <w:p>
            <w:pPr>
              <w:jc w:val="right"/>
              <w:ind w:right="20"/>
              <w:spacing w:after="0"/>
              <w:rPr>
                <w:sz w:val="20"/>
                <w:szCs w:val="20"/>
                <w:color w:val="auto"/>
              </w:rPr>
            </w:pPr>
            <w:r>
              <w:rPr>
                <w:rFonts w:ascii="Arial" w:cs="Arial" w:eastAsia="Arial" w:hAnsi="Arial"/>
                <w:sz w:val="16"/>
                <w:szCs w:val="16"/>
                <w:color w:val="auto"/>
              </w:rPr>
              <w:t>1.6</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20" w:type="dxa"/>
            <w:vAlign w:val="bottom"/>
          </w:tcPr>
          <w:p>
            <w:pPr>
              <w:jc w:val="right"/>
              <w:ind w:right="20"/>
              <w:spacing w:after="0"/>
              <w:rPr>
                <w:sz w:val="20"/>
                <w:szCs w:val="20"/>
                <w:color w:val="auto"/>
              </w:rPr>
            </w:pPr>
            <w:r>
              <w:rPr>
                <w:rFonts w:ascii="Arial" w:cs="Arial" w:eastAsia="Arial" w:hAnsi="Arial"/>
                <w:sz w:val="16"/>
                <w:szCs w:val="16"/>
                <w:color w:val="auto"/>
              </w:rPr>
              <w:t>494</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297.24</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20" w:type="dxa"/>
            <w:vAlign w:val="bottom"/>
          </w:tcPr>
          <w:p>
            <w:pPr>
              <w:jc w:val="right"/>
              <w:ind w:right="20"/>
              <w:spacing w:after="0"/>
              <w:rPr>
                <w:sz w:val="20"/>
                <w:szCs w:val="20"/>
                <w:color w:val="auto"/>
              </w:rPr>
            </w:pPr>
            <w:r>
              <w:rPr>
                <w:rFonts w:ascii="Arial" w:cs="Arial" w:eastAsia="Arial" w:hAnsi="Arial"/>
                <w:sz w:val="16"/>
                <w:szCs w:val="16"/>
                <w:color w:val="auto"/>
              </w:rPr>
              <w:t>462</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277.79</w:t>
            </w:r>
          </w:p>
        </w:tc>
        <w:tc>
          <w:tcPr>
            <w:tcW w:w="1320" w:type="dxa"/>
            <w:vAlign w:val="bottom"/>
            <w:gridSpan w:val="2"/>
          </w:tcPr>
          <w:p>
            <w:pPr>
              <w:jc w:val="right"/>
              <w:ind w:right="103"/>
              <w:spacing w:after="0"/>
              <w:rPr>
                <w:sz w:val="20"/>
                <w:szCs w:val="20"/>
                <w:color w:val="auto"/>
              </w:rPr>
            </w:pPr>
            <w:r>
              <w:rPr>
                <w:rFonts w:ascii="Arial" w:cs="Arial" w:eastAsia="Arial" w:hAnsi="Arial"/>
                <w:sz w:val="16"/>
                <w:szCs w:val="16"/>
                <w:color w:val="auto"/>
              </w:rPr>
              <w:t>93.5</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760" w:type="dxa"/>
            <w:vAlign w:val="bottom"/>
          </w:tcPr>
          <w:p>
            <w:pPr>
              <w:jc w:val="right"/>
              <w:ind w:right="19"/>
              <w:spacing w:after="0"/>
              <w:rPr>
                <w:sz w:val="20"/>
                <w:szCs w:val="20"/>
                <w:color w:val="auto"/>
              </w:rPr>
            </w:pPr>
            <w:r>
              <w:rPr>
                <w:rFonts w:ascii="Arial" w:cs="Arial" w:eastAsia="Arial" w:hAnsi="Arial"/>
                <w:sz w:val="16"/>
                <w:szCs w:val="16"/>
                <w:color w:val="auto"/>
              </w:rPr>
              <w:t>32</w:t>
            </w:r>
          </w:p>
        </w:tc>
        <w:tc>
          <w:tcPr>
            <w:tcW w:w="0" w:type="dxa"/>
            <w:vAlign w:val="bottom"/>
          </w:tcPr>
          <w:p>
            <w:pPr>
              <w:spacing w:after="0"/>
              <w:rPr>
                <w:sz w:val="1"/>
                <w:szCs w:val="1"/>
                <w:color w:val="auto"/>
              </w:rPr>
            </w:pPr>
          </w:p>
        </w:tc>
      </w:tr>
      <w:tr>
        <w:trPr>
          <w:trHeight w:val="278"/>
        </w:trPr>
        <w:tc>
          <w:tcPr>
            <w:tcW w:w="2080" w:type="dxa"/>
            <w:vAlign w:val="bottom"/>
            <w:shd w:val="clear" w:color="auto" w:fill="CCEEFF"/>
          </w:tcPr>
          <w:p>
            <w:pPr>
              <w:ind w:left="40"/>
              <w:spacing w:after="0"/>
              <w:rPr>
                <w:sz w:val="20"/>
                <w:szCs w:val="20"/>
                <w:color w:val="auto"/>
              </w:rPr>
            </w:pPr>
            <w:r>
              <w:rPr>
                <w:rFonts w:ascii="Arial" w:cs="Arial" w:eastAsia="Arial" w:hAnsi="Arial"/>
                <w:sz w:val="16"/>
                <w:szCs w:val="16"/>
                <w:color w:val="auto"/>
              </w:rPr>
              <w:t>Illinois</w:t>
            </w:r>
          </w:p>
        </w:tc>
        <w:tc>
          <w:tcPr>
            <w:tcW w:w="114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0.6</w:t>
            </w: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163</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275.26</w:t>
            </w: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145</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244.86</w:t>
            </w:r>
          </w:p>
        </w:tc>
        <w:tc>
          <w:tcPr>
            <w:tcW w:w="1320" w:type="dxa"/>
            <w:vAlign w:val="bottom"/>
            <w:gridSpan w:val="2"/>
            <w:shd w:val="clear" w:color="auto" w:fill="CCEEFF"/>
          </w:tcPr>
          <w:p>
            <w:pPr>
              <w:jc w:val="right"/>
              <w:ind w:right="103"/>
              <w:spacing w:after="0"/>
              <w:rPr>
                <w:sz w:val="20"/>
                <w:szCs w:val="20"/>
                <w:color w:val="auto"/>
              </w:rPr>
            </w:pPr>
            <w:r>
              <w:rPr>
                <w:rFonts w:ascii="Arial" w:cs="Arial" w:eastAsia="Arial" w:hAnsi="Arial"/>
                <w:sz w:val="16"/>
                <w:szCs w:val="16"/>
                <w:color w:val="auto"/>
              </w:rPr>
              <w:t>89.0</w:t>
            </w: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7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18</w:t>
            </w:r>
          </w:p>
        </w:tc>
        <w:tc>
          <w:tcPr>
            <w:tcW w:w="0" w:type="dxa"/>
            <w:vAlign w:val="bottom"/>
          </w:tcPr>
          <w:p>
            <w:pPr>
              <w:spacing w:after="0"/>
              <w:rPr>
                <w:sz w:val="1"/>
                <w:szCs w:val="1"/>
                <w:color w:val="auto"/>
              </w:rPr>
            </w:pPr>
          </w:p>
        </w:tc>
      </w:tr>
      <w:tr>
        <w:trPr>
          <w:trHeight w:val="262"/>
        </w:trPr>
        <w:tc>
          <w:tcPr>
            <w:tcW w:w="2080" w:type="dxa"/>
            <w:vAlign w:val="bottom"/>
          </w:tcPr>
          <w:p>
            <w:pPr>
              <w:ind w:left="40"/>
              <w:spacing w:after="0"/>
              <w:rPr>
                <w:sz w:val="20"/>
                <w:szCs w:val="20"/>
                <w:color w:val="auto"/>
              </w:rPr>
            </w:pPr>
            <w:r>
              <w:rPr>
                <w:rFonts w:ascii="Arial" w:cs="Arial" w:eastAsia="Arial" w:hAnsi="Arial"/>
                <w:sz w:val="16"/>
                <w:szCs w:val="16"/>
                <w:color w:val="auto"/>
              </w:rPr>
              <w:t>Michigan</w:t>
            </w:r>
          </w:p>
        </w:tc>
        <w:tc>
          <w:tcPr>
            <w:tcW w:w="1140" w:type="dxa"/>
            <w:vAlign w:val="bottom"/>
          </w:tcPr>
          <w:p>
            <w:pPr>
              <w:jc w:val="right"/>
              <w:ind w:right="20"/>
              <w:spacing w:after="0"/>
              <w:rPr>
                <w:sz w:val="20"/>
                <w:szCs w:val="20"/>
                <w:color w:val="auto"/>
              </w:rPr>
            </w:pPr>
            <w:r>
              <w:rPr>
                <w:rFonts w:ascii="Arial" w:cs="Arial" w:eastAsia="Arial" w:hAnsi="Arial"/>
                <w:sz w:val="16"/>
                <w:szCs w:val="16"/>
                <w:color w:val="auto"/>
              </w:rPr>
              <w:t>1.2</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20" w:type="dxa"/>
            <w:vAlign w:val="bottom"/>
          </w:tcPr>
          <w:p>
            <w:pPr>
              <w:jc w:val="right"/>
              <w:ind w:right="20"/>
              <w:spacing w:after="0"/>
              <w:rPr>
                <w:sz w:val="20"/>
                <w:szCs w:val="20"/>
                <w:color w:val="auto"/>
              </w:rPr>
            </w:pPr>
            <w:r>
              <w:rPr>
                <w:rFonts w:ascii="Arial" w:cs="Arial" w:eastAsia="Arial" w:hAnsi="Arial"/>
                <w:sz w:val="16"/>
                <w:szCs w:val="16"/>
                <w:color w:val="auto"/>
              </w:rPr>
              <w:t>387</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334.25</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20" w:type="dxa"/>
            <w:vAlign w:val="bottom"/>
          </w:tcPr>
          <w:p>
            <w:pPr>
              <w:jc w:val="right"/>
              <w:ind w:right="20"/>
              <w:spacing w:after="0"/>
              <w:rPr>
                <w:sz w:val="20"/>
                <w:szCs w:val="20"/>
                <w:color w:val="auto"/>
              </w:rPr>
            </w:pPr>
            <w:r>
              <w:rPr>
                <w:rFonts w:ascii="Arial" w:cs="Arial" w:eastAsia="Arial" w:hAnsi="Arial"/>
                <w:sz w:val="16"/>
                <w:szCs w:val="16"/>
                <w:color w:val="auto"/>
              </w:rPr>
              <w:t>337</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290.16</w:t>
            </w:r>
          </w:p>
        </w:tc>
        <w:tc>
          <w:tcPr>
            <w:tcW w:w="1320" w:type="dxa"/>
            <w:vAlign w:val="bottom"/>
            <w:gridSpan w:val="2"/>
          </w:tcPr>
          <w:p>
            <w:pPr>
              <w:jc w:val="right"/>
              <w:ind w:right="103"/>
              <w:spacing w:after="0"/>
              <w:rPr>
                <w:sz w:val="20"/>
                <w:szCs w:val="20"/>
                <w:color w:val="auto"/>
              </w:rPr>
            </w:pPr>
            <w:r>
              <w:rPr>
                <w:rFonts w:ascii="Arial" w:cs="Arial" w:eastAsia="Arial" w:hAnsi="Arial"/>
                <w:sz w:val="16"/>
                <w:szCs w:val="16"/>
                <w:color w:val="auto"/>
              </w:rPr>
              <w:t>86.8</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760" w:type="dxa"/>
            <w:vAlign w:val="bottom"/>
          </w:tcPr>
          <w:p>
            <w:pPr>
              <w:jc w:val="right"/>
              <w:ind w:right="19"/>
              <w:spacing w:after="0"/>
              <w:rPr>
                <w:sz w:val="20"/>
                <w:szCs w:val="20"/>
                <w:color w:val="auto"/>
              </w:rPr>
            </w:pPr>
            <w:r>
              <w:rPr>
                <w:rFonts w:ascii="Arial" w:cs="Arial" w:eastAsia="Arial" w:hAnsi="Arial"/>
                <w:sz w:val="16"/>
                <w:szCs w:val="16"/>
                <w:color w:val="auto"/>
              </w:rPr>
              <w:t>50</w:t>
            </w:r>
          </w:p>
        </w:tc>
        <w:tc>
          <w:tcPr>
            <w:tcW w:w="0" w:type="dxa"/>
            <w:vAlign w:val="bottom"/>
          </w:tcPr>
          <w:p>
            <w:pPr>
              <w:spacing w:after="0"/>
              <w:rPr>
                <w:sz w:val="1"/>
                <w:szCs w:val="1"/>
                <w:color w:val="auto"/>
              </w:rPr>
            </w:pPr>
          </w:p>
        </w:tc>
      </w:tr>
      <w:tr>
        <w:trPr>
          <w:trHeight w:val="278"/>
        </w:trPr>
        <w:tc>
          <w:tcPr>
            <w:tcW w:w="2080" w:type="dxa"/>
            <w:vAlign w:val="bottom"/>
            <w:shd w:val="clear" w:color="auto" w:fill="CCEEFF"/>
          </w:tcPr>
          <w:p>
            <w:pPr>
              <w:ind w:left="40"/>
              <w:spacing w:after="0"/>
              <w:rPr>
                <w:sz w:val="20"/>
                <w:szCs w:val="20"/>
                <w:color w:val="auto"/>
              </w:rPr>
            </w:pPr>
            <w:r>
              <w:rPr>
                <w:rFonts w:ascii="Arial" w:cs="Arial" w:eastAsia="Arial" w:hAnsi="Arial"/>
                <w:sz w:val="16"/>
                <w:szCs w:val="16"/>
                <w:color w:val="auto"/>
              </w:rPr>
              <w:t>New Mexico</w:t>
            </w:r>
          </w:p>
        </w:tc>
        <w:tc>
          <w:tcPr>
            <w:tcW w:w="114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0.8</w:t>
            </w: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338</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440.12</w:t>
            </w: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304</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396.35</w:t>
            </w:r>
          </w:p>
        </w:tc>
        <w:tc>
          <w:tcPr>
            <w:tcW w:w="1320" w:type="dxa"/>
            <w:vAlign w:val="bottom"/>
            <w:gridSpan w:val="2"/>
            <w:shd w:val="clear" w:color="auto" w:fill="CCEEFF"/>
          </w:tcPr>
          <w:p>
            <w:pPr>
              <w:jc w:val="right"/>
              <w:ind w:right="103"/>
              <w:spacing w:after="0"/>
              <w:rPr>
                <w:sz w:val="20"/>
                <w:szCs w:val="20"/>
                <w:color w:val="auto"/>
              </w:rPr>
            </w:pPr>
            <w:r>
              <w:rPr>
                <w:rFonts w:ascii="Arial" w:cs="Arial" w:eastAsia="Arial" w:hAnsi="Arial"/>
                <w:sz w:val="16"/>
                <w:szCs w:val="16"/>
                <w:color w:val="auto"/>
              </w:rPr>
              <w:t>90.1</w:t>
            </w: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7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34</w:t>
            </w:r>
          </w:p>
        </w:tc>
        <w:tc>
          <w:tcPr>
            <w:tcW w:w="0" w:type="dxa"/>
            <w:vAlign w:val="bottom"/>
          </w:tcPr>
          <w:p>
            <w:pPr>
              <w:spacing w:after="0"/>
              <w:rPr>
                <w:sz w:val="1"/>
                <w:szCs w:val="1"/>
                <w:color w:val="auto"/>
              </w:rPr>
            </w:pPr>
          </w:p>
        </w:tc>
      </w:tr>
      <w:tr>
        <w:trPr>
          <w:trHeight w:val="270"/>
        </w:trPr>
        <w:tc>
          <w:tcPr>
            <w:tcW w:w="2080" w:type="dxa"/>
            <w:vAlign w:val="bottom"/>
          </w:tcPr>
          <w:p>
            <w:pPr>
              <w:ind w:left="40"/>
              <w:spacing w:after="0"/>
              <w:rPr>
                <w:sz w:val="20"/>
                <w:szCs w:val="20"/>
                <w:color w:val="auto"/>
              </w:rPr>
            </w:pPr>
            <w:r>
              <w:rPr>
                <w:rFonts w:ascii="Arial" w:cs="Arial" w:eastAsia="Arial" w:hAnsi="Arial"/>
                <w:sz w:val="16"/>
                <w:szCs w:val="16"/>
                <w:color w:val="auto"/>
              </w:rPr>
              <w:t xml:space="preserve">New York </w:t>
            </w:r>
            <w:r>
              <w:rPr>
                <w:rFonts w:ascii="Arial" w:cs="Arial" w:eastAsia="Arial" w:hAnsi="Arial"/>
                <w:sz w:val="21"/>
                <w:szCs w:val="21"/>
                <w:color w:val="auto"/>
                <w:vertAlign w:val="superscript"/>
              </w:rPr>
              <w:t>(1)</w:t>
            </w:r>
          </w:p>
        </w:tc>
        <w:tc>
          <w:tcPr>
            <w:tcW w:w="1140" w:type="dxa"/>
            <w:vAlign w:val="bottom"/>
          </w:tcPr>
          <w:p>
            <w:pPr>
              <w:jc w:val="right"/>
              <w:ind w:right="20"/>
              <w:spacing w:after="0"/>
              <w:rPr>
                <w:sz w:val="20"/>
                <w:szCs w:val="20"/>
                <w:color w:val="auto"/>
              </w:rPr>
            </w:pPr>
            <w:r>
              <w:rPr>
                <w:rFonts w:ascii="Arial" w:cs="Arial" w:eastAsia="Arial" w:hAnsi="Arial"/>
                <w:sz w:val="16"/>
                <w:szCs w:val="16"/>
                <w:color w:val="auto"/>
              </w:rPr>
              <w:t>0.1</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20" w:type="dxa"/>
            <w:vAlign w:val="bottom"/>
          </w:tcPr>
          <w:p>
            <w:pPr>
              <w:jc w:val="right"/>
              <w:ind w:right="20"/>
              <w:spacing w:after="0"/>
              <w:rPr>
                <w:sz w:val="20"/>
                <w:szCs w:val="20"/>
                <w:color w:val="auto"/>
              </w:rPr>
            </w:pPr>
            <w:r>
              <w:rPr>
                <w:rFonts w:ascii="Arial" w:cs="Arial" w:eastAsia="Arial" w:hAnsi="Arial"/>
                <w:sz w:val="16"/>
                <w:szCs w:val="16"/>
                <w:color w:val="auto"/>
              </w:rPr>
              <w:t>32</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427.40</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20" w:type="dxa"/>
            <w:vAlign w:val="bottom"/>
          </w:tcPr>
          <w:p>
            <w:pPr>
              <w:jc w:val="right"/>
              <w:ind w:right="20"/>
              <w:spacing w:after="0"/>
              <w:rPr>
                <w:sz w:val="20"/>
                <w:szCs w:val="20"/>
                <w:color w:val="auto"/>
              </w:rPr>
            </w:pPr>
            <w:r>
              <w:rPr>
                <w:rFonts w:ascii="Arial" w:cs="Arial" w:eastAsia="Arial" w:hAnsi="Arial"/>
                <w:sz w:val="16"/>
                <w:szCs w:val="16"/>
                <w:color w:val="auto"/>
              </w:rPr>
              <w:t>30</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403.71</w:t>
            </w:r>
          </w:p>
        </w:tc>
        <w:tc>
          <w:tcPr>
            <w:tcW w:w="1320" w:type="dxa"/>
            <w:vAlign w:val="bottom"/>
            <w:gridSpan w:val="2"/>
          </w:tcPr>
          <w:p>
            <w:pPr>
              <w:jc w:val="right"/>
              <w:ind w:right="103"/>
              <w:spacing w:after="0"/>
              <w:rPr>
                <w:sz w:val="20"/>
                <w:szCs w:val="20"/>
                <w:color w:val="auto"/>
              </w:rPr>
            </w:pPr>
            <w:r>
              <w:rPr>
                <w:rFonts w:ascii="Arial" w:cs="Arial" w:eastAsia="Arial" w:hAnsi="Arial"/>
                <w:sz w:val="16"/>
                <w:szCs w:val="16"/>
                <w:color w:val="auto"/>
              </w:rPr>
              <w:t>94.5</w:t>
            </w: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760" w:type="dxa"/>
            <w:vAlign w:val="bottom"/>
          </w:tcPr>
          <w:p>
            <w:pPr>
              <w:jc w:val="right"/>
              <w:ind w:right="19"/>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270"/>
        </w:trPr>
        <w:tc>
          <w:tcPr>
            <w:tcW w:w="2080" w:type="dxa"/>
            <w:vAlign w:val="bottom"/>
            <w:shd w:val="clear" w:color="auto" w:fill="CCEEFF"/>
          </w:tcPr>
          <w:p>
            <w:pPr>
              <w:ind w:left="40"/>
              <w:spacing w:after="0"/>
              <w:rPr>
                <w:sz w:val="20"/>
                <w:szCs w:val="20"/>
                <w:color w:val="auto"/>
              </w:rPr>
            </w:pPr>
            <w:r>
              <w:rPr>
                <w:rFonts w:ascii="Arial" w:cs="Arial" w:eastAsia="Arial" w:hAnsi="Arial"/>
                <w:sz w:val="16"/>
                <w:szCs w:val="16"/>
                <w:color w:val="auto"/>
              </w:rPr>
              <w:t>Ohio</w:t>
            </w:r>
          </w:p>
        </w:tc>
        <w:tc>
          <w:tcPr>
            <w:tcW w:w="114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1.0</w:t>
            </w:r>
          </w:p>
        </w:tc>
        <w:tc>
          <w:tcPr>
            <w:tcW w:w="12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2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501</w:t>
            </w: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90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491.51</w:t>
            </w:r>
          </w:p>
        </w:tc>
        <w:tc>
          <w:tcPr>
            <w:tcW w:w="12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2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424</w:t>
            </w: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90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415.87</w:t>
            </w:r>
          </w:p>
        </w:tc>
        <w:tc>
          <w:tcPr>
            <w:tcW w:w="1320" w:type="dxa"/>
            <w:vAlign w:val="bottom"/>
            <w:gridSpan w:val="2"/>
            <w:shd w:val="clear" w:color="auto" w:fill="CCEEFF"/>
          </w:tcPr>
          <w:p>
            <w:pPr>
              <w:jc w:val="right"/>
              <w:ind w:right="103"/>
              <w:spacing w:after="0"/>
              <w:rPr>
                <w:sz w:val="20"/>
                <w:szCs w:val="20"/>
                <w:color w:val="auto"/>
              </w:rPr>
            </w:pPr>
            <w:r>
              <w:rPr>
                <w:rFonts w:ascii="Arial" w:cs="Arial" w:eastAsia="Arial" w:hAnsi="Arial"/>
                <w:sz w:val="16"/>
                <w:szCs w:val="16"/>
                <w:color w:val="auto"/>
              </w:rPr>
              <w:t>84.6</w:t>
            </w:r>
          </w:p>
        </w:tc>
        <w:tc>
          <w:tcPr>
            <w:tcW w:w="10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7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77</w:t>
            </w:r>
          </w:p>
        </w:tc>
        <w:tc>
          <w:tcPr>
            <w:tcW w:w="0" w:type="dxa"/>
            <w:vAlign w:val="bottom"/>
          </w:tcPr>
          <w:p>
            <w:pPr>
              <w:spacing w:after="0"/>
              <w:rPr>
                <w:sz w:val="1"/>
                <w:szCs w:val="1"/>
                <w:color w:val="auto"/>
              </w:rPr>
            </w:pPr>
          </w:p>
        </w:tc>
      </w:tr>
      <w:tr>
        <w:trPr>
          <w:trHeight w:val="262"/>
        </w:trPr>
        <w:tc>
          <w:tcPr>
            <w:tcW w:w="2080" w:type="dxa"/>
            <w:vAlign w:val="bottom"/>
          </w:tcPr>
          <w:p>
            <w:pPr>
              <w:ind w:left="40"/>
              <w:spacing w:after="0"/>
              <w:rPr>
                <w:sz w:val="20"/>
                <w:szCs w:val="20"/>
                <w:color w:val="auto"/>
              </w:rPr>
            </w:pPr>
            <w:r>
              <w:rPr>
                <w:rFonts w:ascii="Arial" w:cs="Arial" w:eastAsia="Arial" w:hAnsi="Arial"/>
                <w:sz w:val="16"/>
                <w:szCs w:val="16"/>
                <w:color w:val="auto"/>
              </w:rPr>
              <w:t>Puerto Rico</w:t>
            </w:r>
          </w:p>
        </w:tc>
        <w:tc>
          <w:tcPr>
            <w:tcW w:w="1140" w:type="dxa"/>
            <w:vAlign w:val="bottom"/>
          </w:tcPr>
          <w:p>
            <w:pPr>
              <w:jc w:val="right"/>
              <w:ind w:right="20"/>
              <w:spacing w:after="0"/>
              <w:rPr>
                <w:sz w:val="20"/>
                <w:szCs w:val="20"/>
                <w:color w:val="auto"/>
              </w:rPr>
            </w:pPr>
            <w:r>
              <w:rPr>
                <w:rFonts w:ascii="Arial" w:cs="Arial" w:eastAsia="Arial" w:hAnsi="Arial"/>
                <w:sz w:val="16"/>
                <w:szCs w:val="16"/>
                <w:color w:val="auto"/>
              </w:rPr>
              <w:t>1.0</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20" w:type="dxa"/>
            <w:vAlign w:val="bottom"/>
          </w:tcPr>
          <w:p>
            <w:pPr>
              <w:jc w:val="right"/>
              <w:ind w:right="20"/>
              <w:spacing w:after="0"/>
              <w:rPr>
                <w:sz w:val="20"/>
                <w:szCs w:val="20"/>
                <w:color w:val="auto"/>
              </w:rPr>
            </w:pPr>
            <w:r>
              <w:rPr>
                <w:rFonts w:ascii="Arial" w:cs="Arial" w:eastAsia="Arial" w:hAnsi="Arial"/>
                <w:sz w:val="16"/>
                <w:szCs w:val="16"/>
                <w:color w:val="auto"/>
              </w:rPr>
              <w:t>184</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183.46</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20" w:type="dxa"/>
            <w:vAlign w:val="bottom"/>
          </w:tcPr>
          <w:p>
            <w:pPr>
              <w:jc w:val="right"/>
              <w:ind w:right="20"/>
              <w:spacing w:after="0"/>
              <w:rPr>
                <w:sz w:val="20"/>
                <w:szCs w:val="20"/>
                <w:color w:val="auto"/>
              </w:rPr>
            </w:pPr>
            <w:r>
              <w:rPr>
                <w:rFonts w:ascii="Arial" w:cs="Arial" w:eastAsia="Arial" w:hAnsi="Arial"/>
                <w:sz w:val="16"/>
                <w:szCs w:val="16"/>
                <w:color w:val="auto"/>
              </w:rPr>
              <w:t>167</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167.44</w:t>
            </w:r>
          </w:p>
        </w:tc>
        <w:tc>
          <w:tcPr>
            <w:tcW w:w="1320" w:type="dxa"/>
            <w:vAlign w:val="bottom"/>
            <w:gridSpan w:val="2"/>
          </w:tcPr>
          <w:p>
            <w:pPr>
              <w:jc w:val="right"/>
              <w:ind w:right="103"/>
              <w:spacing w:after="0"/>
              <w:rPr>
                <w:sz w:val="20"/>
                <w:szCs w:val="20"/>
                <w:color w:val="auto"/>
              </w:rPr>
            </w:pPr>
            <w:r>
              <w:rPr>
                <w:rFonts w:ascii="Arial" w:cs="Arial" w:eastAsia="Arial" w:hAnsi="Arial"/>
                <w:sz w:val="16"/>
                <w:szCs w:val="16"/>
                <w:color w:val="auto"/>
              </w:rPr>
              <w:t>91.3</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760" w:type="dxa"/>
            <w:vAlign w:val="bottom"/>
          </w:tcPr>
          <w:p>
            <w:pPr>
              <w:jc w:val="right"/>
              <w:ind w:right="19"/>
              <w:spacing w:after="0"/>
              <w:rPr>
                <w:sz w:val="20"/>
                <w:szCs w:val="20"/>
                <w:color w:val="auto"/>
              </w:rPr>
            </w:pPr>
            <w:r>
              <w:rPr>
                <w:rFonts w:ascii="Arial" w:cs="Arial" w:eastAsia="Arial" w:hAnsi="Arial"/>
                <w:sz w:val="16"/>
                <w:szCs w:val="16"/>
                <w:color w:val="auto"/>
              </w:rPr>
              <w:t>17</w:t>
            </w:r>
          </w:p>
        </w:tc>
        <w:tc>
          <w:tcPr>
            <w:tcW w:w="0" w:type="dxa"/>
            <w:vAlign w:val="bottom"/>
          </w:tcPr>
          <w:p>
            <w:pPr>
              <w:spacing w:after="0"/>
              <w:rPr>
                <w:sz w:val="1"/>
                <w:szCs w:val="1"/>
                <w:color w:val="auto"/>
              </w:rPr>
            </w:pPr>
          </w:p>
        </w:tc>
      </w:tr>
      <w:tr>
        <w:trPr>
          <w:trHeight w:val="278"/>
        </w:trPr>
        <w:tc>
          <w:tcPr>
            <w:tcW w:w="2080" w:type="dxa"/>
            <w:vAlign w:val="bottom"/>
            <w:shd w:val="clear" w:color="auto" w:fill="CCEEFF"/>
          </w:tcPr>
          <w:p>
            <w:pPr>
              <w:ind w:left="40"/>
              <w:spacing w:after="0"/>
              <w:rPr>
                <w:sz w:val="20"/>
                <w:szCs w:val="20"/>
                <w:color w:val="auto"/>
              </w:rPr>
            </w:pPr>
            <w:r>
              <w:rPr>
                <w:rFonts w:ascii="Arial" w:cs="Arial" w:eastAsia="Arial" w:hAnsi="Arial"/>
                <w:sz w:val="16"/>
                <w:szCs w:val="16"/>
                <w:color w:val="auto"/>
              </w:rPr>
              <w:t>South Carolina</w:t>
            </w:r>
          </w:p>
        </w:tc>
        <w:tc>
          <w:tcPr>
            <w:tcW w:w="114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0.3</w:t>
            </w: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102</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312.28</w:t>
            </w: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94</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285.97</w:t>
            </w:r>
          </w:p>
        </w:tc>
        <w:tc>
          <w:tcPr>
            <w:tcW w:w="1320" w:type="dxa"/>
            <w:vAlign w:val="bottom"/>
            <w:gridSpan w:val="2"/>
            <w:shd w:val="clear" w:color="auto" w:fill="CCEEFF"/>
          </w:tcPr>
          <w:p>
            <w:pPr>
              <w:jc w:val="right"/>
              <w:ind w:right="103"/>
              <w:spacing w:after="0"/>
              <w:rPr>
                <w:sz w:val="20"/>
                <w:szCs w:val="20"/>
                <w:color w:val="auto"/>
              </w:rPr>
            </w:pPr>
            <w:r>
              <w:rPr>
                <w:rFonts w:ascii="Arial" w:cs="Arial" w:eastAsia="Arial" w:hAnsi="Arial"/>
                <w:sz w:val="16"/>
                <w:szCs w:val="16"/>
                <w:color w:val="auto"/>
              </w:rPr>
              <w:t>91.6</w:t>
            </w: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7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8</w:t>
            </w:r>
          </w:p>
        </w:tc>
        <w:tc>
          <w:tcPr>
            <w:tcW w:w="0" w:type="dxa"/>
            <w:vAlign w:val="bottom"/>
          </w:tcPr>
          <w:p>
            <w:pPr>
              <w:spacing w:after="0"/>
              <w:rPr>
                <w:sz w:val="1"/>
                <w:szCs w:val="1"/>
                <w:color w:val="auto"/>
              </w:rPr>
            </w:pPr>
          </w:p>
        </w:tc>
      </w:tr>
      <w:tr>
        <w:trPr>
          <w:trHeight w:val="262"/>
        </w:trPr>
        <w:tc>
          <w:tcPr>
            <w:tcW w:w="2080" w:type="dxa"/>
            <w:vAlign w:val="bottom"/>
          </w:tcPr>
          <w:p>
            <w:pPr>
              <w:ind w:left="40"/>
              <w:spacing w:after="0"/>
              <w:rPr>
                <w:sz w:val="20"/>
                <w:szCs w:val="20"/>
                <w:color w:val="auto"/>
              </w:rPr>
            </w:pPr>
            <w:r>
              <w:rPr>
                <w:rFonts w:ascii="Arial" w:cs="Arial" w:eastAsia="Arial" w:hAnsi="Arial"/>
                <w:sz w:val="16"/>
                <w:szCs w:val="16"/>
                <w:color w:val="auto"/>
              </w:rPr>
              <w:t>Texas</w:t>
            </w:r>
          </w:p>
        </w:tc>
        <w:tc>
          <w:tcPr>
            <w:tcW w:w="1140" w:type="dxa"/>
            <w:vAlign w:val="bottom"/>
          </w:tcPr>
          <w:p>
            <w:pPr>
              <w:jc w:val="right"/>
              <w:ind w:right="20"/>
              <w:spacing w:after="0"/>
              <w:rPr>
                <w:sz w:val="20"/>
                <w:szCs w:val="20"/>
                <w:color w:val="auto"/>
              </w:rPr>
            </w:pPr>
            <w:r>
              <w:rPr>
                <w:rFonts w:ascii="Arial" w:cs="Arial" w:eastAsia="Arial" w:hAnsi="Arial"/>
                <w:sz w:val="16"/>
                <w:szCs w:val="16"/>
                <w:color w:val="auto"/>
              </w:rPr>
              <w:t>1.1</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20" w:type="dxa"/>
            <w:vAlign w:val="bottom"/>
          </w:tcPr>
          <w:p>
            <w:pPr>
              <w:jc w:val="right"/>
              <w:ind w:right="20"/>
              <w:spacing w:after="0"/>
              <w:rPr>
                <w:sz w:val="20"/>
                <w:szCs w:val="20"/>
                <w:color w:val="auto"/>
              </w:rPr>
            </w:pPr>
            <w:r>
              <w:rPr>
                <w:rFonts w:ascii="Arial" w:cs="Arial" w:eastAsia="Arial" w:hAnsi="Arial"/>
                <w:sz w:val="16"/>
                <w:szCs w:val="16"/>
                <w:color w:val="auto"/>
              </w:rPr>
              <w:t>597</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559.98</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20" w:type="dxa"/>
            <w:vAlign w:val="bottom"/>
          </w:tcPr>
          <w:p>
            <w:pPr>
              <w:jc w:val="right"/>
              <w:ind w:right="20"/>
              <w:spacing w:after="0"/>
              <w:rPr>
                <w:sz w:val="20"/>
                <w:szCs w:val="20"/>
                <w:color w:val="auto"/>
              </w:rPr>
            </w:pPr>
            <w:r>
              <w:rPr>
                <w:rFonts w:ascii="Arial" w:cs="Arial" w:eastAsia="Arial" w:hAnsi="Arial"/>
                <w:sz w:val="16"/>
                <w:szCs w:val="16"/>
                <w:color w:val="auto"/>
              </w:rPr>
              <w:t>525</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493.07</w:t>
            </w:r>
          </w:p>
        </w:tc>
        <w:tc>
          <w:tcPr>
            <w:tcW w:w="1320" w:type="dxa"/>
            <w:vAlign w:val="bottom"/>
            <w:gridSpan w:val="2"/>
          </w:tcPr>
          <w:p>
            <w:pPr>
              <w:jc w:val="right"/>
              <w:ind w:right="103"/>
              <w:spacing w:after="0"/>
              <w:rPr>
                <w:sz w:val="20"/>
                <w:szCs w:val="20"/>
                <w:color w:val="auto"/>
              </w:rPr>
            </w:pPr>
            <w:r>
              <w:rPr>
                <w:rFonts w:ascii="Arial" w:cs="Arial" w:eastAsia="Arial" w:hAnsi="Arial"/>
                <w:sz w:val="16"/>
                <w:szCs w:val="16"/>
                <w:color w:val="auto"/>
              </w:rPr>
              <w:t>88.1</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760" w:type="dxa"/>
            <w:vAlign w:val="bottom"/>
          </w:tcPr>
          <w:p>
            <w:pPr>
              <w:jc w:val="right"/>
              <w:ind w:right="19"/>
              <w:spacing w:after="0"/>
              <w:rPr>
                <w:sz w:val="20"/>
                <w:szCs w:val="20"/>
                <w:color w:val="auto"/>
              </w:rPr>
            </w:pPr>
            <w:r>
              <w:rPr>
                <w:rFonts w:ascii="Arial" w:cs="Arial" w:eastAsia="Arial" w:hAnsi="Arial"/>
                <w:sz w:val="16"/>
                <w:szCs w:val="16"/>
                <w:color w:val="auto"/>
              </w:rPr>
              <w:t>72</w:t>
            </w:r>
          </w:p>
        </w:tc>
        <w:tc>
          <w:tcPr>
            <w:tcW w:w="0" w:type="dxa"/>
            <w:vAlign w:val="bottom"/>
          </w:tcPr>
          <w:p>
            <w:pPr>
              <w:spacing w:after="0"/>
              <w:rPr>
                <w:sz w:val="1"/>
                <w:szCs w:val="1"/>
                <w:color w:val="auto"/>
              </w:rPr>
            </w:pPr>
          </w:p>
        </w:tc>
      </w:tr>
      <w:tr>
        <w:trPr>
          <w:trHeight w:val="278"/>
        </w:trPr>
        <w:tc>
          <w:tcPr>
            <w:tcW w:w="2080" w:type="dxa"/>
            <w:vAlign w:val="bottom"/>
            <w:shd w:val="clear" w:color="auto" w:fill="CCEEFF"/>
          </w:tcPr>
          <w:p>
            <w:pPr>
              <w:ind w:left="40"/>
              <w:spacing w:after="0"/>
              <w:rPr>
                <w:sz w:val="20"/>
                <w:szCs w:val="20"/>
                <w:color w:val="auto"/>
              </w:rPr>
            </w:pPr>
            <w:r>
              <w:rPr>
                <w:rFonts w:ascii="Arial" w:cs="Arial" w:eastAsia="Arial" w:hAnsi="Arial"/>
                <w:sz w:val="16"/>
                <w:szCs w:val="16"/>
                <w:color w:val="auto"/>
              </w:rPr>
              <w:t>Utah</w:t>
            </w:r>
          </w:p>
        </w:tc>
        <w:tc>
          <w:tcPr>
            <w:tcW w:w="114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0.4</w:t>
            </w: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106</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236.31</w:t>
            </w: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104</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230.53</w:t>
            </w:r>
          </w:p>
        </w:tc>
        <w:tc>
          <w:tcPr>
            <w:tcW w:w="1320" w:type="dxa"/>
            <w:vAlign w:val="bottom"/>
            <w:gridSpan w:val="2"/>
            <w:shd w:val="clear" w:color="auto" w:fill="CCEEFF"/>
          </w:tcPr>
          <w:p>
            <w:pPr>
              <w:jc w:val="right"/>
              <w:ind w:right="103"/>
              <w:spacing w:after="0"/>
              <w:rPr>
                <w:sz w:val="20"/>
                <w:szCs w:val="20"/>
                <w:color w:val="auto"/>
              </w:rPr>
            </w:pPr>
            <w:r>
              <w:rPr>
                <w:rFonts w:ascii="Arial" w:cs="Arial" w:eastAsia="Arial" w:hAnsi="Arial"/>
                <w:sz w:val="16"/>
                <w:szCs w:val="16"/>
                <w:color w:val="auto"/>
              </w:rPr>
              <w:t>97.6</w:t>
            </w: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7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262"/>
        </w:trPr>
        <w:tc>
          <w:tcPr>
            <w:tcW w:w="2080" w:type="dxa"/>
            <w:vAlign w:val="bottom"/>
          </w:tcPr>
          <w:p>
            <w:pPr>
              <w:ind w:left="40"/>
              <w:spacing w:after="0"/>
              <w:rPr>
                <w:sz w:val="20"/>
                <w:szCs w:val="20"/>
                <w:color w:val="auto"/>
              </w:rPr>
            </w:pPr>
            <w:r>
              <w:rPr>
                <w:rFonts w:ascii="Arial" w:cs="Arial" w:eastAsia="Arial" w:hAnsi="Arial"/>
                <w:sz w:val="16"/>
                <w:szCs w:val="16"/>
                <w:color w:val="auto"/>
              </w:rPr>
              <w:t>Washington</w:t>
            </w:r>
          </w:p>
        </w:tc>
        <w:tc>
          <w:tcPr>
            <w:tcW w:w="1140" w:type="dxa"/>
            <w:vAlign w:val="bottom"/>
          </w:tcPr>
          <w:p>
            <w:pPr>
              <w:jc w:val="right"/>
              <w:ind w:right="20"/>
              <w:spacing w:after="0"/>
              <w:rPr>
                <w:sz w:val="20"/>
                <w:szCs w:val="20"/>
                <w:color w:val="auto"/>
              </w:rPr>
            </w:pPr>
            <w:r>
              <w:rPr>
                <w:rFonts w:ascii="Arial" w:cs="Arial" w:eastAsia="Arial" w:hAnsi="Arial"/>
                <w:sz w:val="16"/>
                <w:szCs w:val="16"/>
                <w:color w:val="auto"/>
              </w:rPr>
              <w:t>2.1</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20" w:type="dxa"/>
            <w:vAlign w:val="bottom"/>
          </w:tcPr>
          <w:p>
            <w:pPr>
              <w:jc w:val="right"/>
              <w:ind w:right="20"/>
              <w:spacing w:after="0"/>
              <w:rPr>
                <w:sz w:val="20"/>
                <w:szCs w:val="20"/>
                <w:color w:val="auto"/>
              </w:rPr>
            </w:pPr>
            <w:r>
              <w:rPr>
                <w:rFonts w:ascii="Arial" w:cs="Arial" w:eastAsia="Arial" w:hAnsi="Arial"/>
                <w:sz w:val="16"/>
                <w:szCs w:val="16"/>
                <w:color w:val="auto"/>
              </w:rPr>
              <w:t>569</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265.48</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20" w:type="dxa"/>
            <w:vAlign w:val="bottom"/>
          </w:tcPr>
          <w:p>
            <w:pPr>
              <w:jc w:val="right"/>
              <w:ind w:right="20"/>
              <w:spacing w:after="0"/>
              <w:rPr>
                <w:sz w:val="20"/>
                <w:szCs w:val="20"/>
                <w:color w:val="auto"/>
              </w:rPr>
            </w:pPr>
            <w:r>
              <w:rPr>
                <w:rFonts w:ascii="Arial" w:cs="Arial" w:eastAsia="Arial" w:hAnsi="Arial"/>
                <w:sz w:val="16"/>
                <w:szCs w:val="16"/>
                <w:color w:val="auto"/>
              </w:rPr>
              <w:t>521</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243.49</w:t>
            </w:r>
          </w:p>
        </w:tc>
        <w:tc>
          <w:tcPr>
            <w:tcW w:w="1320" w:type="dxa"/>
            <w:vAlign w:val="bottom"/>
            <w:gridSpan w:val="2"/>
          </w:tcPr>
          <w:p>
            <w:pPr>
              <w:jc w:val="right"/>
              <w:ind w:right="103"/>
              <w:spacing w:after="0"/>
              <w:rPr>
                <w:sz w:val="20"/>
                <w:szCs w:val="20"/>
                <w:color w:val="auto"/>
              </w:rPr>
            </w:pPr>
            <w:r>
              <w:rPr>
                <w:rFonts w:ascii="Arial" w:cs="Arial" w:eastAsia="Arial" w:hAnsi="Arial"/>
                <w:sz w:val="16"/>
                <w:szCs w:val="16"/>
                <w:color w:val="auto"/>
              </w:rPr>
              <w:t>91.7</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760" w:type="dxa"/>
            <w:vAlign w:val="bottom"/>
          </w:tcPr>
          <w:p>
            <w:pPr>
              <w:jc w:val="right"/>
              <w:ind w:right="19"/>
              <w:spacing w:after="0"/>
              <w:rPr>
                <w:sz w:val="20"/>
                <w:szCs w:val="20"/>
                <w:color w:val="auto"/>
              </w:rPr>
            </w:pPr>
            <w:r>
              <w:rPr>
                <w:rFonts w:ascii="Arial" w:cs="Arial" w:eastAsia="Arial" w:hAnsi="Arial"/>
                <w:sz w:val="16"/>
                <w:szCs w:val="16"/>
                <w:color w:val="auto"/>
              </w:rPr>
              <w:t>48</w:t>
            </w:r>
          </w:p>
        </w:tc>
        <w:tc>
          <w:tcPr>
            <w:tcW w:w="0" w:type="dxa"/>
            <w:vAlign w:val="bottom"/>
          </w:tcPr>
          <w:p>
            <w:pPr>
              <w:spacing w:after="0"/>
              <w:rPr>
                <w:sz w:val="1"/>
                <w:szCs w:val="1"/>
                <w:color w:val="auto"/>
              </w:rPr>
            </w:pPr>
          </w:p>
        </w:tc>
      </w:tr>
      <w:tr>
        <w:trPr>
          <w:trHeight w:val="278"/>
        </w:trPr>
        <w:tc>
          <w:tcPr>
            <w:tcW w:w="2080" w:type="dxa"/>
            <w:vAlign w:val="bottom"/>
            <w:shd w:val="clear" w:color="auto" w:fill="CCEEFF"/>
          </w:tcPr>
          <w:p>
            <w:pPr>
              <w:ind w:left="40"/>
              <w:spacing w:after="0"/>
              <w:rPr>
                <w:sz w:val="20"/>
                <w:szCs w:val="20"/>
                <w:color w:val="auto"/>
              </w:rPr>
            </w:pPr>
            <w:r>
              <w:rPr>
                <w:rFonts w:ascii="Arial" w:cs="Arial" w:eastAsia="Arial" w:hAnsi="Arial"/>
                <w:sz w:val="16"/>
                <w:szCs w:val="16"/>
                <w:color w:val="auto"/>
              </w:rPr>
              <w:t>Wisconsin</w:t>
            </w:r>
          </w:p>
        </w:tc>
        <w:tc>
          <w:tcPr>
            <w:tcW w:w="114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0.4</w:t>
            </w: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103</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262.32</w:t>
            </w: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90</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231.86</w:t>
            </w:r>
          </w:p>
        </w:tc>
        <w:tc>
          <w:tcPr>
            <w:tcW w:w="1320" w:type="dxa"/>
            <w:vAlign w:val="bottom"/>
            <w:gridSpan w:val="2"/>
            <w:shd w:val="clear" w:color="auto" w:fill="CCEEFF"/>
          </w:tcPr>
          <w:p>
            <w:pPr>
              <w:jc w:val="right"/>
              <w:ind w:right="103"/>
              <w:spacing w:after="0"/>
              <w:rPr>
                <w:sz w:val="20"/>
                <w:szCs w:val="20"/>
                <w:color w:val="auto"/>
              </w:rPr>
            </w:pPr>
            <w:r>
              <w:rPr>
                <w:rFonts w:ascii="Arial" w:cs="Arial" w:eastAsia="Arial" w:hAnsi="Arial"/>
                <w:sz w:val="16"/>
                <w:szCs w:val="16"/>
                <w:color w:val="auto"/>
              </w:rPr>
              <w:t>88.4</w:t>
            </w: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7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13</w:t>
            </w:r>
          </w:p>
        </w:tc>
        <w:tc>
          <w:tcPr>
            <w:tcW w:w="0" w:type="dxa"/>
            <w:vAlign w:val="bottom"/>
          </w:tcPr>
          <w:p>
            <w:pPr>
              <w:spacing w:after="0"/>
              <w:rPr>
                <w:sz w:val="1"/>
                <w:szCs w:val="1"/>
                <w:color w:val="auto"/>
              </w:rPr>
            </w:pPr>
          </w:p>
        </w:tc>
      </w:tr>
      <w:tr>
        <w:trPr>
          <w:trHeight w:val="270"/>
        </w:trPr>
        <w:tc>
          <w:tcPr>
            <w:tcW w:w="2080" w:type="dxa"/>
            <w:vAlign w:val="bottom"/>
          </w:tcPr>
          <w:p>
            <w:pPr>
              <w:ind w:left="40"/>
              <w:spacing w:after="0"/>
              <w:rPr>
                <w:sz w:val="20"/>
                <w:szCs w:val="20"/>
                <w:color w:val="auto"/>
              </w:rPr>
            </w:pPr>
            <w:r>
              <w:rPr>
                <w:rFonts w:ascii="Arial" w:cs="Arial" w:eastAsia="Arial" w:hAnsi="Arial"/>
                <w:sz w:val="16"/>
                <w:szCs w:val="16"/>
                <w:color w:val="auto"/>
              </w:rPr>
              <w:t xml:space="preserve">Other </w:t>
            </w:r>
            <w:r>
              <w:rPr>
                <w:rFonts w:ascii="Arial" w:cs="Arial" w:eastAsia="Arial" w:hAnsi="Arial"/>
                <w:sz w:val="21"/>
                <w:szCs w:val="21"/>
                <w:color w:val="auto"/>
                <w:vertAlign w:val="superscript"/>
              </w:rPr>
              <w:t>(2)</w:t>
            </w:r>
          </w:p>
        </w:tc>
        <w:tc>
          <w:tcPr>
            <w:tcW w:w="12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23"/>
                <w:szCs w:val="23"/>
                <w:color w:val="auto"/>
              </w:rPr>
            </w:pPr>
          </w:p>
        </w:tc>
        <w:tc>
          <w:tcPr>
            <w:tcW w:w="1120" w:type="dxa"/>
            <w:vAlign w:val="bottom"/>
          </w:tcPr>
          <w:p>
            <w:pPr>
              <w:jc w:val="right"/>
              <w:ind w:right="20"/>
              <w:spacing w:after="0"/>
              <w:rPr>
                <w:sz w:val="20"/>
                <w:szCs w:val="20"/>
                <w:color w:val="auto"/>
              </w:rPr>
            </w:pPr>
            <w:r>
              <w:rPr>
                <w:rFonts w:ascii="Arial" w:cs="Arial" w:eastAsia="Arial" w:hAnsi="Arial"/>
                <w:sz w:val="16"/>
                <w:szCs w:val="16"/>
                <w:color w:val="auto"/>
              </w:rPr>
              <w:t>3</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23"/>
                <w:szCs w:val="23"/>
                <w:color w:val="auto"/>
              </w:rPr>
            </w:pPr>
          </w:p>
        </w:tc>
        <w:tc>
          <w:tcPr>
            <w:tcW w:w="1120" w:type="dxa"/>
            <w:vAlign w:val="bottom"/>
          </w:tcPr>
          <w:p>
            <w:pPr>
              <w:jc w:val="right"/>
              <w:ind w:right="20"/>
              <w:spacing w:after="0"/>
              <w:rPr>
                <w:sz w:val="20"/>
                <w:szCs w:val="20"/>
                <w:color w:val="auto"/>
              </w:rPr>
            </w:pPr>
            <w:r>
              <w:rPr>
                <w:rFonts w:ascii="Arial" w:cs="Arial" w:eastAsia="Arial" w:hAnsi="Arial"/>
                <w:sz w:val="16"/>
                <w:szCs w:val="16"/>
                <w:color w:val="auto"/>
              </w:rPr>
              <w:t>22</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3"/>
                <w:szCs w:val="23"/>
                <w:color w:val="auto"/>
              </w:rPr>
            </w:pPr>
          </w:p>
        </w:tc>
        <w:tc>
          <w:tcPr>
            <w:tcW w:w="130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(19)</w:t>
            </w:r>
          </w:p>
        </w:tc>
        <w:tc>
          <w:tcPr>
            <w:tcW w:w="0" w:type="dxa"/>
            <w:vAlign w:val="bottom"/>
          </w:tcPr>
          <w:p>
            <w:pPr>
              <w:spacing w:after="0"/>
              <w:rPr>
                <w:sz w:val="1"/>
                <w:szCs w:val="1"/>
                <w:color w:val="auto"/>
              </w:rPr>
            </w:pPr>
          </w:p>
        </w:tc>
      </w:tr>
      <w:tr>
        <w:trPr>
          <w:trHeight w:val="236"/>
        </w:trPr>
        <w:tc>
          <w:tcPr>
            <w:tcW w:w="2080" w:type="dxa"/>
            <w:vAlign w:val="bottom"/>
            <w:tcBorders>
              <w:top w:val="single" w:sz="8" w:color="CCEEFF"/>
              <w:bottom w:val="single" w:sz="8" w:color="CCEEFF"/>
            </w:tcBorders>
            <w:shd w:val="clear" w:color="auto" w:fill="CCEEFF"/>
          </w:tcPr>
          <w:p>
            <w:pPr>
              <w:spacing w:after="0"/>
              <w:rPr>
                <w:sz w:val="20"/>
                <w:szCs w:val="20"/>
                <w:color w:val="auto"/>
              </w:rPr>
            </w:pPr>
          </w:p>
        </w:tc>
        <w:tc>
          <w:tcPr>
            <w:tcW w:w="1140" w:type="dxa"/>
            <w:vAlign w:val="bottom"/>
            <w:tcBorders>
              <w:top w:val="single" w:sz="8" w:color="auto"/>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12.7</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340" w:type="dxa"/>
            <w:vAlign w:val="bottom"/>
            <w:tcBorders>
              <w:top w:val="single" w:sz="8" w:color="auto"/>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Borders>
              <w:top w:val="single" w:sz="8" w:color="auto"/>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4,191</w:t>
            </w:r>
          </w:p>
        </w:tc>
        <w:tc>
          <w:tcPr>
            <w:tcW w:w="340" w:type="dxa"/>
            <w:vAlign w:val="bottom"/>
            <w:tcBorders>
              <w:top w:val="single" w:sz="8" w:color="CCEEFF"/>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900" w:type="dxa"/>
            <w:vAlign w:val="bottom"/>
            <w:tcBorders>
              <w:top w:val="single" w:sz="8" w:color="CCEEFF"/>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329.88</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340" w:type="dxa"/>
            <w:vAlign w:val="bottom"/>
            <w:tcBorders>
              <w:top w:val="single" w:sz="8" w:color="auto"/>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120" w:type="dxa"/>
            <w:vAlign w:val="bottom"/>
            <w:tcBorders>
              <w:top w:val="single" w:sz="8" w:color="auto"/>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3,748</w:t>
            </w:r>
          </w:p>
        </w:tc>
        <w:tc>
          <w:tcPr>
            <w:tcW w:w="340" w:type="dxa"/>
            <w:vAlign w:val="bottom"/>
            <w:tcBorders>
              <w:top w:val="single" w:sz="8" w:color="CCEEFF"/>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900" w:type="dxa"/>
            <w:vAlign w:val="bottom"/>
            <w:tcBorders>
              <w:top w:val="single" w:sz="8" w:color="CCEEFF"/>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295.01</w:t>
            </w:r>
          </w:p>
        </w:tc>
        <w:tc>
          <w:tcPr>
            <w:tcW w:w="1320" w:type="dxa"/>
            <w:vAlign w:val="bottom"/>
            <w:tcBorders>
              <w:top w:val="single" w:sz="8" w:color="CCEEFF"/>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89.4%</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380" w:type="dxa"/>
            <w:vAlign w:val="bottom"/>
            <w:tcBorders>
              <w:top w:val="single" w:sz="8" w:color="auto"/>
              <w:bottom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w:t>
            </w:r>
          </w:p>
        </w:tc>
        <w:tc>
          <w:tcPr>
            <w:tcW w:w="76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443</w:t>
            </w:r>
          </w:p>
        </w:tc>
        <w:tc>
          <w:tcPr>
            <w:tcW w:w="0" w:type="dxa"/>
            <w:vAlign w:val="bottom"/>
          </w:tcPr>
          <w:p>
            <w:pPr>
              <w:spacing w:after="0"/>
              <w:rPr>
                <w:sz w:val="1"/>
                <w:szCs w:val="1"/>
                <w:color w:val="auto"/>
              </w:rPr>
            </w:pPr>
          </w:p>
        </w:tc>
      </w:tr>
      <w:tr>
        <w:trPr>
          <w:trHeight w:val="20"/>
        </w:trPr>
        <w:tc>
          <w:tcPr>
            <w:tcW w:w="208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6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94"/>
        </w:trPr>
        <w:tc>
          <w:tcPr>
            <w:tcW w:w="2080" w:type="dxa"/>
            <w:vAlign w:val="bottom"/>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3720" w:type="dxa"/>
            <w:vAlign w:val="bottom"/>
            <w:tcBorders>
              <w:bottom w:val="single" w:sz="8" w:color="auto"/>
            </w:tcBorders>
            <w:gridSpan w:val="7"/>
          </w:tcPr>
          <w:p>
            <w:pPr>
              <w:jc w:val="right"/>
              <w:ind w:right="660"/>
              <w:spacing w:after="0"/>
              <w:rPr>
                <w:sz w:val="20"/>
                <w:szCs w:val="20"/>
                <w:color w:val="auto"/>
              </w:rPr>
            </w:pPr>
            <w:r>
              <w:rPr>
                <w:rFonts w:ascii="Arial" w:cs="Arial" w:eastAsia="Arial" w:hAnsi="Arial"/>
                <w:sz w:val="14"/>
                <w:szCs w:val="14"/>
                <w:b w:val="1"/>
                <w:bCs w:val="1"/>
                <w:color w:val="auto"/>
              </w:rPr>
              <w:t>Nine Months Ended September 30, 2017</w:t>
            </w:r>
          </w:p>
        </w:tc>
        <w:tc>
          <w:tcPr>
            <w:tcW w:w="12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2080" w:type="dxa"/>
            <w:vAlign w:val="bottom"/>
          </w:tcPr>
          <w:p>
            <w:pPr>
              <w:spacing w:after="0"/>
              <w:rPr>
                <w:sz w:val="22"/>
                <w:szCs w:val="22"/>
                <w:color w:val="auto"/>
              </w:rPr>
            </w:pPr>
          </w:p>
        </w:tc>
        <w:tc>
          <w:tcPr>
            <w:tcW w:w="1260" w:type="dxa"/>
            <w:vAlign w:val="bottom"/>
            <w:gridSpan w:val="2"/>
            <w:vMerge w:val="restart"/>
          </w:tcPr>
          <w:p>
            <w:pPr>
              <w:ind w:left="300"/>
              <w:spacing w:after="0"/>
              <w:rPr>
                <w:sz w:val="20"/>
                <w:szCs w:val="20"/>
                <w:color w:val="auto"/>
              </w:rPr>
            </w:pPr>
            <w:r>
              <w:rPr>
                <w:rFonts w:ascii="Arial" w:cs="Arial" w:eastAsia="Arial" w:hAnsi="Arial"/>
                <w:sz w:val="14"/>
                <w:szCs w:val="14"/>
                <w:b w:val="1"/>
                <w:bCs w:val="1"/>
                <w:color w:val="auto"/>
              </w:rPr>
              <w:t>Member</w:t>
            </w:r>
          </w:p>
        </w:tc>
        <w:tc>
          <w:tcPr>
            <w:tcW w:w="340" w:type="dxa"/>
            <w:vAlign w:val="bottom"/>
          </w:tcPr>
          <w:p>
            <w:pPr>
              <w:spacing w:after="0"/>
              <w:rPr>
                <w:sz w:val="22"/>
                <w:szCs w:val="22"/>
                <w:color w:val="auto"/>
              </w:rPr>
            </w:pPr>
          </w:p>
        </w:tc>
        <w:tc>
          <w:tcPr>
            <w:tcW w:w="2480" w:type="dxa"/>
            <w:vAlign w:val="bottom"/>
            <w:gridSpan w:val="5"/>
          </w:tcPr>
          <w:p>
            <w:pPr>
              <w:ind w:left="400"/>
              <w:spacing w:after="0"/>
              <w:rPr>
                <w:sz w:val="20"/>
                <w:szCs w:val="20"/>
                <w:color w:val="auto"/>
              </w:rPr>
            </w:pPr>
            <w:r>
              <w:rPr>
                <w:rFonts w:ascii="Arial" w:cs="Arial" w:eastAsia="Arial" w:hAnsi="Arial"/>
                <w:sz w:val="14"/>
                <w:szCs w:val="14"/>
                <w:b w:val="1"/>
                <w:bCs w:val="1"/>
                <w:color w:val="auto"/>
              </w:rPr>
              <w:t>Premium Revenue</w:t>
            </w:r>
          </w:p>
        </w:tc>
        <w:tc>
          <w:tcPr>
            <w:tcW w:w="340" w:type="dxa"/>
            <w:vAlign w:val="bottom"/>
          </w:tcPr>
          <w:p>
            <w:pPr>
              <w:spacing w:after="0"/>
              <w:rPr>
                <w:sz w:val="22"/>
                <w:szCs w:val="22"/>
                <w:color w:val="auto"/>
              </w:rPr>
            </w:pPr>
          </w:p>
        </w:tc>
        <w:tc>
          <w:tcPr>
            <w:tcW w:w="2360" w:type="dxa"/>
            <w:vAlign w:val="bottom"/>
            <w:gridSpan w:val="4"/>
          </w:tcPr>
          <w:p>
            <w:pPr>
              <w:jc w:val="right"/>
              <w:ind w:right="600"/>
              <w:spacing w:after="0"/>
              <w:rPr>
                <w:sz w:val="20"/>
                <w:szCs w:val="20"/>
                <w:color w:val="auto"/>
              </w:rPr>
            </w:pPr>
            <w:r>
              <w:rPr>
                <w:rFonts w:ascii="Arial" w:cs="Arial" w:eastAsia="Arial" w:hAnsi="Arial"/>
                <w:sz w:val="14"/>
                <w:szCs w:val="14"/>
                <w:b w:val="1"/>
                <w:bCs w:val="1"/>
                <w:color w:val="auto"/>
              </w:rPr>
              <w:t>Medical Care Costs</w:t>
            </w:r>
          </w:p>
        </w:tc>
        <w:tc>
          <w:tcPr>
            <w:tcW w:w="12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0"/>
        </w:trPr>
        <w:tc>
          <w:tcPr>
            <w:tcW w:w="208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340" w:type="dxa"/>
            <w:vAlign w:val="bottom"/>
            <w:tcBorders>
              <w:top w:val="single" w:sz="8" w:color="auto"/>
            </w:tcBorders>
          </w:tcPr>
          <w:p>
            <w:pPr>
              <w:spacing w:after="0"/>
              <w:rPr>
                <w:sz w:val="5"/>
                <w:szCs w:val="5"/>
                <w:color w:val="auto"/>
              </w:rPr>
            </w:pPr>
          </w:p>
        </w:tc>
        <w:tc>
          <w:tcPr>
            <w:tcW w:w="1120" w:type="dxa"/>
            <w:vAlign w:val="bottom"/>
            <w:tcBorders>
              <w:top w:val="single" w:sz="8" w:color="auto"/>
            </w:tcBorders>
          </w:tcPr>
          <w:p>
            <w:pPr>
              <w:spacing w:after="0"/>
              <w:rPr>
                <w:sz w:val="5"/>
                <w:szCs w:val="5"/>
                <w:color w:val="auto"/>
              </w:rPr>
            </w:pPr>
          </w:p>
        </w:tc>
        <w:tc>
          <w:tcPr>
            <w:tcW w:w="120" w:type="dxa"/>
            <w:vAlign w:val="bottom"/>
            <w:tcBorders>
              <w:top w:val="single" w:sz="8" w:color="auto"/>
            </w:tcBorders>
          </w:tcPr>
          <w:p>
            <w:pPr>
              <w:spacing w:after="0"/>
              <w:rPr>
                <w:sz w:val="5"/>
                <w:szCs w:val="5"/>
                <w:color w:val="auto"/>
              </w:rPr>
            </w:pPr>
          </w:p>
        </w:tc>
        <w:tc>
          <w:tcPr>
            <w:tcW w:w="220" w:type="dxa"/>
            <w:vAlign w:val="bottom"/>
            <w:tcBorders>
              <w:top w:val="single" w:sz="8" w:color="auto"/>
            </w:tcBorders>
          </w:tcPr>
          <w:p>
            <w:pPr>
              <w:spacing w:after="0"/>
              <w:rPr>
                <w:sz w:val="5"/>
                <w:szCs w:val="5"/>
                <w:color w:val="auto"/>
              </w:rPr>
            </w:pPr>
          </w:p>
        </w:tc>
        <w:tc>
          <w:tcPr>
            <w:tcW w:w="900" w:type="dxa"/>
            <w:vAlign w:val="bottom"/>
            <w:tcBorders>
              <w:top w:val="single" w:sz="8" w:color="auto"/>
            </w:tcBorders>
          </w:tcPr>
          <w:p>
            <w:pPr>
              <w:spacing w:after="0"/>
              <w:rPr>
                <w:sz w:val="5"/>
                <w:szCs w:val="5"/>
                <w:color w:val="auto"/>
              </w:rPr>
            </w:pPr>
          </w:p>
        </w:tc>
        <w:tc>
          <w:tcPr>
            <w:tcW w:w="120" w:type="dxa"/>
            <w:vAlign w:val="bottom"/>
          </w:tcPr>
          <w:p>
            <w:pPr>
              <w:spacing w:after="0"/>
              <w:rPr>
                <w:sz w:val="5"/>
                <w:szCs w:val="5"/>
                <w:color w:val="auto"/>
              </w:rPr>
            </w:pPr>
          </w:p>
        </w:tc>
        <w:tc>
          <w:tcPr>
            <w:tcW w:w="340" w:type="dxa"/>
            <w:vAlign w:val="bottom"/>
            <w:tcBorders>
              <w:top w:val="single" w:sz="8" w:color="auto"/>
            </w:tcBorders>
          </w:tcPr>
          <w:p>
            <w:pPr>
              <w:spacing w:after="0"/>
              <w:rPr>
                <w:sz w:val="5"/>
                <w:szCs w:val="5"/>
                <w:color w:val="auto"/>
              </w:rPr>
            </w:pPr>
          </w:p>
        </w:tc>
        <w:tc>
          <w:tcPr>
            <w:tcW w:w="1120" w:type="dxa"/>
            <w:vAlign w:val="bottom"/>
            <w:tcBorders>
              <w:top w:val="single" w:sz="8" w:color="auto"/>
            </w:tcBorders>
          </w:tcPr>
          <w:p>
            <w:pPr>
              <w:spacing w:after="0"/>
              <w:rPr>
                <w:sz w:val="5"/>
                <w:szCs w:val="5"/>
                <w:color w:val="auto"/>
              </w:rPr>
            </w:pPr>
          </w:p>
        </w:tc>
        <w:tc>
          <w:tcPr>
            <w:tcW w:w="120" w:type="dxa"/>
            <w:vAlign w:val="bottom"/>
            <w:tcBorders>
              <w:top w:val="single" w:sz="8" w:color="auto"/>
            </w:tcBorders>
          </w:tcPr>
          <w:p>
            <w:pPr>
              <w:spacing w:after="0"/>
              <w:rPr>
                <w:sz w:val="5"/>
                <w:szCs w:val="5"/>
                <w:color w:val="auto"/>
              </w:rPr>
            </w:pPr>
          </w:p>
        </w:tc>
        <w:tc>
          <w:tcPr>
            <w:tcW w:w="220" w:type="dxa"/>
            <w:vAlign w:val="bottom"/>
            <w:tcBorders>
              <w:top w:val="single" w:sz="8" w:color="auto"/>
            </w:tcBorders>
          </w:tcPr>
          <w:p>
            <w:pPr>
              <w:spacing w:after="0"/>
              <w:rPr>
                <w:sz w:val="5"/>
                <w:szCs w:val="5"/>
                <w:color w:val="auto"/>
              </w:rPr>
            </w:pPr>
          </w:p>
        </w:tc>
        <w:tc>
          <w:tcPr>
            <w:tcW w:w="900" w:type="dxa"/>
            <w:vAlign w:val="bottom"/>
            <w:tcBorders>
              <w:top w:val="single" w:sz="8" w:color="auto"/>
            </w:tcBorders>
          </w:tcPr>
          <w:p>
            <w:pPr>
              <w:spacing w:after="0"/>
              <w:rPr>
                <w:sz w:val="5"/>
                <w:szCs w:val="5"/>
                <w:color w:val="auto"/>
              </w:rPr>
            </w:pPr>
          </w:p>
        </w:tc>
        <w:tc>
          <w:tcPr>
            <w:tcW w:w="120" w:type="dxa"/>
            <w:vAlign w:val="bottom"/>
          </w:tcPr>
          <w:p>
            <w:pPr>
              <w:spacing w:after="0"/>
              <w:rPr>
                <w:sz w:val="5"/>
                <w:szCs w:val="5"/>
                <w:color w:val="auto"/>
              </w:rPr>
            </w:pPr>
          </w:p>
        </w:tc>
        <w:tc>
          <w:tcPr>
            <w:tcW w:w="1200" w:type="dxa"/>
            <w:vAlign w:val="bottom"/>
          </w:tcPr>
          <w:p>
            <w:pPr>
              <w:spacing w:after="0"/>
              <w:rPr>
                <w:sz w:val="5"/>
                <w:szCs w:val="5"/>
                <w:color w:val="auto"/>
              </w:rPr>
            </w:pPr>
          </w:p>
        </w:tc>
        <w:tc>
          <w:tcPr>
            <w:tcW w:w="100" w:type="dxa"/>
            <w:vAlign w:val="bottom"/>
          </w:tcPr>
          <w:p>
            <w:pPr>
              <w:spacing w:after="0"/>
              <w:rPr>
                <w:sz w:val="5"/>
                <w:szCs w:val="5"/>
                <w:color w:val="auto"/>
              </w:rPr>
            </w:pPr>
          </w:p>
        </w:tc>
        <w:tc>
          <w:tcPr>
            <w:tcW w:w="380" w:type="dxa"/>
            <w:vAlign w:val="bottom"/>
          </w:tcPr>
          <w:p>
            <w:pPr>
              <w:spacing w:after="0"/>
              <w:rPr>
                <w:sz w:val="5"/>
                <w:szCs w:val="5"/>
                <w:color w:val="auto"/>
              </w:rPr>
            </w:pPr>
          </w:p>
        </w:tc>
        <w:tc>
          <w:tcPr>
            <w:tcW w:w="7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3"/>
        </w:trPr>
        <w:tc>
          <w:tcPr>
            <w:tcW w:w="2080" w:type="dxa"/>
            <w:vAlign w:val="bottom"/>
            <w:tcBorders>
              <w:bottom w:val="single" w:sz="8" w:color="CCEEFF"/>
            </w:tcBorders>
          </w:tcPr>
          <w:p>
            <w:pPr>
              <w:spacing w:after="0"/>
              <w:rPr>
                <w:sz w:val="17"/>
                <w:szCs w:val="17"/>
                <w:color w:val="auto"/>
              </w:rPr>
            </w:pPr>
          </w:p>
        </w:tc>
        <w:tc>
          <w:tcPr>
            <w:tcW w:w="1140" w:type="dxa"/>
            <w:vAlign w:val="bottom"/>
            <w:tcBorders>
              <w:bottom w:val="single" w:sz="8" w:color="auto"/>
            </w:tcBorders>
          </w:tcPr>
          <w:p>
            <w:pPr>
              <w:ind w:left="320"/>
              <w:spacing w:after="0"/>
              <w:rPr>
                <w:sz w:val="20"/>
                <w:szCs w:val="20"/>
                <w:color w:val="auto"/>
              </w:rPr>
            </w:pPr>
            <w:r>
              <w:rPr>
                <w:rFonts w:ascii="Arial" w:cs="Arial" w:eastAsia="Arial" w:hAnsi="Arial"/>
                <w:sz w:val="14"/>
                <w:szCs w:val="14"/>
                <w:b w:val="1"/>
                <w:bCs w:val="1"/>
                <w:color w:val="auto"/>
              </w:rPr>
              <w:t>Months</w:t>
            </w:r>
          </w:p>
        </w:tc>
        <w:tc>
          <w:tcPr>
            <w:tcW w:w="12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480"/>
              <w:spacing w:after="0"/>
              <w:rPr>
                <w:sz w:val="20"/>
                <w:szCs w:val="20"/>
                <w:color w:val="auto"/>
              </w:rPr>
            </w:pPr>
            <w:r>
              <w:rPr>
                <w:rFonts w:ascii="Arial" w:cs="Arial" w:eastAsia="Arial" w:hAnsi="Arial"/>
                <w:sz w:val="14"/>
                <w:szCs w:val="14"/>
                <w:b w:val="1"/>
                <w:bCs w:val="1"/>
                <w:color w:val="auto"/>
              </w:rPr>
              <w:t>Total</w:t>
            </w:r>
          </w:p>
        </w:tc>
        <w:tc>
          <w:tcPr>
            <w:tcW w:w="12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260"/>
              <w:spacing w:after="0"/>
              <w:rPr>
                <w:sz w:val="20"/>
                <w:szCs w:val="20"/>
                <w:color w:val="auto"/>
              </w:rPr>
            </w:pPr>
            <w:r>
              <w:rPr>
                <w:rFonts w:ascii="Arial" w:cs="Arial" w:eastAsia="Arial" w:hAnsi="Arial"/>
                <w:sz w:val="14"/>
                <w:szCs w:val="14"/>
                <w:b w:val="1"/>
                <w:bCs w:val="1"/>
                <w:color w:val="auto"/>
              </w:rPr>
              <w:t>PMPM</w:t>
            </w:r>
          </w:p>
        </w:tc>
        <w:tc>
          <w:tcPr>
            <w:tcW w:w="12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480"/>
              <w:spacing w:after="0"/>
              <w:rPr>
                <w:sz w:val="20"/>
                <w:szCs w:val="20"/>
                <w:color w:val="auto"/>
              </w:rPr>
            </w:pPr>
            <w:r>
              <w:rPr>
                <w:rFonts w:ascii="Arial" w:cs="Arial" w:eastAsia="Arial" w:hAnsi="Arial"/>
                <w:sz w:val="14"/>
                <w:szCs w:val="14"/>
                <w:b w:val="1"/>
                <w:bCs w:val="1"/>
                <w:color w:val="auto"/>
              </w:rPr>
              <w:t>Total</w:t>
            </w:r>
          </w:p>
        </w:tc>
        <w:tc>
          <w:tcPr>
            <w:tcW w:w="12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260"/>
              <w:spacing w:after="0"/>
              <w:rPr>
                <w:sz w:val="20"/>
                <w:szCs w:val="20"/>
                <w:color w:val="auto"/>
              </w:rPr>
            </w:pPr>
            <w:r>
              <w:rPr>
                <w:rFonts w:ascii="Arial" w:cs="Arial" w:eastAsia="Arial" w:hAnsi="Arial"/>
                <w:sz w:val="14"/>
                <w:szCs w:val="14"/>
                <w:b w:val="1"/>
                <w:bCs w:val="1"/>
                <w:color w:val="auto"/>
              </w:rPr>
              <w:t>PMPM</w:t>
            </w:r>
          </w:p>
        </w:tc>
        <w:tc>
          <w:tcPr>
            <w:tcW w:w="120" w:type="dxa"/>
            <w:vAlign w:val="bottom"/>
            <w:tcBorders>
              <w:bottom w:val="single" w:sz="8" w:color="CCEEFF"/>
            </w:tcBorders>
          </w:tcPr>
          <w:p>
            <w:pPr>
              <w:spacing w:after="0"/>
              <w:rPr>
                <w:sz w:val="17"/>
                <w:szCs w:val="17"/>
                <w:color w:val="auto"/>
              </w:rPr>
            </w:pPr>
          </w:p>
        </w:tc>
        <w:tc>
          <w:tcPr>
            <w:tcW w:w="1200" w:type="dxa"/>
            <w:vAlign w:val="bottom"/>
            <w:tcBorders>
              <w:bottom w:val="single" w:sz="8" w:color="auto"/>
            </w:tcBorders>
          </w:tcPr>
          <w:p>
            <w:pPr>
              <w:jc w:val="right"/>
              <w:ind w:right="363"/>
              <w:spacing w:after="0"/>
              <w:rPr>
                <w:sz w:val="20"/>
                <w:szCs w:val="20"/>
                <w:color w:val="auto"/>
              </w:rPr>
            </w:pPr>
            <w:r>
              <w:rPr>
                <w:rFonts w:ascii="Arial" w:cs="Arial" w:eastAsia="Arial" w:hAnsi="Arial"/>
                <w:sz w:val="14"/>
                <w:szCs w:val="14"/>
                <w:b w:val="1"/>
                <w:bCs w:val="1"/>
                <w:color w:val="auto"/>
              </w:rPr>
              <w:t>MCR</w:t>
            </w:r>
          </w:p>
        </w:tc>
        <w:tc>
          <w:tcPr>
            <w:tcW w:w="100" w:type="dxa"/>
            <w:vAlign w:val="bottom"/>
            <w:tcBorders>
              <w:bottom w:val="single" w:sz="8" w:color="CCEEFF"/>
            </w:tcBorders>
          </w:tcPr>
          <w:p>
            <w:pPr>
              <w:spacing w:after="0"/>
              <w:rPr>
                <w:sz w:val="17"/>
                <w:szCs w:val="17"/>
                <w:color w:val="auto"/>
              </w:rPr>
            </w:pPr>
          </w:p>
        </w:tc>
        <w:tc>
          <w:tcPr>
            <w:tcW w:w="1140" w:type="dxa"/>
            <w:vAlign w:val="bottom"/>
            <w:tcBorders>
              <w:bottom w:val="single" w:sz="8" w:color="auto"/>
            </w:tcBorders>
            <w:gridSpan w:val="2"/>
          </w:tcPr>
          <w:p>
            <w:pPr>
              <w:ind w:left="60"/>
              <w:spacing w:after="0"/>
              <w:rPr>
                <w:sz w:val="20"/>
                <w:szCs w:val="20"/>
                <w:color w:val="auto"/>
              </w:rPr>
            </w:pPr>
            <w:r>
              <w:rPr>
                <w:rFonts w:ascii="Arial" w:cs="Arial" w:eastAsia="Arial" w:hAnsi="Arial"/>
                <w:sz w:val="14"/>
                <w:szCs w:val="14"/>
                <w:b w:val="1"/>
                <w:bCs w:val="1"/>
                <w:color w:val="auto"/>
              </w:rPr>
              <w:t>Medical Margin</w:t>
            </w:r>
          </w:p>
        </w:tc>
        <w:tc>
          <w:tcPr>
            <w:tcW w:w="0" w:type="dxa"/>
            <w:vAlign w:val="bottom"/>
          </w:tcPr>
          <w:p>
            <w:pPr>
              <w:spacing w:after="0"/>
              <w:rPr>
                <w:sz w:val="1"/>
                <w:szCs w:val="1"/>
                <w:color w:val="auto"/>
              </w:rPr>
            </w:pPr>
          </w:p>
        </w:tc>
      </w:tr>
      <w:tr>
        <w:trPr>
          <w:trHeight w:val="251"/>
        </w:trPr>
        <w:tc>
          <w:tcPr>
            <w:tcW w:w="2080" w:type="dxa"/>
            <w:vAlign w:val="bottom"/>
            <w:shd w:val="clear" w:color="auto" w:fill="CCEEFF"/>
          </w:tcPr>
          <w:p>
            <w:pPr>
              <w:ind w:left="40"/>
              <w:spacing w:after="0"/>
              <w:rPr>
                <w:sz w:val="20"/>
                <w:szCs w:val="20"/>
                <w:color w:val="auto"/>
              </w:rPr>
            </w:pPr>
            <w:r>
              <w:rPr>
                <w:rFonts w:ascii="Arial" w:cs="Arial" w:eastAsia="Arial" w:hAnsi="Arial"/>
                <w:sz w:val="16"/>
                <w:szCs w:val="16"/>
                <w:color w:val="auto"/>
              </w:rPr>
              <w:t>California</w:t>
            </w:r>
          </w:p>
        </w:tc>
        <w:tc>
          <w:tcPr>
            <w:tcW w:w="114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6.8</w:t>
            </w:r>
          </w:p>
        </w:tc>
        <w:tc>
          <w:tcPr>
            <w:tcW w:w="120" w:type="dxa"/>
            <w:vAlign w:val="bottom"/>
            <w:shd w:val="clear" w:color="auto" w:fill="CCEEFF"/>
          </w:tcPr>
          <w:p>
            <w:pPr>
              <w:spacing w:after="0"/>
              <w:rPr>
                <w:sz w:val="21"/>
                <w:szCs w:val="21"/>
                <w:color w:val="auto"/>
              </w:rPr>
            </w:pPr>
          </w:p>
        </w:tc>
        <w:tc>
          <w:tcPr>
            <w:tcW w:w="3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2,012</w:t>
            </w:r>
          </w:p>
        </w:tc>
        <w:tc>
          <w:tcPr>
            <w:tcW w:w="3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90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294.26</w:t>
            </w:r>
          </w:p>
        </w:tc>
        <w:tc>
          <w:tcPr>
            <w:tcW w:w="120" w:type="dxa"/>
            <w:vAlign w:val="bottom"/>
            <w:shd w:val="clear" w:color="auto" w:fill="CCEEFF"/>
          </w:tcPr>
          <w:p>
            <w:pPr>
              <w:spacing w:after="0"/>
              <w:rPr>
                <w:sz w:val="21"/>
                <w:szCs w:val="21"/>
                <w:color w:val="auto"/>
              </w:rPr>
            </w:pPr>
          </w:p>
        </w:tc>
        <w:tc>
          <w:tcPr>
            <w:tcW w:w="3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12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1,742</w:t>
            </w:r>
          </w:p>
        </w:tc>
        <w:tc>
          <w:tcPr>
            <w:tcW w:w="3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90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254.67</w:t>
            </w: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86.5%</w:t>
            </w:r>
          </w:p>
        </w:tc>
        <w:tc>
          <w:tcPr>
            <w:tcW w:w="100" w:type="dxa"/>
            <w:vAlign w:val="bottom"/>
            <w:shd w:val="clear" w:color="auto" w:fill="CCEEFF"/>
          </w:tcPr>
          <w:p>
            <w:pPr>
              <w:spacing w:after="0"/>
              <w:rPr>
                <w:sz w:val="21"/>
                <w:szCs w:val="21"/>
                <w:color w:val="auto"/>
              </w:rPr>
            </w:pPr>
          </w:p>
        </w:tc>
        <w:tc>
          <w:tcPr>
            <w:tcW w:w="380" w:type="dxa"/>
            <w:vAlign w:val="bottom"/>
            <w:shd w:val="clear" w:color="auto" w:fill="CCEEFF"/>
          </w:tcPr>
          <w:p>
            <w:pPr>
              <w:ind w:left="40"/>
              <w:spacing w:after="0"/>
              <w:rPr>
                <w:sz w:val="20"/>
                <w:szCs w:val="20"/>
                <w:color w:val="auto"/>
              </w:rPr>
            </w:pPr>
            <w:r>
              <w:rPr>
                <w:rFonts w:ascii="Arial" w:cs="Arial" w:eastAsia="Arial" w:hAnsi="Arial"/>
                <w:sz w:val="16"/>
                <w:szCs w:val="16"/>
                <w:color w:val="auto"/>
              </w:rPr>
              <w:t>$</w:t>
            </w:r>
          </w:p>
        </w:tc>
        <w:tc>
          <w:tcPr>
            <w:tcW w:w="7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270</w:t>
            </w:r>
          </w:p>
        </w:tc>
        <w:tc>
          <w:tcPr>
            <w:tcW w:w="0" w:type="dxa"/>
            <w:vAlign w:val="bottom"/>
          </w:tcPr>
          <w:p>
            <w:pPr>
              <w:spacing w:after="0"/>
              <w:rPr>
                <w:sz w:val="1"/>
                <w:szCs w:val="1"/>
                <w:color w:val="auto"/>
              </w:rPr>
            </w:pPr>
          </w:p>
        </w:tc>
      </w:tr>
      <w:tr>
        <w:trPr>
          <w:trHeight w:val="262"/>
        </w:trPr>
        <w:tc>
          <w:tcPr>
            <w:tcW w:w="2080" w:type="dxa"/>
            <w:vAlign w:val="bottom"/>
          </w:tcPr>
          <w:p>
            <w:pPr>
              <w:ind w:left="40"/>
              <w:spacing w:after="0"/>
              <w:rPr>
                <w:sz w:val="20"/>
                <w:szCs w:val="20"/>
                <w:color w:val="auto"/>
              </w:rPr>
            </w:pPr>
            <w:r>
              <w:rPr>
                <w:rFonts w:ascii="Arial" w:cs="Arial" w:eastAsia="Arial" w:hAnsi="Arial"/>
                <w:sz w:val="16"/>
                <w:szCs w:val="16"/>
                <w:color w:val="auto"/>
              </w:rPr>
              <w:t>Florida</w:t>
            </w:r>
          </w:p>
        </w:tc>
        <w:tc>
          <w:tcPr>
            <w:tcW w:w="1140" w:type="dxa"/>
            <w:vAlign w:val="bottom"/>
          </w:tcPr>
          <w:p>
            <w:pPr>
              <w:jc w:val="right"/>
              <w:ind w:right="20"/>
              <w:spacing w:after="0"/>
              <w:rPr>
                <w:sz w:val="20"/>
                <w:szCs w:val="20"/>
                <w:color w:val="auto"/>
              </w:rPr>
            </w:pPr>
            <w:r>
              <w:rPr>
                <w:rFonts w:ascii="Arial" w:cs="Arial" w:eastAsia="Arial" w:hAnsi="Arial"/>
                <w:sz w:val="16"/>
                <w:szCs w:val="16"/>
                <w:color w:val="auto"/>
              </w:rPr>
              <w:t>6.0</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20" w:type="dxa"/>
            <w:vAlign w:val="bottom"/>
          </w:tcPr>
          <w:p>
            <w:pPr>
              <w:jc w:val="right"/>
              <w:ind w:right="20"/>
              <w:spacing w:after="0"/>
              <w:rPr>
                <w:sz w:val="20"/>
                <w:szCs w:val="20"/>
                <w:color w:val="auto"/>
              </w:rPr>
            </w:pPr>
            <w:r>
              <w:rPr>
                <w:rFonts w:ascii="Arial" w:cs="Arial" w:eastAsia="Arial" w:hAnsi="Arial"/>
                <w:sz w:val="16"/>
                <w:szCs w:val="16"/>
                <w:color w:val="auto"/>
              </w:rPr>
              <w:t>1,953</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323.86</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20" w:type="dxa"/>
            <w:vAlign w:val="bottom"/>
          </w:tcPr>
          <w:p>
            <w:pPr>
              <w:jc w:val="right"/>
              <w:ind w:right="20"/>
              <w:spacing w:after="0"/>
              <w:rPr>
                <w:sz w:val="20"/>
                <w:szCs w:val="20"/>
                <w:color w:val="auto"/>
              </w:rPr>
            </w:pPr>
            <w:r>
              <w:rPr>
                <w:rFonts w:ascii="Arial" w:cs="Arial" w:eastAsia="Arial" w:hAnsi="Arial"/>
                <w:sz w:val="16"/>
                <w:szCs w:val="16"/>
                <w:color w:val="auto"/>
              </w:rPr>
              <w:t>1,870</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310.09</w:t>
            </w:r>
          </w:p>
        </w:tc>
        <w:tc>
          <w:tcPr>
            <w:tcW w:w="1320" w:type="dxa"/>
            <w:vAlign w:val="bottom"/>
            <w:gridSpan w:val="2"/>
          </w:tcPr>
          <w:p>
            <w:pPr>
              <w:jc w:val="right"/>
              <w:ind w:right="103"/>
              <w:spacing w:after="0"/>
              <w:rPr>
                <w:sz w:val="20"/>
                <w:szCs w:val="20"/>
                <w:color w:val="auto"/>
              </w:rPr>
            </w:pPr>
            <w:r>
              <w:rPr>
                <w:rFonts w:ascii="Arial" w:cs="Arial" w:eastAsia="Arial" w:hAnsi="Arial"/>
                <w:sz w:val="16"/>
                <w:szCs w:val="16"/>
                <w:color w:val="auto"/>
              </w:rPr>
              <w:t>95.7</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760" w:type="dxa"/>
            <w:vAlign w:val="bottom"/>
          </w:tcPr>
          <w:p>
            <w:pPr>
              <w:jc w:val="right"/>
              <w:ind w:right="19"/>
              <w:spacing w:after="0"/>
              <w:rPr>
                <w:sz w:val="20"/>
                <w:szCs w:val="20"/>
                <w:color w:val="auto"/>
              </w:rPr>
            </w:pPr>
            <w:r>
              <w:rPr>
                <w:rFonts w:ascii="Arial" w:cs="Arial" w:eastAsia="Arial" w:hAnsi="Arial"/>
                <w:sz w:val="16"/>
                <w:szCs w:val="16"/>
                <w:color w:val="auto"/>
              </w:rPr>
              <w:t>83</w:t>
            </w:r>
          </w:p>
        </w:tc>
        <w:tc>
          <w:tcPr>
            <w:tcW w:w="0" w:type="dxa"/>
            <w:vAlign w:val="bottom"/>
          </w:tcPr>
          <w:p>
            <w:pPr>
              <w:spacing w:after="0"/>
              <w:rPr>
                <w:sz w:val="1"/>
                <w:szCs w:val="1"/>
                <w:color w:val="auto"/>
              </w:rPr>
            </w:pPr>
          </w:p>
        </w:tc>
      </w:tr>
      <w:tr>
        <w:trPr>
          <w:trHeight w:val="278"/>
        </w:trPr>
        <w:tc>
          <w:tcPr>
            <w:tcW w:w="2080" w:type="dxa"/>
            <w:vAlign w:val="bottom"/>
            <w:shd w:val="clear" w:color="auto" w:fill="CCEEFF"/>
          </w:tcPr>
          <w:p>
            <w:pPr>
              <w:ind w:left="40"/>
              <w:spacing w:after="0"/>
              <w:rPr>
                <w:sz w:val="20"/>
                <w:szCs w:val="20"/>
                <w:color w:val="auto"/>
              </w:rPr>
            </w:pPr>
            <w:r>
              <w:rPr>
                <w:rFonts w:ascii="Arial" w:cs="Arial" w:eastAsia="Arial" w:hAnsi="Arial"/>
                <w:sz w:val="16"/>
                <w:szCs w:val="16"/>
                <w:color w:val="auto"/>
              </w:rPr>
              <w:t>Illinois</w:t>
            </w:r>
          </w:p>
        </w:tc>
        <w:tc>
          <w:tcPr>
            <w:tcW w:w="114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1.6</w:t>
            </w: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447</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284.18</w:t>
            </w: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492</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312.54</w:t>
            </w:r>
          </w:p>
        </w:tc>
        <w:tc>
          <w:tcPr>
            <w:tcW w:w="1320" w:type="dxa"/>
            <w:vAlign w:val="bottom"/>
            <w:gridSpan w:val="2"/>
            <w:shd w:val="clear" w:color="auto" w:fill="CCEEFF"/>
          </w:tcPr>
          <w:p>
            <w:pPr>
              <w:jc w:val="right"/>
              <w:ind w:right="103"/>
              <w:spacing w:after="0"/>
              <w:rPr>
                <w:sz w:val="20"/>
                <w:szCs w:val="20"/>
                <w:color w:val="auto"/>
              </w:rPr>
            </w:pPr>
            <w:r>
              <w:rPr>
                <w:rFonts w:ascii="Arial" w:cs="Arial" w:eastAsia="Arial" w:hAnsi="Arial"/>
                <w:sz w:val="16"/>
                <w:szCs w:val="16"/>
                <w:color w:val="auto"/>
              </w:rPr>
              <w:t>110.0</w:t>
            </w: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w:t>
            </w:r>
          </w:p>
        </w:tc>
        <w:tc>
          <w:tcPr>
            <w:tcW w:w="0" w:type="dxa"/>
            <w:vAlign w:val="bottom"/>
          </w:tcPr>
          <w:p>
            <w:pPr>
              <w:spacing w:after="0"/>
              <w:rPr>
                <w:sz w:val="1"/>
                <w:szCs w:val="1"/>
                <w:color w:val="auto"/>
              </w:rPr>
            </w:pPr>
          </w:p>
        </w:tc>
      </w:tr>
      <w:tr>
        <w:trPr>
          <w:trHeight w:val="262"/>
        </w:trPr>
        <w:tc>
          <w:tcPr>
            <w:tcW w:w="2080" w:type="dxa"/>
            <w:vAlign w:val="bottom"/>
          </w:tcPr>
          <w:p>
            <w:pPr>
              <w:ind w:left="40"/>
              <w:spacing w:after="0"/>
              <w:rPr>
                <w:sz w:val="20"/>
                <w:szCs w:val="20"/>
                <w:color w:val="auto"/>
              </w:rPr>
            </w:pPr>
            <w:r>
              <w:rPr>
                <w:rFonts w:ascii="Arial" w:cs="Arial" w:eastAsia="Arial" w:hAnsi="Arial"/>
                <w:sz w:val="16"/>
                <w:szCs w:val="16"/>
                <w:color w:val="auto"/>
              </w:rPr>
              <w:t>Michigan</w:t>
            </w:r>
          </w:p>
        </w:tc>
        <w:tc>
          <w:tcPr>
            <w:tcW w:w="1140" w:type="dxa"/>
            <w:vAlign w:val="bottom"/>
          </w:tcPr>
          <w:p>
            <w:pPr>
              <w:jc w:val="right"/>
              <w:ind w:right="20"/>
              <w:spacing w:after="0"/>
              <w:rPr>
                <w:sz w:val="20"/>
                <w:szCs w:val="20"/>
                <w:color w:val="auto"/>
              </w:rPr>
            </w:pPr>
            <w:r>
              <w:rPr>
                <w:rFonts w:ascii="Arial" w:cs="Arial" w:eastAsia="Arial" w:hAnsi="Arial"/>
                <w:sz w:val="16"/>
                <w:szCs w:val="16"/>
                <w:color w:val="auto"/>
              </w:rPr>
              <w:t>3.7</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20" w:type="dxa"/>
            <w:vAlign w:val="bottom"/>
          </w:tcPr>
          <w:p>
            <w:pPr>
              <w:jc w:val="right"/>
              <w:ind w:right="20"/>
              <w:spacing w:after="0"/>
              <w:rPr>
                <w:sz w:val="20"/>
                <w:szCs w:val="20"/>
                <w:color w:val="auto"/>
              </w:rPr>
            </w:pPr>
            <w:r>
              <w:rPr>
                <w:rFonts w:ascii="Arial" w:cs="Arial" w:eastAsia="Arial" w:hAnsi="Arial"/>
                <w:sz w:val="16"/>
                <w:szCs w:val="16"/>
                <w:color w:val="auto"/>
              </w:rPr>
              <w:t>1,203</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324.12</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20" w:type="dxa"/>
            <w:vAlign w:val="bottom"/>
          </w:tcPr>
          <w:p>
            <w:pPr>
              <w:jc w:val="right"/>
              <w:ind w:right="20"/>
              <w:spacing w:after="0"/>
              <w:rPr>
                <w:sz w:val="20"/>
                <w:szCs w:val="20"/>
                <w:color w:val="auto"/>
              </w:rPr>
            </w:pPr>
            <w:r>
              <w:rPr>
                <w:rFonts w:ascii="Arial" w:cs="Arial" w:eastAsia="Arial" w:hAnsi="Arial"/>
                <w:sz w:val="16"/>
                <w:szCs w:val="16"/>
                <w:color w:val="auto"/>
              </w:rPr>
              <w:t>1,062</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286.35</w:t>
            </w:r>
          </w:p>
        </w:tc>
        <w:tc>
          <w:tcPr>
            <w:tcW w:w="1320" w:type="dxa"/>
            <w:vAlign w:val="bottom"/>
            <w:gridSpan w:val="2"/>
          </w:tcPr>
          <w:p>
            <w:pPr>
              <w:jc w:val="right"/>
              <w:ind w:right="103"/>
              <w:spacing w:after="0"/>
              <w:rPr>
                <w:sz w:val="20"/>
                <w:szCs w:val="20"/>
                <w:color w:val="auto"/>
              </w:rPr>
            </w:pPr>
            <w:r>
              <w:rPr>
                <w:rFonts w:ascii="Arial" w:cs="Arial" w:eastAsia="Arial" w:hAnsi="Arial"/>
                <w:sz w:val="16"/>
                <w:szCs w:val="16"/>
                <w:color w:val="auto"/>
              </w:rPr>
              <w:t>88.3</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760" w:type="dxa"/>
            <w:vAlign w:val="bottom"/>
          </w:tcPr>
          <w:p>
            <w:pPr>
              <w:jc w:val="right"/>
              <w:ind w:right="19"/>
              <w:spacing w:after="0"/>
              <w:rPr>
                <w:sz w:val="20"/>
                <w:szCs w:val="20"/>
                <w:color w:val="auto"/>
              </w:rPr>
            </w:pPr>
            <w:r>
              <w:rPr>
                <w:rFonts w:ascii="Arial" w:cs="Arial" w:eastAsia="Arial" w:hAnsi="Arial"/>
                <w:sz w:val="16"/>
                <w:szCs w:val="16"/>
                <w:color w:val="auto"/>
              </w:rPr>
              <w:t>141</w:t>
            </w:r>
          </w:p>
        </w:tc>
        <w:tc>
          <w:tcPr>
            <w:tcW w:w="0" w:type="dxa"/>
            <w:vAlign w:val="bottom"/>
          </w:tcPr>
          <w:p>
            <w:pPr>
              <w:spacing w:after="0"/>
              <w:rPr>
                <w:sz w:val="1"/>
                <w:szCs w:val="1"/>
                <w:color w:val="auto"/>
              </w:rPr>
            </w:pPr>
          </w:p>
        </w:tc>
      </w:tr>
      <w:tr>
        <w:trPr>
          <w:trHeight w:val="278"/>
        </w:trPr>
        <w:tc>
          <w:tcPr>
            <w:tcW w:w="2080" w:type="dxa"/>
            <w:vAlign w:val="bottom"/>
            <w:shd w:val="clear" w:color="auto" w:fill="CCEEFF"/>
          </w:tcPr>
          <w:p>
            <w:pPr>
              <w:ind w:left="40"/>
              <w:spacing w:after="0"/>
              <w:rPr>
                <w:sz w:val="20"/>
                <w:szCs w:val="20"/>
                <w:color w:val="auto"/>
              </w:rPr>
            </w:pPr>
            <w:r>
              <w:rPr>
                <w:rFonts w:ascii="Arial" w:cs="Arial" w:eastAsia="Arial" w:hAnsi="Arial"/>
                <w:sz w:val="16"/>
                <w:szCs w:val="16"/>
                <w:color w:val="auto"/>
              </w:rPr>
              <w:t>New Mexico</w:t>
            </w:r>
          </w:p>
        </w:tc>
        <w:tc>
          <w:tcPr>
            <w:tcW w:w="114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2.4</w:t>
            </w: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1,015</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422.25</w:t>
            </w: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949</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394.66</w:t>
            </w:r>
          </w:p>
        </w:tc>
        <w:tc>
          <w:tcPr>
            <w:tcW w:w="1320" w:type="dxa"/>
            <w:vAlign w:val="bottom"/>
            <w:gridSpan w:val="2"/>
            <w:shd w:val="clear" w:color="auto" w:fill="CCEEFF"/>
          </w:tcPr>
          <w:p>
            <w:pPr>
              <w:jc w:val="right"/>
              <w:ind w:right="103"/>
              <w:spacing w:after="0"/>
              <w:rPr>
                <w:sz w:val="20"/>
                <w:szCs w:val="20"/>
                <w:color w:val="auto"/>
              </w:rPr>
            </w:pPr>
            <w:r>
              <w:rPr>
                <w:rFonts w:ascii="Arial" w:cs="Arial" w:eastAsia="Arial" w:hAnsi="Arial"/>
                <w:sz w:val="16"/>
                <w:szCs w:val="16"/>
                <w:color w:val="auto"/>
              </w:rPr>
              <w:t>93.5</w:t>
            </w: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7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66</w:t>
            </w:r>
          </w:p>
        </w:tc>
        <w:tc>
          <w:tcPr>
            <w:tcW w:w="0" w:type="dxa"/>
            <w:vAlign w:val="bottom"/>
          </w:tcPr>
          <w:p>
            <w:pPr>
              <w:spacing w:after="0"/>
              <w:rPr>
                <w:sz w:val="1"/>
                <w:szCs w:val="1"/>
                <w:color w:val="auto"/>
              </w:rPr>
            </w:pPr>
          </w:p>
        </w:tc>
      </w:tr>
      <w:tr>
        <w:trPr>
          <w:trHeight w:val="270"/>
        </w:trPr>
        <w:tc>
          <w:tcPr>
            <w:tcW w:w="2080" w:type="dxa"/>
            <w:vAlign w:val="bottom"/>
          </w:tcPr>
          <w:p>
            <w:pPr>
              <w:ind w:left="40"/>
              <w:spacing w:after="0"/>
              <w:rPr>
                <w:sz w:val="20"/>
                <w:szCs w:val="20"/>
                <w:color w:val="auto"/>
              </w:rPr>
            </w:pPr>
            <w:r>
              <w:rPr>
                <w:rFonts w:ascii="Arial" w:cs="Arial" w:eastAsia="Arial" w:hAnsi="Arial"/>
                <w:sz w:val="16"/>
                <w:szCs w:val="16"/>
                <w:color w:val="auto"/>
              </w:rPr>
              <w:t xml:space="preserve">New York </w:t>
            </w:r>
            <w:r>
              <w:rPr>
                <w:rFonts w:ascii="Arial" w:cs="Arial" w:eastAsia="Arial" w:hAnsi="Arial"/>
                <w:sz w:val="21"/>
                <w:szCs w:val="21"/>
                <w:color w:val="auto"/>
                <w:vertAlign w:val="superscript"/>
              </w:rPr>
              <w:t>(1)</w:t>
            </w:r>
          </w:p>
        </w:tc>
        <w:tc>
          <w:tcPr>
            <w:tcW w:w="1140" w:type="dxa"/>
            <w:vAlign w:val="bottom"/>
          </w:tcPr>
          <w:p>
            <w:pPr>
              <w:jc w:val="right"/>
              <w:ind w:right="20"/>
              <w:spacing w:after="0"/>
              <w:rPr>
                <w:sz w:val="20"/>
                <w:szCs w:val="20"/>
                <w:color w:val="auto"/>
              </w:rPr>
            </w:pPr>
            <w:r>
              <w:rPr>
                <w:rFonts w:ascii="Arial" w:cs="Arial" w:eastAsia="Arial" w:hAnsi="Arial"/>
                <w:sz w:val="16"/>
                <w:szCs w:val="16"/>
                <w:color w:val="auto"/>
              </w:rPr>
              <w:t>0.3</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20" w:type="dxa"/>
            <w:vAlign w:val="bottom"/>
          </w:tcPr>
          <w:p>
            <w:pPr>
              <w:jc w:val="right"/>
              <w:ind w:right="20"/>
              <w:spacing w:after="0"/>
              <w:rPr>
                <w:sz w:val="20"/>
                <w:szCs w:val="20"/>
                <w:color w:val="auto"/>
              </w:rPr>
            </w:pPr>
            <w:r>
              <w:rPr>
                <w:rFonts w:ascii="Arial" w:cs="Arial" w:eastAsia="Arial" w:hAnsi="Arial"/>
                <w:sz w:val="16"/>
                <w:szCs w:val="16"/>
                <w:color w:val="auto"/>
              </w:rPr>
              <w:t>135</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444.77</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20" w:type="dxa"/>
            <w:vAlign w:val="bottom"/>
          </w:tcPr>
          <w:p>
            <w:pPr>
              <w:jc w:val="right"/>
              <w:ind w:right="20"/>
              <w:spacing w:after="0"/>
              <w:rPr>
                <w:sz w:val="20"/>
                <w:szCs w:val="20"/>
                <w:color w:val="auto"/>
              </w:rPr>
            </w:pPr>
            <w:r>
              <w:rPr>
                <w:rFonts w:ascii="Arial" w:cs="Arial" w:eastAsia="Arial" w:hAnsi="Arial"/>
                <w:sz w:val="16"/>
                <w:szCs w:val="16"/>
                <w:color w:val="auto"/>
              </w:rPr>
              <w:t>128</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421.58</w:t>
            </w:r>
          </w:p>
        </w:tc>
        <w:tc>
          <w:tcPr>
            <w:tcW w:w="1320" w:type="dxa"/>
            <w:vAlign w:val="bottom"/>
            <w:gridSpan w:val="2"/>
          </w:tcPr>
          <w:p>
            <w:pPr>
              <w:jc w:val="right"/>
              <w:ind w:right="103"/>
              <w:spacing w:after="0"/>
              <w:rPr>
                <w:sz w:val="20"/>
                <w:szCs w:val="20"/>
                <w:color w:val="auto"/>
              </w:rPr>
            </w:pPr>
            <w:r>
              <w:rPr>
                <w:rFonts w:ascii="Arial" w:cs="Arial" w:eastAsia="Arial" w:hAnsi="Arial"/>
                <w:sz w:val="16"/>
                <w:szCs w:val="16"/>
                <w:color w:val="auto"/>
              </w:rPr>
              <w:t>94.8</w:t>
            </w: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760" w:type="dxa"/>
            <w:vAlign w:val="bottom"/>
          </w:tcPr>
          <w:p>
            <w:pPr>
              <w:jc w:val="right"/>
              <w:ind w:right="19"/>
              <w:spacing w:after="0"/>
              <w:rPr>
                <w:sz w:val="20"/>
                <w:szCs w:val="20"/>
                <w:color w:val="auto"/>
              </w:rPr>
            </w:pPr>
            <w:r>
              <w:rPr>
                <w:rFonts w:ascii="Arial" w:cs="Arial" w:eastAsia="Arial" w:hAnsi="Arial"/>
                <w:sz w:val="16"/>
                <w:szCs w:val="16"/>
                <w:color w:val="auto"/>
              </w:rPr>
              <w:t>7</w:t>
            </w:r>
          </w:p>
        </w:tc>
        <w:tc>
          <w:tcPr>
            <w:tcW w:w="0" w:type="dxa"/>
            <w:vAlign w:val="bottom"/>
          </w:tcPr>
          <w:p>
            <w:pPr>
              <w:spacing w:after="0"/>
              <w:rPr>
                <w:sz w:val="1"/>
                <w:szCs w:val="1"/>
                <w:color w:val="auto"/>
              </w:rPr>
            </w:pPr>
          </w:p>
        </w:tc>
      </w:tr>
      <w:tr>
        <w:trPr>
          <w:trHeight w:val="270"/>
        </w:trPr>
        <w:tc>
          <w:tcPr>
            <w:tcW w:w="2080" w:type="dxa"/>
            <w:vAlign w:val="bottom"/>
            <w:shd w:val="clear" w:color="auto" w:fill="CCEEFF"/>
          </w:tcPr>
          <w:p>
            <w:pPr>
              <w:ind w:left="40"/>
              <w:spacing w:after="0"/>
              <w:rPr>
                <w:sz w:val="20"/>
                <w:szCs w:val="20"/>
                <w:color w:val="auto"/>
              </w:rPr>
            </w:pPr>
            <w:r>
              <w:rPr>
                <w:rFonts w:ascii="Arial" w:cs="Arial" w:eastAsia="Arial" w:hAnsi="Arial"/>
                <w:sz w:val="16"/>
                <w:szCs w:val="16"/>
                <w:color w:val="auto"/>
              </w:rPr>
              <w:t>Ohio</w:t>
            </w:r>
          </w:p>
        </w:tc>
        <w:tc>
          <w:tcPr>
            <w:tcW w:w="114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3.1</w:t>
            </w:r>
          </w:p>
        </w:tc>
        <w:tc>
          <w:tcPr>
            <w:tcW w:w="12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2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1,666</w:t>
            </w: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90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531.17</w:t>
            </w:r>
          </w:p>
        </w:tc>
        <w:tc>
          <w:tcPr>
            <w:tcW w:w="12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2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1,498</w:t>
            </w: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90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477.81</w:t>
            </w:r>
          </w:p>
        </w:tc>
        <w:tc>
          <w:tcPr>
            <w:tcW w:w="1320" w:type="dxa"/>
            <w:vAlign w:val="bottom"/>
            <w:gridSpan w:val="2"/>
            <w:shd w:val="clear" w:color="auto" w:fill="CCEEFF"/>
          </w:tcPr>
          <w:p>
            <w:pPr>
              <w:jc w:val="right"/>
              <w:ind w:right="103"/>
              <w:spacing w:after="0"/>
              <w:rPr>
                <w:sz w:val="20"/>
                <w:szCs w:val="20"/>
                <w:color w:val="auto"/>
              </w:rPr>
            </w:pPr>
            <w:r>
              <w:rPr>
                <w:rFonts w:ascii="Arial" w:cs="Arial" w:eastAsia="Arial" w:hAnsi="Arial"/>
                <w:sz w:val="16"/>
                <w:szCs w:val="16"/>
                <w:color w:val="auto"/>
              </w:rPr>
              <w:t>90.0</w:t>
            </w:r>
          </w:p>
        </w:tc>
        <w:tc>
          <w:tcPr>
            <w:tcW w:w="10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7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168</w:t>
            </w:r>
          </w:p>
        </w:tc>
        <w:tc>
          <w:tcPr>
            <w:tcW w:w="0" w:type="dxa"/>
            <w:vAlign w:val="bottom"/>
          </w:tcPr>
          <w:p>
            <w:pPr>
              <w:spacing w:after="0"/>
              <w:rPr>
                <w:sz w:val="1"/>
                <w:szCs w:val="1"/>
                <w:color w:val="auto"/>
              </w:rPr>
            </w:pPr>
          </w:p>
        </w:tc>
      </w:tr>
      <w:tr>
        <w:trPr>
          <w:trHeight w:val="262"/>
        </w:trPr>
        <w:tc>
          <w:tcPr>
            <w:tcW w:w="2080" w:type="dxa"/>
            <w:vAlign w:val="bottom"/>
          </w:tcPr>
          <w:p>
            <w:pPr>
              <w:ind w:left="40"/>
              <w:spacing w:after="0"/>
              <w:rPr>
                <w:sz w:val="20"/>
                <w:szCs w:val="20"/>
                <w:color w:val="auto"/>
              </w:rPr>
            </w:pPr>
            <w:r>
              <w:rPr>
                <w:rFonts w:ascii="Arial" w:cs="Arial" w:eastAsia="Arial" w:hAnsi="Arial"/>
                <w:sz w:val="16"/>
                <w:szCs w:val="16"/>
                <w:color w:val="auto"/>
              </w:rPr>
              <w:t>Puerto Rico</w:t>
            </w:r>
          </w:p>
        </w:tc>
        <w:tc>
          <w:tcPr>
            <w:tcW w:w="1140" w:type="dxa"/>
            <w:vAlign w:val="bottom"/>
          </w:tcPr>
          <w:p>
            <w:pPr>
              <w:jc w:val="right"/>
              <w:ind w:right="20"/>
              <w:spacing w:after="0"/>
              <w:rPr>
                <w:sz w:val="20"/>
                <w:szCs w:val="20"/>
                <w:color w:val="auto"/>
              </w:rPr>
            </w:pPr>
            <w:r>
              <w:rPr>
                <w:rFonts w:ascii="Arial" w:cs="Arial" w:eastAsia="Arial" w:hAnsi="Arial"/>
                <w:sz w:val="16"/>
                <w:szCs w:val="16"/>
                <w:color w:val="auto"/>
              </w:rPr>
              <w:t>2.9</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20" w:type="dxa"/>
            <w:vAlign w:val="bottom"/>
          </w:tcPr>
          <w:p>
            <w:pPr>
              <w:jc w:val="right"/>
              <w:ind w:right="20"/>
              <w:spacing w:after="0"/>
              <w:rPr>
                <w:sz w:val="20"/>
                <w:szCs w:val="20"/>
                <w:color w:val="auto"/>
              </w:rPr>
            </w:pPr>
            <w:r>
              <w:rPr>
                <w:rFonts w:ascii="Arial" w:cs="Arial" w:eastAsia="Arial" w:hAnsi="Arial"/>
                <w:sz w:val="16"/>
                <w:szCs w:val="16"/>
                <w:color w:val="auto"/>
              </w:rPr>
              <w:t>553</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190.99</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20" w:type="dxa"/>
            <w:vAlign w:val="bottom"/>
          </w:tcPr>
          <w:p>
            <w:pPr>
              <w:jc w:val="right"/>
              <w:ind w:right="20"/>
              <w:spacing w:after="0"/>
              <w:rPr>
                <w:sz w:val="20"/>
                <w:szCs w:val="20"/>
                <w:color w:val="auto"/>
              </w:rPr>
            </w:pPr>
            <w:r>
              <w:rPr>
                <w:rFonts w:ascii="Arial" w:cs="Arial" w:eastAsia="Arial" w:hAnsi="Arial"/>
                <w:sz w:val="16"/>
                <w:szCs w:val="16"/>
                <w:color w:val="auto"/>
              </w:rPr>
              <w:t>513</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177.01</w:t>
            </w:r>
          </w:p>
        </w:tc>
        <w:tc>
          <w:tcPr>
            <w:tcW w:w="1320" w:type="dxa"/>
            <w:vAlign w:val="bottom"/>
            <w:gridSpan w:val="2"/>
          </w:tcPr>
          <w:p>
            <w:pPr>
              <w:jc w:val="right"/>
              <w:ind w:right="103"/>
              <w:spacing w:after="0"/>
              <w:rPr>
                <w:sz w:val="20"/>
                <w:szCs w:val="20"/>
                <w:color w:val="auto"/>
              </w:rPr>
            </w:pPr>
            <w:r>
              <w:rPr>
                <w:rFonts w:ascii="Arial" w:cs="Arial" w:eastAsia="Arial" w:hAnsi="Arial"/>
                <w:sz w:val="16"/>
                <w:szCs w:val="16"/>
                <w:color w:val="auto"/>
              </w:rPr>
              <w:t>92.7</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760" w:type="dxa"/>
            <w:vAlign w:val="bottom"/>
          </w:tcPr>
          <w:p>
            <w:pPr>
              <w:jc w:val="right"/>
              <w:ind w:right="19"/>
              <w:spacing w:after="0"/>
              <w:rPr>
                <w:sz w:val="20"/>
                <w:szCs w:val="20"/>
                <w:color w:val="auto"/>
              </w:rPr>
            </w:pPr>
            <w:r>
              <w:rPr>
                <w:rFonts w:ascii="Arial" w:cs="Arial" w:eastAsia="Arial" w:hAnsi="Arial"/>
                <w:sz w:val="16"/>
                <w:szCs w:val="16"/>
                <w:color w:val="auto"/>
              </w:rPr>
              <w:t>40</w:t>
            </w:r>
          </w:p>
        </w:tc>
        <w:tc>
          <w:tcPr>
            <w:tcW w:w="0" w:type="dxa"/>
            <w:vAlign w:val="bottom"/>
          </w:tcPr>
          <w:p>
            <w:pPr>
              <w:spacing w:after="0"/>
              <w:rPr>
                <w:sz w:val="1"/>
                <w:szCs w:val="1"/>
                <w:color w:val="auto"/>
              </w:rPr>
            </w:pPr>
          </w:p>
        </w:tc>
      </w:tr>
      <w:tr>
        <w:trPr>
          <w:trHeight w:val="278"/>
        </w:trPr>
        <w:tc>
          <w:tcPr>
            <w:tcW w:w="2080" w:type="dxa"/>
            <w:vAlign w:val="bottom"/>
            <w:shd w:val="clear" w:color="auto" w:fill="CCEEFF"/>
          </w:tcPr>
          <w:p>
            <w:pPr>
              <w:ind w:left="40"/>
              <w:spacing w:after="0"/>
              <w:rPr>
                <w:sz w:val="20"/>
                <w:szCs w:val="20"/>
                <w:color w:val="auto"/>
              </w:rPr>
            </w:pPr>
            <w:r>
              <w:rPr>
                <w:rFonts w:ascii="Arial" w:cs="Arial" w:eastAsia="Arial" w:hAnsi="Arial"/>
                <w:sz w:val="16"/>
                <w:szCs w:val="16"/>
                <w:color w:val="auto"/>
              </w:rPr>
              <w:t>South Carolina</w:t>
            </w:r>
          </w:p>
        </w:tc>
        <w:tc>
          <w:tcPr>
            <w:tcW w:w="114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1.0</w:t>
            </w: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329</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325.43</w:t>
            </w: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301</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298.43</w:t>
            </w:r>
          </w:p>
        </w:tc>
        <w:tc>
          <w:tcPr>
            <w:tcW w:w="1320" w:type="dxa"/>
            <w:vAlign w:val="bottom"/>
            <w:gridSpan w:val="2"/>
            <w:shd w:val="clear" w:color="auto" w:fill="CCEEFF"/>
          </w:tcPr>
          <w:p>
            <w:pPr>
              <w:jc w:val="right"/>
              <w:ind w:right="103"/>
              <w:spacing w:after="0"/>
              <w:rPr>
                <w:sz w:val="20"/>
                <w:szCs w:val="20"/>
                <w:color w:val="auto"/>
              </w:rPr>
            </w:pPr>
            <w:r>
              <w:rPr>
                <w:rFonts w:ascii="Arial" w:cs="Arial" w:eastAsia="Arial" w:hAnsi="Arial"/>
                <w:sz w:val="16"/>
                <w:szCs w:val="16"/>
                <w:color w:val="auto"/>
              </w:rPr>
              <w:t>91.7</w:t>
            </w: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7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28</w:t>
            </w:r>
          </w:p>
        </w:tc>
        <w:tc>
          <w:tcPr>
            <w:tcW w:w="0" w:type="dxa"/>
            <w:vAlign w:val="bottom"/>
          </w:tcPr>
          <w:p>
            <w:pPr>
              <w:spacing w:after="0"/>
              <w:rPr>
                <w:sz w:val="1"/>
                <w:szCs w:val="1"/>
                <w:color w:val="auto"/>
              </w:rPr>
            </w:pPr>
          </w:p>
        </w:tc>
      </w:tr>
      <w:tr>
        <w:trPr>
          <w:trHeight w:val="262"/>
        </w:trPr>
        <w:tc>
          <w:tcPr>
            <w:tcW w:w="2080" w:type="dxa"/>
            <w:vAlign w:val="bottom"/>
          </w:tcPr>
          <w:p>
            <w:pPr>
              <w:ind w:left="40"/>
              <w:spacing w:after="0"/>
              <w:rPr>
                <w:sz w:val="20"/>
                <w:szCs w:val="20"/>
                <w:color w:val="auto"/>
              </w:rPr>
            </w:pPr>
            <w:r>
              <w:rPr>
                <w:rFonts w:ascii="Arial" w:cs="Arial" w:eastAsia="Arial" w:hAnsi="Arial"/>
                <w:sz w:val="16"/>
                <w:szCs w:val="16"/>
                <w:color w:val="auto"/>
              </w:rPr>
              <w:t>Texas</w:t>
            </w:r>
          </w:p>
        </w:tc>
        <w:tc>
          <w:tcPr>
            <w:tcW w:w="1140" w:type="dxa"/>
            <w:vAlign w:val="bottom"/>
          </w:tcPr>
          <w:p>
            <w:pPr>
              <w:jc w:val="right"/>
              <w:ind w:right="20"/>
              <w:spacing w:after="0"/>
              <w:rPr>
                <w:sz w:val="20"/>
                <w:szCs w:val="20"/>
                <w:color w:val="auto"/>
              </w:rPr>
            </w:pPr>
            <w:r>
              <w:rPr>
                <w:rFonts w:ascii="Arial" w:cs="Arial" w:eastAsia="Arial" w:hAnsi="Arial"/>
                <w:sz w:val="16"/>
                <w:szCs w:val="16"/>
                <w:color w:val="auto"/>
              </w:rPr>
              <w:t>4.2</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20" w:type="dxa"/>
            <w:vAlign w:val="bottom"/>
          </w:tcPr>
          <w:p>
            <w:pPr>
              <w:jc w:val="right"/>
              <w:ind w:right="20"/>
              <w:spacing w:after="0"/>
              <w:rPr>
                <w:sz w:val="20"/>
                <w:szCs w:val="20"/>
                <w:color w:val="auto"/>
              </w:rPr>
            </w:pPr>
            <w:r>
              <w:rPr>
                <w:rFonts w:ascii="Arial" w:cs="Arial" w:eastAsia="Arial" w:hAnsi="Arial"/>
                <w:sz w:val="16"/>
                <w:szCs w:val="16"/>
                <w:color w:val="auto"/>
              </w:rPr>
              <w:t>2,109</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509.09</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20" w:type="dxa"/>
            <w:vAlign w:val="bottom"/>
          </w:tcPr>
          <w:p>
            <w:pPr>
              <w:jc w:val="right"/>
              <w:ind w:right="20"/>
              <w:spacing w:after="0"/>
              <w:rPr>
                <w:sz w:val="20"/>
                <w:szCs w:val="20"/>
                <w:color w:val="auto"/>
              </w:rPr>
            </w:pPr>
            <w:r>
              <w:rPr>
                <w:rFonts w:ascii="Arial" w:cs="Arial" w:eastAsia="Arial" w:hAnsi="Arial"/>
                <w:sz w:val="16"/>
                <w:szCs w:val="16"/>
                <w:color w:val="auto"/>
              </w:rPr>
              <w:t>1,819</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439.11</w:t>
            </w:r>
          </w:p>
        </w:tc>
        <w:tc>
          <w:tcPr>
            <w:tcW w:w="1320" w:type="dxa"/>
            <w:vAlign w:val="bottom"/>
            <w:gridSpan w:val="2"/>
          </w:tcPr>
          <w:p>
            <w:pPr>
              <w:jc w:val="right"/>
              <w:ind w:right="103"/>
              <w:spacing w:after="0"/>
              <w:rPr>
                <w:sz w:val="20"/>
                <w:szCs w:val="20"/>
                <w:color w:val="auto"/>
              </w:rPr>
            </w:pPr>
            <w:r>
              <w:rPr>
                <w:rFonts w:ascii="Arial" w:cs="Arial" w:eastAsia="Arial" w:hAnsi="Arial"/>
                <w:sz w:val="16"/>
                <w:szCs w:val="16"/>
                <w:color w:val="auto"/>
              </w:rPr>
              <w:t>86.3</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760" w:type="dxa"/>
            <w:vAlign w:val="bottom"/>
          </w:tcPr>
          <w:p>
            <w:pPr>
              <w:jc w:val="right"/>
              <w:ind w:right="19"/>
              <w:spacing w:after="0"/>
              <w:rPr>
                <w:sz w:val="20"/>
                <w:szCs w:val="20"/>
                <w:color w:val="auto"/>
              </w:rPr>
            </w:pPr>
            <w:r>
              <w:rPr>
                <w:rFonts w:ascii="Arial" w:cs="Arial" w:eastAsia="Arial" w:hAnsi="Arial"/>
                <w:sz w:val="16"/>
                <w:szCs w:val="16"/>
                <w:color w:val="auto"/>
              </w:rPr>
              <w:t>290</w:t>
            </w:r>
          </w:p>
        </w:tc>
        <w:tc>
          <w:tcPr>
            <w:tcW w:w="0" w:type="dxa"/>
            <w:vAlign w:val="bottom"/>
          </w:tcPr>
          <w:p>
            <w:pPr>
              <w:spacing w:after="0"/>
              <w:rPr>
                <w:sz w:val="1"/>
                <w:szCs w:val="1"/>
                <w:color w:val="auto"/>
              </w:rPr>
            </w:pPr>
          </w:p>
        </w:tc>
      </w:tr>
      <w:tr>
        <w:trPr>
          <w:trHeight w:val="278"/>
        </w:trPr>
        <w:tc>
          <w:tcPr>
            <w:tcW w:w="2080" w:type="dxa"/>
            <w:vAlign w:val="bottom"/>
            <w:shd w:val="clear" w:color="auto" w:fill="CCEEFF"/>
          </w:tcPr>
          <w:p>
            <w:pPr>
              <w:ind w:left="40"/>
              <w:spacing w:after="0"/>
              <w:rPr>
                <w:sz w:val="20"/>
                <w:szCs w:val="20"/>
                <w:color w:val="auto"/>
              </w:rPr>
            </w:pPr>
            <w:r>
              <w:rPr>
                <w:rFonts w:ascii="Arial" w:cs="Arial" w:eastAsia="Arial" w:hAnsi="Arial"/>
                <w:sz w:val="16"/>
                <w:szCs w:val="16"/>
                <w:color w:val="auto"/>
              </w:rPr>
              <w:t>Utah</w:t>
            </w:r>
          </w:p>
        </w:tc>
        <w:tc>
          <w:tcPr>
            <w:tcW w:w="114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1.5</w:t>
            </w: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402</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269.48</w:t>
            </w: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354</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237.20</w:t>
            </w:r>
          </w:p>
        </w:tc>
        <w:tc>
          <w:tcPr>
            <w:tcW w:w="1320" w:type="dxa"/>
            <w:vAlign w:val="bottom"/>
            <w:gridSpan w:val="2"/>
            <w:shd w:val="clear" w:color="auto" w:fill="CCEEFF"/>
          </w:tcPr>
          <w:p>
            <w:pPr>
              <w:jc w:val="right"/>
              <w:ind w:right="103"/>
              <w:spacing w:after="0"/>
              <w:rPr>
                <w:sz w:val="20"/>
                <w:szCs w:val="20"/>
                <w:color w:val="auto"/>
              </w:rPr>
            </w:pPr>
            <w:r>
              <w:rPr>
                <w:rFonts w:ascii="Arial" w:cs="Arial" w:eastAsia="Arial" w:hAnsi="Arial"/>
                <w:sz w:val="16"/>
                <w:szCs w:val="16"/>
                <w:color w:val="auto"/>
              </w:rPr>
              <w:t>88.0</w:t>
            </w: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7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48</w:t>
            </w:r>
          </w:p>
        </w:tc>
        <w:tc>
          <w:tcPr>
            <w:tcW w:w="0" w:type="dxa"/>
            <w:vAlign w:val="bottom"/>
          </w:tcPr>
          <w:p>
            <w:pPr>
              <w:spacing w:after="0"/>
              <w:rPr>
                <w:sz w:val="1"/>
                <w:szCs w:val="1"/>
                <w:color w:val="auto"/>
              </w:rPr>
            </w:pPr>
          </w:p>
        </w:tc>
      </w:tr>
      <w:tr>
        <w:trPr>
          <w:trHeight w:val="262"/>
        </w:trPr>
        <w:tc>
          <w:tcPr>
            <w:tcW w:w="2080" w:type="dxa"/>
            <w:vAlign w:val="bottom"/>
          </w:tcPr>
          <w:p>
            <w:pPr>
              <w:ind w:left="40"/>
              <w:spacing w:after="0"/>
              <w:rPr>
                <w:sz w:val="20"/>
                <w:szCs w:val="20"/>
                <w:color w:val="auto"/>
              </w:rPr>
            </w:pPr>
            <w:r>
              <w:rPr>
                <w:rFonts w:ascii="Arial" w:cs="Arial" w:eastAsia="Arial" w:hAnsi="Arial"/>
                <w:sz w:val="16"/>
                <w:szCs w:val="16"/>
                <w:color w:val="auto"/>
              </w:rPr>
              <w:t>Washington</w:t>
            </w:r>
          </w:p>
        </w:tc>
        <w:tc>
          <w:tcPr>
            <w:tcW w:w="1140" w:type="dxa"/>
            <w:vAlign w:val="bottom"/>
          </w:tcPr>
          <w:p>
            <w:pPr>
              <w:jc w:val="right"/>
              <w:ind w:right="20"/>
              <w:spacing w:after="0"/>
              <w:rPr>
                <w:sz w:val="20"/>
                <w:szCs w:val="20"/>
                <w:color w:val="auto"/>
              </w:rPr>
            </w:pPr>
            <w:r>
              <w:rPr>
                <w:rFonts w:ascii="Arial" w:cs="Arial" w:eastAsia="Arial" w:hAnsi="Arial"/>
                <w:sz w:val="16"/>
                <w:szCs w:val="16"/>
                <w:color w:val="auto"/>
              </w:rPr>
              <w:t>7.1</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20" w:type="dxa"/>
            <w:vAlign w:val="bottom"/>
          </w:tcPr>
          <w:p>
            <w:pPr>
              <w:jc w:val="right"/>
              <w:ind w:right="20"/>
              <w:spacing w:after="0"/>
              <w:rPr>
                <w:sz w:val="20"/>
                <w:szCs w:val="20"/>
                <w:color w:val="auto"/>
              </w:rPr>
            </w:pPr>
            <w:r>
              <w:rPr>
                <w:rFonts w:ascii="Arial" w:cs="Arial" w:eastAsia="Arial" w:hAnsi="Arial"/>
                <w:sz w:val="16"/>
                <w:szCs w:val="16"/>
                <w:color w:val="auto"/>
              </w:rPr>
              <w:t>1,958</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277.83</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20" w:type="dxa"/>
            <w:vAlign w:val="bottom"/>
          </w:tcPr>
          <w:p>
            <w:pPr>
              <w:jc w:val="right"/>
              <w:ind w:right="20"/>
              <w:spacing w:after="0"/>
              <w:rPr>
                <w:sz w:val="20"/>
                <w:szCs w:val="20"/>
                <w:color w:val="auto"/>
              </w:rPr>
            </w:pPr>
            <w:r>
              <w:rPr>
                <w:rFonts w:ascii="Arial" w:cs="Arial" w:eastAsia="Arial" w:hAnsi="Arial"/>
                <w:sz w:val="16"/>
                <w:szCs w:val="16"/>
                <w:color w:val="auto"/>
              </w:rPr>
              <w:t>1,731</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245.62</w:t>
            </w:r>
          </w:p>
        </w:tc>
        <w:tc>
          <w:tcPr>
            <w:tcW w:w="1320" w:type="dxa"/>
            <w:vAlign w:val="bottom"/>
            <w:gridSpan w:val="2"/>
          </w:tcPr>
          <w:p>
            <w:pPr>
              <w:jc w:val="right"/>
              <w:ind w:right="103"/>
              <w:spacing w:after="0"/>
              <w:rPr>
                <w:sz w:val="20"/>
                <w:szCs w:val="20"/>
                <w:color w:val="auto"/>
              </w:rPr>
            </w:pPr>
            <w:r>
              <w:rPr>
                <w:rFonts w:ascii="Arial" w:cs="Arial" w:eastAsia="Arial" w:hAnsi="Arial"/>
                <w:sz w:val="16"/>
                <w:szCs w:val="16"/>
                <w:color w:val="auto"/>
              </w:rPr>
              <w:t>88.4</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760" w:type="dxa"/>
            <w:vAlign w:val="bottom"/>
          </w:tcPr>
          <w:p>
            <w:pPr>
              <w:jc w:val="right"/>
              <w:ind w:right="19"/>
              <w:spacing w:after="0"/>
              <w:rPr>
                <w:sz w:val="20"/>
                <w:szCs w:val="20"/>
                <w:color w:val="auto"/>
              </w:rPr>
            </w:pPr>
            <w:r>
              <w:rPr>
                <w:rFonts w:ascii="Arial" w:cs="Arial" w:eastAsia="Arial" w:hAnsi="Arial"/>
                <w:sz w:val="16"/>
                <w:szCs w:val="16"/>
                <w:color w:val="auto"/>
              </w:rPr>
              <w:t>227</w:t>
            </w:r>
          </w:p>
        </w:tc>
        <w:tc>
          <w:tcPr>
            <w:tcW w:w="0" w:type="dxa"/>
            <w:vAlign w:val="bottom"/>
          </w:tcPr>
          <w:p>
            <w:pPr>
              <w:spacing w:after="0"/>
              <w:rPr>
                <w:sz w:val="1"/>
                <w:szCs w:val="1"/>
                <w:color w:val="auto"/>
              </w:rPr>
            </w:pPr>
          </w:p>
        </w:tc>
      </w:tr>
      <w:tr>
        <w:trPr>
          <w:trHeight w:val="278"/>
        </w:trPr>
        <w:tc>
          <w:tcPr>
            <w:tcW w:w="2080" w:type="dxa"/>
            <w:vAlign w:val="bottom"/>
            <w:shd w:val="clear" w:color="auto" w:fill="CCEEFF"/>
          </w:tcPr>
          <w:p>
            <w:pPr>
              <w:ind w:left="40"/>
              <w:spacing w:after="0"/>
              <w:rPr>
                <w:sz w:val="20"/>
                <w:szCs w:val="20"/>
                <w:color w:val="auto"/>
              </w:rPr>
            </w:pPr>
            <w:r>
              <w:rPr>
                <w:rFonts w:ascii="Arial" w:cs="Arial" w:eastAsia="Arial" w:hAnsi="Arial"/>
                <w:sz w:val="16"/>
                <w:szCs w:val="16"/>
                <w:color w:val="auto"/>
              </w:rPr>
              <w:t>Wisconsin</w:t>
            </w:r>
          </w:p>
        </w:tc>
        <w:tc>
          <w:tcPr>
            <w:tcW w:w="114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1.2</w:t>
            </w: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376</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319.57</w:t>
            </w: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340</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289.24</w:t>
            </w:r>
          </w:p>
        </w:tc>
        <w:tc>
          <w:tcPr>
            <w:tcW w:w="1320" w:type="dxa"/>
            <w:vAlign w:val="bottom"/>
            <w:gridSpan w:val="2"/>
            <w:shd w:val="clear" w:color="auto" w:fill="CCEEFF"/>
          </w:tcPr>
          <w:p>
            <w:pPr>
              <w:jc w:val="right"/>
              <w:ind w:right="103"/>
              <w:spacing w:after="0"/>
              <w:rPr>
                <w:sz w:val="20"/>
                <w:szCs w:val="20"/>
                <w:color w:val="auto"/>
              </w:rPr>
            </w:pPr>
            <w:r>
              <w:rPr>
                <w:rFonts w:ascii="Arial" w:cs="Arial" w:eastAsia="Arial" w:hAnsi="Arial"/>
                <w:sz w:val="16"/>
                <w:szCs w:val="16"/>
                <w:color w:val="auto"/>
              </w:rPr>
              <w:t>90.5</w:t>
            </w: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7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36</w:t>
            </w:r>
          </w:p>
        </w:tc>
        <w:tc>
          <w:tcPr>
            <w:tcW w:w="0" w:type="dxa"/>
            <w:vAlign w:val="bottom"/>
          </w:tcPr>
          <w:p>
            <w:pPr>
              <w:spacing w:after="0"/>
              <w:rPr>
                <w:sz w:val="1"/>
                <w:szCs w:val="1"/>
                <w:color w:val="auto"/>
              </w:rPr>
            </w:pPr>
          </w:p>
        </w:tc>
      </w:tr>
      <w:tr>
        <w:trPr>
          <w:trHeight w:val="270"/>
        </w:trPr>
        <w:tc>
          <w:tcPr>
            <w:tcW w:w="2080" w:type="dxa"/>
            <w:vAlign w:val="bottom"/>
          </w:tcPr>
          <w:p>
            <w:pPr>
              <w:ind w:left="40"/>
              <w:spacing w:after="0"/>
              <w:rPr>
                <w:sz w:val="20"/>
                <w:szCs w:val="20"/>
                <w:color w:val="auto"/>
              </w:rPr>
            </w:pPr>
            <w:r>
              <w:rPr>
                <w:rFonts w:ascii="Arial" w:cs="Arial" w:eastAsia="Arial" w:hAnsi="Arial"/>
                <w:sz w:val="16"/>
                <w:szCs w:val="16"/>
                <w:color w:val="auto"/>
              </w:rPr>
              <w:t xml:space="preserve">Other </w:t>
            </w:r>
            <w:r>
              <w:rPr>
                <w:rFonts w:ascii="Arial" w:cs="Arial" w:eastAsia="Arial" w:hAnsi="Arial"/>
                <w:sz w:val="21"/>
                <w:szCs w:val="21"/>
                <w:color w:val="auto"/>
                <w:vertAlign w:val="superscript"/>
              </w:rPr>
              <w:t>(2)</w:t>
            </w:r>
          </w:p>
        </w:tc>
        <w:tc>
          <w:tcPr>
            <w:tcW w:w="12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23"/>
                <w:szCs w:val="23"/>
                <w:color w:val="auto"/>
              </w:rPr>
            </w:pPr>
          </w:p>
        </w:tc>
        <w:tc>
          <w:tcPr>
            <w:tcW w:w="1120" w:type="dxa"/>
            <w:vAlign w:val="bottom"/>
          </w:tcPr>
          <w:p>
            <w:pPr>
              <w:jc w:val="right"/>
              <w:ind w:right="20"/>
              <w:spacing w:after="0"/>
              <w:rPr>
                <w:sz w:val="20"/>
                <w:szCs w:val="20"/>
                <w:color w:val="auto"/>
              </w:rPr>
            </w:pPr>
            <w:r>
              <w:rPr>
                <w:rFonts w:ascii="Arial" w:cs="Arial" w:eastAsia="Arial" w:hAnsi="Arial"/>
                <w:sz w:val="16"/>
                <w:szCs w:val="16"/>
                <w:color w:val="auto"/>
              </w:rPr>
              <w:t>7</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23"/>
                <w:szCs w:val="23"/>
                <w:color w:val="auto"/>
              </w:rPr>
            </w:pPr>
          </w:p>
        </w:tc>
        <w:tc>
          <w:tcPr>
            <w:tcW w:w="1120" w:type="dxa"/>
            <w:vAlign w:val="bottom"/>
          </w:tcPr>
          <w:p>
            <w:pPr>
              <w:jc w:val="right"/>
              <w:ind w:right="20"/>
              <w:spacing w:after="0"/>
              <w:rPr>
                <w:sz w:val="20"/>
                <w:szCs w:val="20"/>
                <w:color w:val="auto"/>
              </w:rPr>
            </w:pPr>
            <w:r>
              <w:rPr>
                <w:rFonts w:ascii="Arial" w:cs="Arial" w:eastAsia="Arial" w:hAnsi="Arial"/>
                <w:sz w:val="16"/>
                <w:szCs w:val="16"/>
                <w:color w:val="auto"/>
              </w:rPr>
              <w:t>23</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3"/>
                <w:szCs w:val="23"/>
                <w:color w:val="auto"/>
              </w:rPr>
            </w:pPr>
          </w:p>
        </w:tc>
        <w:tc>
          <w:tcPr>
            <w:tcW w:w="130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(16)</w:t>
            </w:r>
          </w:p>
        </w:tc>
        <w:tc>
          <w:tcPr>
            <w:tcW w:w="0" w:type="dxa"/>
            <w:vAlign w:val="bottom"/>
          </w:tcPr>
          <w:p>
            <w:pPr>
              <w:spacing w:after="0"/>
              <w:rPr>
                <w:sz w:val="1"/>
                <w:szCs w:val="1"/>
                <w:color w:val="auto"/>
              </w:rPr>
            </w:pPr>
          </w:p>
        </w:tc>
      </w:tr>
      <w:tr>
        <w:trPr>
          <w:trHeight w:val="236"/>
        </w:trPr>
        <w:tc>
          <w:tcPr>
            <w:tcW w:w="2080" w:type="dxa"/>
            <w:vAlign w:val="bottom"/>
            <w:tcBorders>
              <w:top w:val="single" w:sz="8" w:color="CCEEFF"/>
              <w:bottom w:val="single" w:sz="8" w:color="CCEEFF"/>
            </w:tcBorders>
            <w:shd w:val="clear" w:color="auto" w:fill="CCEEFF"/>
          </w:tcPr>
          <w:p>
            <w:pPr>
              <w:spacing w:after="0"/>
              <w:rPr>
                <w:sz w:val="20"/>
                <w:szCs w:val="20"/>
                <w:color w:val="auto"/>
              </w:rPr>
            </w:pPr>
          </w:p>
        </w:tc>
        <w:tc>
          <w:tcPr>
            <w:tcW w:w="1140" w:type="dxa"/>
            <w:vAlign w:val="bottom"/>
            <w:tcBorders>
              <w:top w:val="single" w:sz="8" w:color="auto"/>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41.8</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340" w:type="dxa"/>
            <w:vAlign w:val="bottom"/>
            <w:tcBorders>
              <w:top w:val="single" w:sz="8" w:color="auto"/>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Borders>
              <w:top w:val="single" w:sz="8" w:color="auto"/>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14,165</w:t>
            </w:r>
          </w:p>
        </w:tc>
        <w:tc>
          <w:tcPr>
            <w:tcW w:w="340" w:type="dxa"/>
            <w:vAlign w:val="bottom"/>
            <w:tcBorders>
              <w:top w:val="single" w:sz="8" w:color="CCEEFF"/>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900" w:type="dxa"/>
            <w:vAlign w:val="bottom"/>
            <w:tcBorders>
              <w:top w:val="single" w:sz="8" w:color="CCEEFF"/>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339.19</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340" w:type="dxa"/>
            <w:vAlign w:val="bottom"/>
            <w:tcBorders>
              <w:top w:val="single" w:sz="8" w:color="auto"/>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120" w:type="dxa"/>
            <w:vAlign w:val="bottom"/>
            <w:tcBorders>
              <w:top w:val="single" w:sz="8" w:color="auto"/>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12,822</w:t>
            </w:r>
          </w:p>
        </w:tc>
        <w:tc>
          <w:tcPr>
            <w:tcW w:w="340" w:type="dxa"/>
            <w:vAlign w:val="bottom"/>
            <w:tcBorders>
              <w:top w:val="single" w:sz="8" w:color="CCEEFF"/>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900" w:type="dxa"/>
            <w:vAlign w:val="bottom"/>
            <w:tcBorders>
              <w:top w:val="single" w:sz="8" w:color="CCEEFF"/>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307.03</w:t>
            </w:r>
          </w:p>
        </w:tc>
        <w:tc>
          <w:tcPr>
            <w:tcW w:w="1320" w:type="dxa"/>
            <w:vAlign w:val="bottom"/>
            <w:tcBorders>
              <w:top w:val="single" w:sz="8" w:color="CCEEFF"/>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90.5%</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380" w:type="dxa"/>
            <w:vAlign w:val="bottom"/>
            <w:tcBorders>
              <w:top w:val="single" w:sz="8" w:color="auto"/>
              <w:bottom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w:t>
            </w:r>
          </w:p>
        </w:tc>
        <w:tc>
          <w:tcPr>
            <w:tcW w:w="76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1,343</w:t>
            </w:r>
          </w:p>
        </w:tc>
        <w:tc>
          <w:tcPr>
            <w:tcW w:w="0" w:type="dxa"/>
            <w:vAlign w:val="bottom"/>
          </w:tcPr>
          <w:p>
            <w:pPr>
              <w:spacing w:after="0"/>
              <w:rPr>
                <w:sz w:val="1"/>
                <w:szCs w:val="1"/>
                <w:color w:val="auto"/>
              </w:rPr>
            </w:pPr>
          </w:p>
        </w:tc>
      </w:tr>
      <w:tr>
        <w:trPr>
          <w:trHeight w:val="20"/>
        </w:trPr>
        <w:tc>
          <w:tcPr>
            <w:tcW w:w="208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Molina Healthcare, Inc. 2017 Form 10-Q | 53</w:t>
      </w:r>
    </w:p>
    <w:p>
      <w:pPr>
        <w:sectPr>
          <w:pgSz w:w="11900" w:h="16838" w:orient="portrait"/>
          <w:cols w:equalWidth="0" w:num="1">
            <w:col w:w="11420"/>
          </w:cols>
          <w:pgMar w:left="240" w:top="116" w:right="239" w:bottom="1440" w:gutter="0" w:footer="0" w:header="0"/>
        </w:sectPr>
      </w:pPr>
    </w:p>
    <w:bookmarkStart w:id="53" w:name="page54"/>
    <w:bookmarkEnd w:id="5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080" w:type="dxa"/>
            <w:vAlign w:val="bottom"/>
          </w:tcPr>
          <w:p>
            <w:pPr>
              <w:spacing w:after="0"/>
              <w:rPr>
                <w:sz w:val="17"/>
                <w:szCs w:val="17"/>
                <w:color w:val="auto"/>
              </w:rPr>
            </w:pPr>
          </w:p>
        </w:tc>
        <w:tc>
          <w:tcPr>
            <w:tcW w:w="114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3720" w:type="dxa"/>
            <w:vAlign w:val="bottom"/>
            <w:tcBorders>
              <w:bottom w:val="single" w:sz="8" w:color="auto"/>
            </w:tcBorders>
            <w:gridSpan w:val="7"/>
          </w:tcPr>
          <w:p>
            <w:pPr>
              <w:jc w:val="right"/>
              <w:ind w:right="660"/>
              <w:spacing w:after="0"/>
              <w:rPr>
                <w:sz w:val="20"/>
                <w:szCs w:val="20"/>
                <w:color w:val="auto"/>
              </w:rPr>
            </w:pPr>
            <w:r>
              <w:rPr>
                <w:rFonts w:ascii="Arial" w:cs="Arial" w:eastAsia="Arial" w:hAnsi="Arial"/>
                <w:sz w:val="14"/>
                <w:szCs w:val="14"/>
                <w:b w:val="1"/>
                <w:bCs w:val="1"/>
                <w:color w:val="auto"/>
              </w:rPr>
              <w:t>Nine Months Ended September 30, 2016</w:t>
            </w:r>
          </w:p>
        </w:tc>
        <w:tc>
          <w:tcPr>
            <w:tcW w:w="12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64"/>
        </w:trPr>
        <w:tc>
          <w:tcPr>
            <w:tcW w:w="2080" w:type="dxa"/>
            <w:vAlign w:val="bottom"/>
          </w:tcPr>
          <w:p>
            <w:pPr>
              <w:spacing w:after="0"/>
              <w:rPr>
                <w:sz w:val="22"/>
                <w:szCs w:val="22"/>
                <w:color w:val="auto"/>
              </w:rPr>
            </w:pPr>
          </w:p>
        </w:tc>
        <w:tc>
          <w:tcPr>
            <w:tcW w:w="1260" w:type="dxa"/>
            <w:vAlign w:val="bottom"/>
            <w:gridSpan w:val="2"/>
            <w:vMerge w:val="restart"/>
          </w:tcPr>
          <w:p>
            <w:pPr>
              <w:ind w:left="300"/>
              <w:spacing w:after="0"/>
              <w:rPr>
                <w:sz w:val="20"/>
                <w:szCs w:val="20"/>
                <w:color w:val="auto"/>
              </w:rPr>
            </w:pPr>
            <w:r>
              <w:rPr>
                <w:rFonts w:ascii="Arial" w:cs="Arial" w:eastAsia="Arial" w:hAnsi="Arial"/>
                <w:sz w:val="14"/>
                <w:szCs w:val="14"/>
                <w:b w:val="1"/>
                <w:bCs w:val="1"/>
                <w:color w:val="auto"/>
              </w:rPr>
              <w:t>Member</w:t>
            </w:r>
          </w:p>
        </w:tc>
        <w:tc>
          <w:tcPr>
            <w:tcW w:w="340" w:type="dxa"/>
            <w:vAlign w:val="bottom"/>
          </w:tcPr>
          <w:p>
            <w:pPr>
              <w:spacing w:after="0"/>
              <w:rPr>
                <w:sz w:val="22"/>
                <w:szCs w:val="22"/>
                <w:color w:val="auto"/>
              </w:rPr>
            </w:pPr>
          </w:p>
        </w:tc>
        <w:tc>
          <w:tcPr>
            <w:tcW w:w="2480" w:type="dxa"/>
            <w:vAlign w:val="bottom"/>
            <w:gridSpan w:val="5"/>
          </w:tcPr>
          <w:p>
            <w:pPr>
              <w:ind w:left="400"/>
              <w:spacing w:after="0"/>
              <w:rPr>
                <w:sz w:val="20"/>
                <w:szCs w:val="20"/>
                <w:color w:val="auto"/>
              </w:rPr>
            </w:pPr>
            <w:r>
              <w:rPr>
                <w:rFonts w:ascii="Arial" w:cs="Arial" w:eastAsia="Arial" w:hAnsi="Arial"/>
                <w:sz w:val="14"/>
                <w:szCs w:val="14"/>
                <w:b w:val="1"/>
                <w:bCs w:val="1"/>
                <w:color w:val="auto"/>
              </w:rPr>
              <w:t>Premium Revenue</w:t>
            </w:r>
          </w:p>
        </w:tc>
        <w:tc>
          <w:tcPr>
            <w:tcW w:w="340" w:type="dxa"/>
            <w:vAlign w:val="bottom"/>
          </w:tcPr>
          <w:p>
            <w:pPr>
              <w:spacing w:after="0"/>
              <w:rPr>
                <w:sz w:val="22"/>
                <w:szCs w:val="22"/>
                <w:color w:val="auto"/>
              </w:rPr>
            </w:pPr>
          </w:p>
        </w:tc>
        <w:tc>
          <w:tcPr>
            <w:tcW w:w="2360" w:type="dxa"/>
            <w:vAlign w:val="bottom"/>
            <w:gridSpan w:val="4"/>
          </w:tcPr>
          <w:p>
            <w:pPr>
              <w:jc w:val="right"/>
              <w:ind w:right="600"/>
              <w:spacing w:after="0"/>
              <w:rPr>
                <w:sz w:val="20"/>
                <w:szCs w:val="20"/>
                <w:color w:val="auto"/>
              </w:rPr>
            </w:pPr>
            <w:r>
              <w:rPr>
                <w:rFonts w:ascii="Arial" w:cs="Arial" w:eastAsia="Arial" w:hAnsi="Arial"/>
                <w:sz w:val="14"/>
                <w:szCs w:val="14"/>
                <w:b w:val="1"/>
                <w:bCs w:val="1"/>
                <w:color w:val="auto"/>
              </w:rPr>
              <w:t>Medical Care Costs</w:t>
            </w:r>
          </w:p>
        </w:tc>
        <w:tc>
          <w:tcPr>
            <w:tcW w:w="12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0"/>
        </w:trPr>
        <w:tc>
          <w:tcPr>
            <w:tcW w:w="208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340" w:type="dxa"/>
            <w:vAlign w:val="bottom"/>
            <w:tcBorders>
              <w:top w:val="single" w:sz="8" w:color="auto"/>
            </w:tcBorders>
          </w:tcPr>
          <w:p>
            <w:pPr>
              <w:spacing w:after="0"/>
              <w:rPr>
                <w:sz w:val="5"/>
                <w:szCs w:val="5"/>
                <w:color w:val="auto"/>
              </w:rPr>
            </w:pPr>
          </w:p>
        </w:tc>
        <w:tc>
          <w:tcPr>
            <w:tcW w:w="1120" w:type="dxa"/>
            <w:vAlign w:val="bottom"/>
            <w:tcBorders>
              <w:top w:val="single" w:sz="8" w:color="auto"/>
            </w:tcBorders>
          </w:tcPr>
          <w:p>
            <w:pPr>
              <w:spacing w:after="0"/>
              <w:rPr>
                <w:sz w:val="5"/>
                <w:szCs w:val="5"/>
                <w:color w:val="auto"/>
              </w:rPr>
            </w:pPr>
          </w:p>
        </w:tc>
        <w:tc>
          <w:tcPr>
            <w:tcW w:w="120" w:type="dxa"/>
            <w:vAlign w:val="bottom"/>
            <w:tcBorders>
              <w:top w:val="single" w:sz="8" w:color="auto"/>
            </w:tcBorders>
          </w:tcPr>
          <w:p>
            <w:pPr>
              <w:spacing w:after="0"/>
              <w:rPr>
                <w:sz w:val="5"/>
                <w:szCs w:val="5"/>
                <w:color w:val="auto"/>
              </w:rPr>
            </w:pPr>
          </w:p>
        </w:tc>
        <w:tc>
          <w:tcPr>
            <w:tcW w:w="220" w:type="dxa"/>
            <w:vAlign w:val="bottom"/>
            <w:tcBorders>
              <w:top w:val="single" w:sz="8" w:color="auto"/>
            </w:tcBorders>
          </w:tcPr>
          <w:p>
            <w:pPr>
              <w:spacing w:after="0"/>
              <w:rPr>
                <w:sz w:val="5"/>
                <w:szCs w:val="5"/>
                <w:color w:val="auto"/>
              </w:rPr>
            </w:pPr>
          </w:p>
        </w:tc>
        <w:tc>
          <w:tcPr>
            <w:tcW w:w="900" w:type="dxa"/>
            <w:vAlign w:val="bottom"/>
            <w:tcBorders>
              <w:top w:val="single" w:sz="8" w:color="auto"/>
            </w:tcBorders>
          </w:tcPr>
          <w:p>
            <w:pPr>
              <w:spacing w:after="0"/>
              <w:rPr>
                <w:sz w:val="5"/>
                <w:szCs w:val="5"/>
                <w:color w:val="auto"/>
              </w:rPr>
            </w:pPr>
          </w:p>
        </w:tc>
        <w:tc>
          <w:tcPr>
            <w:tcW w:w="120" w:type="dxa"/>
            <w:vAlign w:val="bottom"/>
          </w:tcPr>
          <w:p>
            <w:pPr>
              <w:spacing w:after="0"/>
              <w:rPr>
                <w:sz w:val="5"/>
                <w:szCs w:val="5"/>
                <w:color w:val="auto"/>
              </w:rPr>
            </w:pPr>
          </w:p>
        </w:tc>
        <w:tc>
          <w:tcPr>
            <w:tcW w:w="340" w:type="dxa"/>
            <w:vAlign w:val="bottom"/>
            <w:tcBorders>
              <w:top w:val="single" w:sz="8" w:color="auto"/>
            </w:tcBorders>
          </w:tcPr>
          <w:p>
            <w:pPr>
              <w:spacing w:after="0"/>
              <w:rPr>
                <w:sz w:val="5"/>
                <w:szCs w:val="5"/>
                <w:color w:val="auto"/>
              </w:rPr>
            </w:pPr>
          </w:p>
        </w:tc>
        <w:tc>
          <w:tcPr>
            <w:tcW w:w="1120" w:type="dxa"/>
            <w:vAlign w:val="bottom"/>
            <w:tcBorders>
              <w:top w:val="single" w:sz="8" w:color="auto"/>
            </w:tcBorders>
          </w:tcPr>
          <w:p>
            <w:pPr>
              <w:spacing w:after="0"/>
              <w:rPr>
                <w:sz w:val="5"/>
                <w:szCs w:val="5"/>
                <w:color w:val="auto"/>
              </w:rPr>
            </w:pPr>
          </w:p>
        </w:tc>
        <w:tc>
          <w:tcPr>
            <w:tcW w:w="120" w:type="dxa"/>
            <w:vAlign w:val="bottom"/>
            <w:tcBorders>
              <w:top w:val="single" w:sz="8" w:color="auto"/>
            </w:tcBorders>
          </w:tcPr>
          <w:p>
            <w:pPr>
              <w:spacing w:after="0"/>
              <w:rPr>
                <w:sz w:val="5"/>
                <w:szCs w:val="5"/>
                <w:color w:val="auto"/>
              </w:rPr>
            </w:pPr>
          </w:p>
        </w:tc>
        <w:tc>
          <w:tcPr>
            <w:tcW w:w="220" w:type="dxa"/>
            <w:vAlign w:val="bottom"/>
            <w:tcBorders>
              <w:top w:val="single" w:sz="8" w:color="auto"/>
            </w:tcBorders>
          </w:tcPr>
          <w:p>
            <w:pPr>
              <w:spacing w:after="0"/>
              <w:rPr>
                <w:sz w:val="5"/>
                <w:szCs w:val="5"/>
                <w:color w:val="auto"/>
              </w:rPr>
            </w:pPr>
          </w:p>
        </w:tc>
        <w:tc>
          <w:tcPr>
            <w:tcW w:w="900" w:type="dxa"/>
            <w:vAlign w:val="bottom"/>
            <w:tcBorders>
              <w:top w:val="single" w:sz="8" w:color="auto"/>
            </w:tcBorders>
          </w:tcPr>
          <w:p>
            <w:pPr>
              <w:spacing w:after="0"/>
              <w:rPr>
                <w:sz w:val="5"/>
                <w:szCs w:val="5"/>
                <w:color w:val="auto"/>
              </w:rPr>
            </w:pPr>
          </w:p>
        </w:tc>
        <w:tc>
          <w:tcPr>
            <w:tcW w:w="120" w:type="dxa"/>
            <w:vAlign w:val="bottom"/>
          </w:tcPr>
          <w:p>
            <w:pPr>
              <w:spacing w:after="0"/>
              <w:rPr>
                <w:sz w:val="5"/>
                <w:szCs w:val="5"/>
                <w:color w:val="auto"/>
              </w:rPr>
            </w:pPr>
          </w:p>
        </w:tc>
        <w:tc>
          <w:tcPr>
            <w:tcW w:w="1200" w:type="dxa"/>
            <w:vAlign w:val="bottom"/>
          </w:tcPr>
          <w:p>
            <w:pPr>
              <w:spacing w:after="0"/>
              <w:rPr>
                <w:sz w:val="5"/>
                <w:szCs w:val="5"/>
                <w:color w:val="auto"/>
              </w:rPr>
            </w:pPr>
          </w:p>
        </w:tc>
        <w:tc>
          <w:tcPr>
            <w:tcW w:w="100" w:type="dxa"/>
            <w:vAlign w:val="bottom"/>
          </w:tcPr>
          <w:p>
            <w:pPr>
              <w:spacing w:after="0"/>
              <w:rPr>
                <w:sz w:val="5"/>
                <w:szCs w:val="5"/>
                <w:color w:val="auto"/>
              </w:rPr>
            </w:pPr>
          </w:p>
        </w:tc>
        <w:tc>
          <w:tcPr>
            <w:tcW w:w="380" w:type="dxa"/>
            <w:vAlign w:val="bottom"/>
          </w:tcPr>
          <w:p>
            <w:pPr>
              <w:spacing w:after="0"/>
              <w:rPr>
                <w:sz w:val="5"/>
                <w:szCs w:val="5"/>
                <w:color w:val="auto"/>
              </w:rPr>
            </w:pPr>
          </w:p>
        </w:tc>
        <w:tc>
          <w:tcPr>
            <w:tcW w:w="7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3"/>
        </w:trPr>
        <w:tc>
          <w:tcPr>
            <w:tcW w:w="2080" w:type="dxa"/>
            <w:vAlign w:val="bottom"/>
            <w:tcBorders>
              <w:bottom w:val="single" w:sz="8" w:color="CCEEFF"/>
            </w:tcBorders>
          </w:tcPr>
          <w:p>
            <w:pPr>
              <w:spacing w:after="0"/>
              <w:rPr>
                <w:sz w:val="17"/>
                <w:szCs w:val="17"/>
                <w:color w:val="auto"/>
              </w:rPr>
            </w:pPr>
          </w:p>
        </w:tc>
        <w:tc>
          <w:tcPr>
            <w:tcW w:w="1140" w:type="dxa"/>
            <w:vAlign w:val="bottom"/>
            <w:tcBorders>
              <w:bottom w:val="single" w:sz="8" w:color="auto"/>
            </w:tcBorders>
          </w:tcPr>
          <w:p>
            <w:pPr>
              <w:jc w:val="right"/>
              <w:ind w:right="240"/>
              <w:spacing w:after="0"/>
              <w:rPr>
                <w:sz w:val="20"/>
                <w:szCs w:val="20"/>
                <w:color w:val="auto"/>
              </w:rPr>
            </w:pPr>
            <w:r>
              <w:rPr>
                <w:rFonts w:ascii="Arial" w:cs="Arial" w:eastAsia="Arial" w:hAnsi="Arial"/>
                <w:sz w:val="14"/>
                <w:szCs w:val="14"/>
                <w:b w:val="1"/>
                <w:bCs w:val="1"/>
                <w:color w:val="auto"/>
              </w:rPr>
              <w:t>Months</w:t>
            </w:r>
          </w:p>
        </w:tc>
        <w:tc>
          <w:tcPr>
            <w:tcW w:w="12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480"/>
              <w:spacing w:after="0"/>
              <w:rPr>
                <w:sz w:val="20"/>
                <w:szCs w:val="20"/>
                <w:color w:val="auto"/>
              </w:rPr>
            </w:pPr>
            <w:r>
              <w:rPr>
                <w:rFonts w:ascii="Arial" w:cs="Arial" w:eastAsia="Arial" w:hAnsi="Arial"/>
                <w:sz w:val="14"/>
                <w:szCs w:val="14"/>
                <w:b w:val="1"/>
                <w:bCs w:val="1"/>
                <w:color w:val="auto"/>
              </w:rPr>
              <w:t>Total</w:t>
            </w:r>
          </w:p>
        </w:tc>
        <w:tc>
          <w:tcPr>
            <w:tcW w:w="12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260"/>
              <w:spacing w:after="0"/>
              <w:rPr>
                <w:sz w:val="20"/>
                <w:szCs w:val="20"/>
                <w:color w:val="auto"/>
              </w:rPr>
            </w:pPr>
            <w:r>
              <w:rPr>
                <w:rFonts w:ascii="Arial" w:cs="Arial" w:eastAsia="Arial" w:hAnsi="Arial"/>
                <w:sz w:val="14"/>
                <w:szCs w:val="14"/>
                <w:b w:val="1"/>
                <w:bCs w:val="1"/>
                <w:color w:val="auto"/>
              </w:rPr>
              <w:t>PMPM</w:t>
            </w:r>
          </w:p>
        </w:tc>
        <w:tc>
          <w:tcPr>
            <w:tcW w:w="12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480"/>
              <w:spacing w:after="0"/>
              <w:rPr>
                <w:sz w:val="20"/>
                <w:szCs w:val="20"/>
                <w:color w:val="auto"/>
              </w:rPr>
            </w:pPr>
            <w:r>
              <w:rPr>
                <w:rFonts w:ascii="Arial" w:cs="Arial" w:eastAsia="Arial" w:hAnsi="Arial"/>
                <w:sz w:val="14"/>
                <w:szCs w:val="14"/>
                <w:b w:val="1"/>
                <w:bCs w:val="1"/>
                <w:color w:val="auto"/>
              </w:rPr>
              <w:t>Total</w:t>
            </w:r>
          </w:p>
        </w:tc>
        <w:tc>
          <w:tcPr>
            <w:tcW w:w="12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260"/>
              <w:spacing w:after="0"/>
              <w:rPr>
                <w:sz w:val="20"/>
                <w:szCs w:val="20"/>
                <w:color w:val="auto"/>
              </w:rPr>
            </w:pPr>
            <w:r>
              <w:rPr>
                <w:rFonts w:ascii="Arial" w:cs="Arial" w:eastAsia="Arial" w:hAnsi="Arial"/>
                <w:sz w:val="14"/>
                <w:szCs w:val="14"/>
                <w:b w:val="1"/>
                <w:bCs w:val="1"/>
                <w:color w:val="auto"/>
              </w:rPr>
              <w:t>PMPM</w:t>
            </w:r>
          </w:p>
        </w:tc>
        <w:tc>
          <w:tcPr>
            <w:tcW w:w="120" w:type="dxa"/>
            <w:vAlign w:val="bottom"/>
            <w:tcBorders>
              <w:bottom w:val="single" w:sz="8" w:color="CCEEFF"/>
            </w:tcBorders>
          </w:tcPr>
          <w:p>
            <w:pPr>
              <w:spacing w:after="0"/>
              <w:rPr>
                <w:sz w:val="17"/>
                <w:szCs w:val="17"/>
                <w:color w:val="auto"/>
              </w:rPr>
            </w:pPr>
          </w:p>
        </w:tc>
        <w:tc>
          <w:tcPr>
            <w:tcW w:w="1200" w:type="dxa"/>
            <w:vAlign w:val="bottom"/>
            <w:tcBorders>
              <w:bottom w:val="single" w:sz="8" w:color="auto"/>
            </w:tcBorders>
          </w:tcPr>
          <w:p>
            <w:pPr>
              <w:jc w:val="right"/>
              <w:ind w:right="363"/>
              <w:spacing w:after="0"/>
              <w:rPr>
                <w:sz w:val="20"/>
                <w:szCs w:val="20"/>
                <w:color w:val="auto"/>
              </w:rPr>
            </w:pPr>
            <w:r>
              <w:rPr>
                <w:rFonts w:ascii="Arial" w:cs="Arial" w:eastAsia="Arial" w:hAnsi="Arial"/>
                <w:sz w:val="14"/>
                <w:szCs w:val="14"/>
                <w:b w:val="1"/>
                <w:bCs w:val="1"/>
                <w:color w:val="auto"/>
              </w:rPr>
              <w:t>MCR</w:t>
            </w:r>
          </w:p>
        </w:tc>
        <w:tc>
          <w:tcPr>
            <w:tcW w:w="100" w:type="dxa"/>
            <w:vAlign w:val="bottom"/>
            <w:tcBorders>
              <w:bottom w:val="single" w:sz="8" w:color="CCEEFF"/>
            </w:tcBorders>
          </w:tcPr>
          <w:p>
            <w:pPr>
              <w:spacing w:after="0"/>
              <w:rPr>
                <w:sz w:val="17"/>
                <w:szCs w:val="17"/>
                <w:color w:val="auto"/>
              </w:rPr>
            </w:pPr>
          </w:p>
        </w:tc>
        <w:tc>
          <w:tcPr>
            <w:tcW w:w="1140" w:type="dxa"/>
            <w:vAlign w:val="bottom"/>
            <w:tcBorders>
              <w:bottom w:val="single" w:sz="8" w:color="auto"/>
            </w:tcBorders>
            <w:gridSpan w:val="2"/>
          </w:tcPr>
          <w:p>
            <w:pPr>
              <w:ind w:left="60"/>
              <w:spacing w:after="0"/>
              <w:rPr>
                <w:sz w:val="20"/>
                <w:szCs w:val="20"/>
                <w:color w:val="auto"/>
              </w:rPr>
            </w:pPr>
            <w:r>
              <w:rPr>
                <w:rFonts w:ascii="Arial" w:cs="Arial" w:eastAsia="Arial" w:hAnsi="Arial"/>
                <w:sz w:val="14"/>
                <w:szCs w:val="14"/>
                <w:b w:val="1"/>
                <w:bCs w:val="1"/>
                <w:color w:val="auto"/>
              </w:rPr>
              <w:t>Medical Margin</w:t>
            </w:r>
          </w:p>
        </w:tc>
        <w:tc>
          <w:tcPr>
            <w:tcW w:w="0" w:type="dxa"/>
            <w:vAlign w:val="bottom"/>
          </w:tcPr>
          <w:p>
            <w:pPr>
              <w:spacing w:after="0"/>
              <w:rPr>
                <w:sz w:val="1"/>
                <w:szCs w:val="1"/>
                <w:color w:val="auto"/>
              </w:rPr>
            </w:pPr>
          </w:p>
        </w:tc>
      </w:tr>
      <w:tr>
        <w:trPr>
          <w:trHeight w:val="251"/>
        </w:trPr>
        <w:tc>
          <w:tcPr>
            <w:tcW w:w="2080" w:type="dxa"/>
            <w:vAlign w:val="bottom"/>
            <w:shd w:val="clear" w:color="auto" w:fill="CCEEFF"/>
          </w:tcPr>
          <w:p>
            <w:pPr>
              <w:ind w:left="40"/>
              <w:spacing w:after="0"/>
              <w:rPr>
                <w:sz w:val="20"/>
                <w:szCs w:val="20"/>
                <w:color w:val="auto"/>
              </w:rPr>
            </w:pPr>
            <w:r>
              <w:rPr>
                <w:rFonts w:ascii="Arial" w:cs="Arial" w:eastAsia="Arial" w:hAnsi="Arial"/>
                <w:sz w:val="16"/>
                <w:szCs w:val="16"/>
                <w:color w:val="auto"/>
              </w:rPr>
              <w:t>California</w:t>
            </w:r>
          </w:p>
        </w:tc>
        <w:tc>
          <w:tcPr>
            <w:tcW w:w="114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6.1</w:t>
            </w:r>
          </w:p>
        </w:tc>
        <w:tc>
          <w:tcPr>
            <w:tcW w:w="120" w:type="dxa"/>
            <w:vAlign w:val="bottom"/>
            <w:shd w:val="clear" w:color="auto" w:fill="CCEEFF"/>
          </w:tcPr>
          <w:p>
            <w:pPr>
              <w:spacing w:after="0"/>
              <w:rPr>
                <w:sz w:val="21"/>
                <w:szCs w:val="21"/>
                <w:color w:val="auto"/>
              </w:rPr>
            </w:pPr>
          </w:p>
        </w:tc>
        <w:tc>
          <w:tcPr>
            <w:tcW w:w="3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1,707</w:t>
            </w:r>
          </w:p>
        </w:tc>
        <w:tc>
          <w:tcPr>
            <w:tcW w:w="3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90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280.21</w:t>
            </w:r>
          </w:p>
        </w:tc>
        <w:tc>
          <w:tcPr>
            <w:tcW w:w="120" w:type="dxa"/>
            <w:vAlign w:val="bottom"/>
            <w:shd w:val="clear" w:color="auto" w:fill="CCEEFF"/>
          </w:tcPr>
          <w:p>
            <w:pPr>
              <w:spacing w:after="0"/>
              <w:rPr>
                <w:sz w:val="21"/>
                <w:szCs w:val="21"/>
                <w:color w:val="auto"/>
              </w:rPr>
            </w:pPr>
          </w:p>
        </w:tc>
        <w:tc>
          <w:tcPr>
            <w:tcW w:w="3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12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1,485</w:t>
            </w:r>
          </w:p>
        </w:tc>
        <w:tc>
          <w:tcPr>
            <w:tcW w:w="3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90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243.64</w:t>
            </w: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86.9%</w:t>
            </w:r>
          </w:p>
        </w:tc>
        <w:tc>
          <w:tcPr>
            <w:tcW w:w="100" w:type="dxa"/>
            <w:vAlign w:val="bottom"/>
            <w:shd w:val="clear" w:color="auto" w:fill="CCEEFF"/>
          </w:tcPr>
          <w:p>
            <w:pPr>
              <w:spacing w:after="0"/>
              <w:rPr>
                <w:sz w:val="21"/>
                <w:szCs w:val="21"/>
                <w:color w:val="auto"/>
              </w:rPr>
            </w:pPr>
          </w:p>
        </w:tc>
        <w:tc>
          <w:tcPr>
            <w:tcW w:w="380" w:type="dxa"/>
            <w:vAlign w:val="bottom"/>
            <w:shd w:val="clear" w:color="auto" w:fill="CCEEFF"/>
          </w:tcPr>
          <w:p>
            <w:pPr>
              <w:ind w:left="40"/>
              <w:spacing w:after="0"/>
              <w:rPr>
                <w:sz w:val="20"/>
                <w:szCs w:val="20"/>
                <w:color w:val="auto"/>
              </w:rPr>
            </w:pPr>
            <w:r>
              <w:rPr>
                <w:rFonts w:ascii="Arial" w:cs="Arial" w:eastAsia="Arial" w:hAnsi="Arial"/>
                <w:sz w:val="16"/>
                <w:szCs w:val="16"/>
                <w:color w:val="auto"/>
              </w:rPr>
              <w:t>$</w:t>
            </w:r>
          </w:p>
        </w:tc>
        <w:tc>
          <w:tcPr>
            <w:tcW w:w="7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222</w:t>
            </w:r>
          </w:p>
        </w:tc>
        <w:tc>
          <w:tcPr>
            <w:tcW w:w="0" w:type="dxa"/>
            <w:vAlign w:val="bottom"/>
          </w:tcPr>
          <w:p>
            <w:pPr>
              <w:spacing w:after="0"/>
              <w:rPr>
                <w:sz w:val="1"/>
                <w:szCs w:val="1"/>
                <w:color w:val="auto"/>
              </w:rPr>
            </w:pPr>
          </w:p>
        </w:tc>
      </w:tr>
      <w:tr>
        <w:trPr>
          <w:trHeight w:val="262"/>
        </w:trPr>
        <w:tc>
          <w:tcPr>
            <w:tcW w:w="2080" w:type="dxa"/>
            <w:vAlign w:val="bottom"/>
          </w:tcPr>
          <w:p>
            <w:pPr>
              <w:ind w:left="40"/>
              <w:spacing w:after="0"/>
              <w:rPr>
                <w:sz w:val="20"/>
                <w:szCs w:val="20"/>
                <w:color w:val="auto"/>
              </w:rPr>
            </w:pPr>
            <w:r>
              <w:rPr>
                <w:rFonts w:ascii="Arial" w:cs="Arial" w:eastAsia="Arial" w:hAnsi="Arial"/>
                <w:sz w:val="16"/>
                <w:szCs w:val="16"/>
                <w:color w:val="auto"/>
              </w:rPr>
              <w:t>Florida</w:t>
            </w:r>
          </w:p>
        </w:tc>
        <w:tc>
          <w:tcPr>
            <w:tcW w:w="1140" w:type="dxa"/>
            <w:vAlign w:val="bottom"/>
          </w:tcPr>
          <w:p>
            <w:pPr>
              <w:jc w:val="right"/>
              <w:ind w:right="20"/>
              <w:spacing w:after="0"/>
              <w:rPr>
                <w:sz w:val="20"/>
                <w:szCs w:val="20"/>
                <w:color w:val="auto"/>
              </w:rPr>
            </w:pPr>
            <w:r>
              <w:rPr>
                <w:rFonts w:ascii="Arial" w:cs="Arial" w:eastAsia="Arial" w:hAnsi="Arial"/>
                <w:sz w:val="16"/>
                <w:szCs w:val="16"/>
                <w:color w:val="auto"/>
              </w:rPr>
              <w:t>5.0</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20" w:type="dxa"/>
            <w:vAlign w:val="bottom"/>
          </w:tcPr>
          <w:p>
            <w:pPr>
              <w:jc w:val="right"/>
              <w:ind w:right="20"/>
              <w:spacing w:after="0"/>
              <w:rPr>
                <w:sz w:val="20"/>
                <w:szCs w:val="20"/>
                <w:color w:val="auto"/>
              </w:rPr>
            </w:pPr>
            <w:r>
              <w:rPr>
                <w:rFonts w:ascii="Arial" w:cs="Arial" w:eastAsia="Arial" w:hAnsi="Arial"/>
                <w:sz w:val="16"/>
                <w:szCs w:val="16"/>
                <w:color w:val="auto"/>
              </w:rPr>
              <w:t>1,447</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288.74</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20" w:type="dxa"/>
            <w:vAlign w:val="bottom"/>
          </w:tcPr>
          <w:p>
            <w:pPr>
              <w:jc w:val="right"/>
              <w:ind w:right="20"/>
              <w:spacing w:after="0"/>
              <w:rPr>
                <w:sz w:val="20"/>
                <w:szCs w:val="20"/>
                <w:color w:val="auto"/>
              </w:rPr>
            </w:pPr>
            <w:r>
              <w:rPr>
                <w:rFonts w:ascii="Arial" w:cs="Arial" w:eastAsia="Arial" w:hAnsi="Arial"/>
                <w:sz w:val="16"/>
                <w:szCs w:val="16"/>
                <w:color w:val="auto"/>
              </w:rPr>
              <w:t>1,301</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259.60</w:t>
            </w:r>
          </w:p>
        </w:tc>
        <w:tc>
          <w:tcPr>
            <w:tcW w:w="1320" w:type="dxa"/>
            <w:vAlign w:val="bottom"/>
            <w:gridSpan w:val="2"/>
          </w:tcPr>
          <w:p>
            <w:pPr>
              <w:jc w:val="right"/>
              <w:ind w:right="103"/>
              <w:spacing w:after="0"/>
              <w:rPr>
                <w:sz w:val="20"/>
                <w:szCs w:val="20"/>
                <w:color w:val="auto"/>
              </w:rPr>
            </w:pPr>
            <w:r>
              <w:rPr>
                <w:rFonts w:ascii="Arial" w:cs="Arial" w:eastAsia="Arial" w:hAnsi="Arial"/>
                <w:sz w:val="16"/>
                <w:szCs w:val="16"/>
                <w:color w:val="auto"/>
              </w:rPr>
              <w:t>89.9</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760" w:type="dxa"/>
            <w:vAlign w:val="bottom"/>
          </w:tcPr>
          <w:p>
            <w:pPr>
              <w:jc w:val="right"/>
              <w:ind w:right="19"/>
              <w:spacing w:after="0"/>
              <w:rPr>
                <w:sz w:val="20"/>
                <w:szCs w:val="20"/>
                <w:color w:val="auto"/>
              </w:rPr>
            </w:pPr>
            <w:r>
              <w:rPr>
                <w:rFonts w:ascii="Arial" w:cs="Arial" w:eastAsia="Arial" w:hAnsi="Arial"/>
                <w:sz w:val="16"/>
                <w:szCs w:val="16"/>
                <w:color w:val="auto"/>
              </w:rPr>
              <w:t>146</w:t>
            </w:r>
          </w:p>
        </w:tc>
        <w:tc>
          <w:tcPr>
            <w:tcW w:w="0" w:type="dxa"/>
            <w:vAlign w:val="bottom"/>
          </w:tcPr>
          <w:p>
            <w:pPr>
              <w:spacing w:after="0"/>
              <w:rPr>
                <w:sz w:val="1"/>
                <w:szCs w:val="1"/>
                <w:color w:val="auto"/>
              </w:rPr>
            </w:pPr>
          </w:p>
        </w:tc>
      </w:tr>
      <w:tr>
        <w:trPr>
          <w:trHeight w:val="278"/>
        </w:trPr>
        <w:tc>
          <w:tcPr>
            <w:tcW w:w="2080" w:type="dxa"/>
            <w:vAlign w:val="bottom"/>
            <w:shd w:val="clear" w:color="auto" w:fill="CCEEFF"/>
          </w:tcPr>
          <w:p>
            <w:pPr>
              <w:ind w:left="40"/>
              <w:spacing w:after="0"/>
              <w:rPr>
                <w:sz w:val="20"/>
                <w:szCs w:val="20"/>
                <w:color w:val="auto"/>
              </w:rPr>
            </w:pPr>
            <w:r>
              <w:rPr>
                <w:rFonts w:ascii="Arial" w:cs="Arial" w:eastAsia="Arial" w:hAnsi="Arial"/>
                <w:sz w:val="16"/>
                <w:szCs w:val="16"/>
                <w:color w:val="auto"/>
              </w:rPr>
              <w:t>Illinois</w:t>
            </w:r>
          </w:p>
        </w:tc>
        <w:tc>
          <w:tcPr>
            <w:tcW w:w="114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1.8</w:t>
            </w: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466</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266.11</w:t>
            </w: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414</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236.39</w:t>
            </w:r>
          </w:p>
        </w:tc>
        <w:tc>
          <w:tcPr>
            <w:tcW w:w="1320" w:type="dxa"/>
            <w:vAlign w:val="bottom"/>
            <w:gridSpan w:val="2"/>
            <w:shd w:val="clear" w:color="auto" w:fill="CCEEFF"/>
          </w:tcPr>
          <w:p>
            <w:pPr>
              <w:jc w:val="right"/>
              <w:ind w:right="103"/>
              <w:spacing w:after="0"/>
              <w:rPr>
                <w:sz w:val="20"/>
                <w:szCs w:val="20"/>
                <w:color w:val="auto"/>
              </w:rPr>
            </w:pPr>
            <w:r>
              <w:rPr>
                <w:rFonts w:ascii="Arial" w:cs="Arial" w:eastAsia="Arial" w:hAnsi="Arial"/>
                <w:sz w:val="16"/>
                <w:szCs w:val="16"/>
                <w:color w:val="auto"/>
              </w:rPr>
              <w:t>88.8</w:t>
            </w: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7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52</w:t>
            </w:r>
          </w:p>
        </w:tc>
        <w:tc>
          <w:tcPr>
            <w:tcW w:w="0" w:type="dxa"/>
            <w:vAlign w:val="bottom"/>
          </w:tcPr>
          <w:p>
            <w:pPr>
              <w:spacing w:after="0"/>
              <w:rPr>
                <w:sz w:val="1"/>
                <w:szCs w:val="1"/>
                <w:color w:val="auto"/>
              </w:rPr>
            </w:pPr>
          </w:p>
        </w:tc>
      </w:tr>
      <w:tr>
        <w:trPr>
          <w:trHeight w:val="262"/>
        </w:trPr>
        <w:tc>
          <w:tcPr>
            <w:tcW w:w="2080" w:type="dxa"/>
            <w:vAlign w:val="bottom"/>
          </w:tcPr>
          <w:p>
            <w:pPr>
              <w:ind w:left="40"/>
              <w:spacing w:after="0"/>
              <w:rPr>
                <w:sz w:val="20"/>
                <w:szCs w:val="20"/>
                <w:color w:val="auto"/>
              </w:rPr>
            </w:pPr>
            <w:r>
              <w:rPr>
                <w:rFonts w:ascii="Arial" w:cs="Arial" w:eastAsia="Arial" w:hAnsi="Arial"/>
                <w:sz w:val="16"/>
                <w:szCs w:val="16"/>
                <w:color w:val="auto"/>
              </w:rPr>
              <w:t>Michigan</w:t>
            </w:r>
          </w:p>
        </w:tc>
        <w:tc>
          <w:tcPr>
            <w:tcW w:w="1140" w:type="dxa"/>
            <w:vAlign w:val="bottom"/>
          </w:tcPr>
          <w:p>
            <w:pPr>
              <w:jc w:val="right"/>
              <w:ind w:right="20"/>
              <w:spacing w:after="0"/>
              <w:rPr>
                <w:sz w:val="20"/>
                <w:szCs w:val="20"/>
                <w:color w:val="auto"/>
              </w:rPr>
            </w:pPr>
            <w:r>
              <w:rPr>
                <w:rFonts w:ascii="Arial" w:cs="Arial" w:eastAsia="Arial" w:hAnsi="Arial"/>
                <w:sz w:val="16"/>
                <w:szCs w:val="16"/>
                <w:color w:val="auto"/>
              </w:rPr>
              <w:t>3.6</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20" w:type="dxa"/>
            <w:vAlign w:val="bottom"/>
          </w:tcPr>
          <w:p>
            <w:pPr>
              <w:jc w:val="right"/>
              <w:ind w:right="20"/>
              <w:spacing w:after="0"/>
              <w:rPr>
                <w:sz w:val="20"/>
                <w:szCs w:val="20"/>
                <w:color w:val="auto"/>
              </w:rPr>
            </w:pPr>
            <w:r>
              <w:rPr>
                <w:rFonts w:ascii="Arial" w:cs="Arial" w:eastAsia="Arial" w:hAnsi="Arial"/>
                <w:sz w:val="16"/>
                <w:szCs w:val="16"/>
                <w:color w:val="auto"/>
              </w:rPr>
              <w:t>1,143</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322.08</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20" w:type="dxa"/>
            <w:vAlign w:val="bottom"/>
          </w:tcPr>
          <w:p>
            <w:pPr>
              <w:jc w:val="right"/>
              <w:ind w:right="20"/>
              <w:spacing w:after="0"/>
              <w:rPr>
                <w:sz w:val="20"/>
                <w:szCs w:val="20"/>
                <w:color w:val="auto"/>
              </w:rPr>
            </w:pPr>
            <w:r>
              <w:rPr>
                <w:rFonts w:ascii="Arial" w:cs="Arial" w:eastAsia="Arial" w:hAnsi="Arial"/>
                <w:sz w:val="16"/>
                <w:szCs w:val="16"/>
                <w:color w:val="auto"/>
              </w:rPr>
              <w:t>1,018</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286.77</w:t>
            </w:r>
          </w:p>
        </w:tc>
        <w:tc>
          <w:tcPr>
            <w:tcW w:w="1320" w:type="dxa"/>
            <w:vAlign w:val="bottom"/>
            <w:gridSpan w:val="2"/>
          </w:tcPr>
          <w:p>
            <w:pPr>
              <w:jc w:val="right"/>
              <w:ind w:right="103"/>
              <w:spacing w:after="0"/>
              <w:rPr>
                <w:sz w:val="20"/>
                <w:szCs w:val="20"/>
                <w:color w:val="auto"/>
              </w:rPr>
            </w:pPr>
            <w:r>
              <w:rPr>
                <w:rFonts w:ascii="Arial" w:cs="Arial" w:eastAsia="Arial" w:hAnsi="Arial"/>
                <w:sz w:val="16"/>
                <w:szCs w:val="16"/>
                <w:color w:val="auto"/>
              </w:rPr>
              <w:t>89.0</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760" w:type="dxa"/>
            <w:vAlign w:val="bottom"/>
          </w:tcPr>
          <w:p>
            <w:pPr>
              <w:jc w:val="right"/>
              <w:ind w:right="19"/>
              <w:spacing w:after="0"/>
              <w:rPr>
                <w:sz w:val="20"/>
                <w:szCs w:val="20"/>
                <w:color w:val="auto"/>
              </w:rPr>
            </w:pPr>
            <w:r>
              <w:rPr>
                <w:rFonts w:ascii="Arial" w:cs="Arial" w:eastAsia="Arial" w:hAnsi="Arial"/>
                <w:sz w:val="16"/>
                <w:szCs w:val="16"/>
                <w:color w:val="auto"/>
              </w:rPr>
              <w:t>125</w:t>
            </w:r>
          </w:p>
        </w:tc>
        <w:tc>
          <w:tcPr>
            <w:tcW w:w="0" w:type="dxa"/>
            <w:vAlign w:val="bottom"/>
          </w:tcPr>
          <w:p>
            <w:pPr>
              <w:spacing w:after="0"/>
              <w:rPr>
                <w:sz w:val="1"/>
                <w:szCs w:val="1"/>
                <w:color w:val="auto"/>
              </w:rPr>
            </w:pPr>
          </w:p>
        </w:tc>
      </w:tr>
      <w:tr>
        <w:trPr>
          <w:trHeight w:val="278"/>
        </w:trPr>
        <w:tc>
          <w:tcPr>
            <w:tcW w:w="2080" w:type="dxa"/>
            <w:vAlign w:val="bottom"/>
            <w:shd w:val="clear" w:color="auto" w:fill="CCEEFF"/>
          </w:tcPr>
          <w:p>
            <w:pPr>
              <w:ind w:left="40"/>
              <w:spacing w:after="0"/>
              <w:rPr>
                <w:sz w:val="20"/>
                <w:szCs w:val="20"/>
                <w:color w:val="auto"/>
              </w:rPr>
            </w:pPr>
            <w:r>
              <w:rPr>
                <w:rFonts w:ascii="Arial" w:cs="Arial" w:eastAsia="Arial" w:hAnsi="Arial"/>
                <w:sz w:val="16"/>
                <w:szCs w:val="16"/>
                <w:color w:val="auto"/>
              </w:rPr>
              <w:t>New Mexico</w:t>
            </w:r>
          </w:p>
        </w:tc>
        <w:tc>
          <w:tcPr>
            <w:tcW w:w="114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2.3</w:t>
            </w: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1,016</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447.07</w:t>
            </w: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905</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398.22</w:t>
            </w:r>
          </w:p>
        </w:tc>
        <w:tc>
          <w:tcPr>
            <w:tcW w:w="1320" w:type="dxa"/>
            <w:vAlign w:val="bottom"/>
            <w:gridSpan w:val="2"/>
            <w:shd w:val="clear" w:color="auto" w:fill="CCEEFF"/>
          </w:tcPr>
          <w:p>
            <w:pPr>
              <w:jc w:val="right"/>
              <w:ind w:right="103"/>
              <w:spacing w:after="0"/>
              <w:rPr>
                <w:sz w:val="20"/>
                <w:szCs w:val="20"/>
                <w:color w:val="auto"/>
              </w:rPr>
            </w:pPr>
            <w:r>
              <w:rPr>
                <w:rFonts w:ascii="Arial" w:cs="Arial" w:eastAsia="Arial" w:hAnsi="Arial"/>
                <w:sz w:val="16"/>
                <w:szCs w:val="16"/>
                <w:color w:val="auto"/>
              </w:rPr>
              <w:t>89.1</w:t>
            </w: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7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111</w:t>
            </w:r>
          </w:p>
        </w:tc>
        <w:tc>
          <w:tcPr>
            <w:tcW w:w="0" w:type="dxa"/>
            <w:vAlign w:val="bottom"/>
          </w:tcPr>
          <w:p>
            <w:pPr>
              <w:spacing w:after="0"/>
              <w:rPr>
                <w:sz w:val="1"/>
                <w:szCs w:val="1"/>
                <w:color w:val="auto"/>
              </w:rPr>
            </w:pPr>
          </w:p>
        </w:tc>
      </w:tr>
      <w:tr>
        <w:trPr>
          <w:trHeight w:val="270"/>
        </w:trPr>
        <w:tc>
          <w:tcPr>
            <w:tcW w:w="2080" w:type="dxa"/>
            <w:vAlign w:val="bottom"/>
          </w:tcPr>
          <w:p>
            <w:pPr>
              <w:ind w:left="40"/>
              <w:spacing w:after="0"/>
              <w:rPr>
                <w:sz w:val="20"/>
                <w:szCs w:val="20"/>
                <w:color w:val="auto"/>
              </w:rPr>
            </w:pPr>
            <w:r>
              <w:rPr>
                <w:rFonts w:ascii="Arial" w:cs="Arial" w:eastAsia="Arial" w:hAnsi="Arial"/>
                <w:sz w:val="16"/>
                <w:szCs w:val="16"/>
                <w:color w:val="auto"/>
              </w:rPr>
              <w:t xml:space="preserve">New York </w:t>
            </w:r>
            <w:r>
              <w:rPr>
                <w:rFonts w:ascii="Arial" w:cs="Arial" w:eastAsia="Arial" w:hAnsi="Arial"/>
                <w:sz w:val="21"/>
                <w:szCs w:val="21"/>
                <w:color w:val="auto"/>
                <w:vertAlign w:val="superscript"/>
              </w:rPr>
              <w:t>(1)</w:t>
            </w:r>
          </w:p>
        </w:tc>
        <w:tc>
          <w:tcPr>
            <w:tcW w:w="1140" w:type="dxa"/>
            <w:vAlign w:val="bottom"/>
          </w:tcPr>
          <w:p>
            <w:pPr>
              <w:jc w:val="right"/>
              <w:ind w:right="20"/>
              <w:spacing w:after="0"/>
              <w:rPr>
                <w:sz w:val="20"/>
                <w:szCs w:val="20"/>
                <w:color w:val="auto"/>
              </w:rPr>
            </w:pPr>
            <w:r>
              <w:rPr>
                <w:rFonts w:ascii="Arial" w:cs="Arial" w:eastAsia="Arial" w:hAnsi="Arial"/>
                <w:sz w:val="16"/>
                <w:szCs w:val="16"/>
                <w:color w:val="auto"/>
              </w:rPr>
              <w:t>0.1</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20" w:type="dxa"/>
            <w:vAlign w:val="bottom"/>
          </w:tcPr>
          <w:p>
            <w:pPr>
              <w:jc w:val="right"/>
              <w:ind w:right="20"/>
              <w:spacing w:after="0"/>
              <w:rPr>
                <w:sz w:val="20"/>
                <w:szCs w:val="20"/>
                <w:color w:val="auto"/>
              </w:rPr>
            </w:pPr>
            <w:r>
              <w:rPr>
                <w:rFonts w:ascii="Arial" w:cs="Arial" w:eastAsia="Arial" w:hAnsi="Arial"/>
                <w:sz w:val="16"/>
                <w:szCs w:val="16"/>
                <w:color w:val="auto"/>
              </w:rPr>
              <w:t>32</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427.40</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20" w:type="dxa"/>
            <w:vAlign w:val="bottom"/>
          </w:tcPr>
          <w:p>
            <w:pPr>
              <w:jc w:val="right"/>
              <w:ind w:right="20"/>
              <w:spacing w:after="0"/>
              <w:rPr>
                <w:sz w:val="20"/>
                <w:szCs w:val="20"/>
                <w:color w:val="auto"/>
              </w:rPr>
            </w:pPr>
            <w:r>
              <w:rPr>
                <w:rFonts w:ascii="Arial" w:cs="Arial" w:eastAsia="Arial" w:hAnsi="Arial"/>
                <w:sz w:val="16"/>
                <w:szCs w:val="16"/>
                <w:color w:val="auto"/>
              </w:rPr>
              <w:t>30</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403.71</w:t>
            </w:r>
          </w:p>
        </w:tc>
        <w:tc>
          <w:tcPr>
            <w:tcW w:w="1320" w:type="dxa"/>
            <w:vAlign w:val="bottom"/>
            <w:gridSpan w:val="2"/>
          </w:tcPr>
          <w:p>
            <w:pPr>
              <w:jc w:val="right"/>
              <w:ind w:right="103"/>
              <w:spacing w:after="0"/>
              <w:rPr>
                <w:sz w:val="20"/>
                <w:szCs w:val="20"/>
                <w:color w:val="auto"/>
              </w:rPr>
            </w:pPr>
            <w:r>
              <w:rPr>
                <w:rFonts w:ascii="Arial" w:cs="Arial" w:eastAsia="Arial" w:hAnsi="Arial"/>
                <w:sz w:val="16"/>
                <w:szCs w:val="16"/>
                <w:color w:val="auto"/>
              </w:rPr>
              <w:t>94.5</w:t>
            </w: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760" w:type="dxa"/>
            <w:vAlign w:val="bottom"/>
          </w:tcPr>
          <w:p>
            <w:pPr>
              <w:jc w:val="right"/>
              <w:ind w:right="19"/>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270"/>
        </w:trPr>
        <w:tc>
          <w:tcPr>
            <w:tcW w:w="2080" w:type="dxa"/>
            <w:vAlign w:val="bottom"/>
            <w:shd w:val="clear" w:color="auto" w:fill="CCEEFF"/>
          </w:tcPr>
          <w:p>
            <w:pPr>
              <w:ind w:left="40"/>
              <w:spacing w:after="0"/>
              <w:rPr>
                <w:sz w:val="20"/>
                <w:szCs w:val="20"/>
                <w:color w:val="auto"/>
              </w:rPr>
            </w:pPr>
            <w:r>
              <w:rPr>
                <w:rFonts w:ascii="Arial" w:cs="Arial" w:eastAsia="Arial" w:hAnsi="Arial"/>
                <w:sz w:val="16"/>
                <w:szCs w:val="16"/>
                <w:color w:val="auto"/>
              </w:rPr>
              <w:t>Ohio</w:t>
            </w:r>
          </w:p>
        </w:tc>
        <w:tc>
          <w:tcPr>
            <w:tcW w:w="114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3.0</w:t>
            </w:r>
          </w:p>
        </w:tc>
        <w:tc>
          <w:tcPr>
            <w:tcW w:w="12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2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1,472</w:t>
            </w: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90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484.82</w:t>
            </w:r>
          </w:p>
        </w:tc>
        <w:tc>
          <w:tcPr>
            <w:tcW w:w="12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2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1,306</w:t>
            </w: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90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430.14</w:t>
            </w:r>
          </w:p>
        </w:tc>
        <w:tc>
          <w:tcPr>
            <w:tcW w:w="1320" w:type="dxa"/>
            <w:vAlign w:val="bottom"/>
            <w:gridSpan w:val="2"/>
            <w:shd w:val="clear" w:color="auto" w:fill="CCEEFF"/>
          </w:tcPr>
          <w:p>
            <w:pPr>
              <w:jc w:val="right"/>
              <w:ind w:right="103"/>
              <w:spacing w:after="0"/>
              <w:rPr>
                <w:sz w:val="20"/>
                <w:szCs w:val="20"/>
                <w:color w:val="auto"/>
              </w:rPr>
            </w:pPr>
            <w:r>
              <w:rPr>
                <w:rFonts w:ascii="Arial" w:cs="Arial" w:eastAsia="Arial" w:hAnsi="Arial"/>
                <w:sz w:val="16"/>
                <w:szCs w:val="16"/>
                <w:color w:val="auto"/>
              </w:rPr>
              <w:t>88.7</w:t>
            </w:r>
          </w:p>
        </w:tc>
        <w:tc>
          <w:tcPr>
            <w:tcW w:w="10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7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166</w:t>
            </w:r>
          </w:p>
        </w:tc>
        <w:tc>
          <w:tcPr>
            <w:tcW w:w="0" w:type="dxa"/>
            <w:vAlign w:val="bottom"/>
          </w:tcPr>
          <w:p>
            <w:pPr>
              <w:spacing w:after="0"/>
              <w:rPr>
                <w:sz w:val="1"/>
                <w:szCs w:val="1"/>
                <w:color w:val="auto"/>
              </w:rPr>
            </w:pPr>
          </w:p>
        </w:tc>
      </w:tr>
      <w:tr>
        <w:trPr>
          <w:trHeight w:val="262"/>
        </w:trPr>
        <w:tc>
          <w:tcPr>
            <w:tcW w:w="2080" w:type="dxa"/>
            <w:vAlign w:val="bottom"/>
          </w:tcPr>
          <w:p>
            <w:pPr>
              <w:ind w:left="40"/>
              <w:spacing w:after="0"/>
              <w:rPr>
                <w:sz w:val="20"/>
                <w:szCs w:val="20"/>
                <w:color w:val="auto"/>
              </w:rPr>
            </w:pPr>
            <w:r>
              <w:rPr>
                <w:rFonts w:ascii="Arial" w:cs="Arial" w:eastAsia="Arial" w:hAnsi="Arial"/>
                <w:sz w:val="16"/>
                <w:szCs w:val="16"/>
                <w:color w:val="auto"/>
              </w:rPr>
              <w:t>Puerto Rico</w:t>
            </w:r>
          </w:p>
        </w:tc>
        <w:tc>
          <w:tcPr>
            <w:tcW w:w="1140" w:type="dxa"/>
            <w:vAlign w:val="bottom"/>
          </w:tcPr>
          <w:p>
            <w:pPr>
              <w:jc w:val="right"/>
              <w:ind w:right="20"/>
              <w:spacing w:after="0"/>
              <w:rPr>
                <w:sz w:val="20"/>
                <w:szCs w:val="20"/>
                <w:color w:val="auto"/>
              </w:rPr>
            </w:pPr>
            <w:r>
              <w:rPr>
                <w:rFonts w:ascii="Arial" w:cs="Arial" w:eastAsia="Arial" w:hAnsi="Arial"/>
                <w:sz w:val="16"/>
                <w:szCs w:val="16"/>
                <w:color w:val="auto"/>
              </w:rPr>
              <w:t>3.0</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20" w:type="dxa"/>
            <w:vAlign w:val="bottom"/>
          </w:tcPr>
          <w:p>
            <w:pPr>
              <w:jc w:val="right"/>
              <w:ind w:right="20"/>
              <w:spacing w:after="0"/>
              <w:rPr>
                <w:sz w:val="20"/>
                <w:szCs w:val="20"/>
                <w:color w:val="auto"/>
              </w:rPr>
            </w:pPr>
            <w:r>
              <w:rPr>
                <w:rFonts w:ascii="Arial" w:cs="Arial" w:eastAsia="Arial" w:hAnsi="Arial"/>
                <w:sz w:val="16"/>
                <w:szCs w:val="16"/>
                <w:color w:val="auto"/>
              </w:rPr>
              <w:t>535</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176.44</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20" w:type="dxa"/>
            <w:vAlign w:val="bottom"/>
          </w:tcPr>
          <w:p>
            <w:pPr>
              <w:jc w:val="right"/>
              <w:ind w:right="20"/>
              <w:spacing w:after="0"/>
              <w:rPr>
                <w:sz w:val="20"/>
                <w:szCs w:val="20"/>
                <w:color w:val="auto"/>
              </w:rPr>
            </w:pPr>
            <w:r>
              <w:rPr>
                <w:rFonts w:ascii="Arial" w:cs="Arial" w:eastAsia="Arial" w:hAnsi="Arial"/>
                <w:sz w:val="16"/>
                <w:szCs w:val="16"/>
                <w:color w:val="auto"/>
              </w:rPr>
              <w:t>516</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170.46</w:t>
            </w:r>
          </w:p>
        </w:tc>
        <w:tc>
          <w:tcPr>
            <w:tcW w:w="1320" w:type="dxa"/>
            <w:vAlign w:val="bottom"/>
            <w:gridSpan w:val="2"/>
          </w:tcPr>
          <w:p>
            <w:pPr>
              <w:jc w:val="right"/>
              <w:ind w:right="103"/>
              <w:spacing w:after="0"/>
              <w:rPr>
                <w:sz w:val="20"/>
                <w:szCs w:val="20"/>
                <w:color w:val="auto"/>
              </w:rPr>
            </w:pPr>
            <w:r>
              <w:rPr>
                <w:rFonts w:ascii="Arial" w:cs="Arial" w:eastAsia="Arial" w:hAnsi="Arial"/>
                <w:sz w:val="16"/>
                <w:szCs w:val="16"/>
                <w:color w:val="auto"/>
              </w:rPr>
              <w:t>96.6</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760" w:type="dxa"/>
            <w:vAlign w:val="bottom"/>
          </w:tcPr>
          <w:p>
            <w:pPr>
              <w:jc w:val="right"/>
              <w:ind w:right="19"/>
              <w:spacing w:after="0"/>
              <w:rPr>
                <w:sz w:val="20"/>
                <w:szCs w:val="20"/>
                <w:color w:val="auto"/>
              </w:rPr>
            </w:pPr>
            <w:r>
              <w:rPr>
                <w:rFonts w:ascii="Arial" w:cs="Arial" w:eastAsia="Arial" w:hAnsi="Arial"/>
                <w:sz w:val="16"/>
                <w:szCs w:val="16"/>
                <w:color w:val="auto"/>
              </w:rPr>
              <w:t>19</w:t>
            </w:r>
          </w:p>
        </w:tc>
        <w:tc>
          <w:tcPr>
            <w:tcW w:w="0" w:type="dxa"/>
            <w:vAlign w:val="bottom"/>
          </w:tcPr>
          <w:p>
            <w:pPr>
              <w:spacing w:after="0"/>
              <w:rPr>
                <w:sz w:val="1"/>
                <w:szCs w:val="1"/>
                <w:color w:val="auto"/>
              </w:rPr>
            </w:pPr>
          </w:p>
        </w:tc>
      </w:tr>
      <w:tr>
        <w:trPr>
          <w:trHeight w:val="278"/>
        </w:trPr>
        <w:tc>
          <w:tcPr>
            <w:tcW w:w="2080" w:type="dxa"/>
            <w:vAlign w:val="bottom"/>
            <w:shd w:val="clear" w:color="auto" w:fill="CCEEFF"/>
          </w:tcPr>
          <w:p>
            <w:pPr>
              <w:ind w:left="40"/>
              <w:spacing w:after="0"/>
              <w:rPr>
                <w:sz w:val="20"/>
                <w:szCs w:val="20"/>
                <w:color w:val="auto"/>
              </w:rPr>
            </w:pPr>
            <w:r>
              <w:rPr>
                <w:rFonts w:ascii="Arial" w:cs="Arial" w:eastAsia="Arial" w:hAnsi="Arial"/>
                <w:sz w:val="16"/>
                <w:szCs w:val="16"/>
                <w:color w:val="auto"/>
              </w:rPr>
              <w:t>South Carolina</w:t>
            </w:r>
          </w:p>
        </w:tc>
        <w:tc>
          <w:tcPr>
            <w:tcW w:w="114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0.9</w:t>
            </w: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273</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288.93</w:t>
            </w: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232</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245.13</w:t>
            </w:r>
          </w:p>
        </w:tc>
        <w:tc>
          <w:tcPr>
            <w:tcW w:w="1320" w:type="dxa"/>
            <w:vAlign w:val="bottom"/>
            <w:gridSpan w:val="2"/>
            <w:shd w:val="clear" w:color="auto" w:fill="CCEEFF"/>
          </w:tcPr>
          <w:p>
            <w:pPr>
              <w:jc w:val="right"/>
              <w:ind w:right="103"/>
              <w:spacing w:after="0"/>
              <w:rPr>
                <w:sz w:val="20"/>
                <w:szCs w:val="20"/>
                <w:color w:val="auto"/>
              </w:rPr>
            </w:pPr>
            <w:r>
              <w:rPr>
                <w:rFonts w:ascii="Arial" w:cs="Arial" w:eastAsia="Arial" w:hAnsi="Arial"/>
                <w:sz w:val="16"/>
                <w:szCs w:val="16"/>
                <w:color w:val="auto"/>
              </w:rPr>
              <w:t>84.8</w:t>
            </w: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7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41</w:t>
            </w:r>
          </w:p>
        </w:tc>
        <w:tc>
          <w:tcPr>
            <w:tcW w:w="0" w:type="dxa"/>
            <w:vAlign w:val="bottom"/>
          </w:tcPr>
          <w:p>
            <w:pPr>
              <w:spacing w:after="0"/>
              <w:rPr>
                <w:sz w:val="1"/>
                <w:szCs w:val="1"/>
                <w:color w:val="auto"/>
              </w:rPr>
            </w:pPr>
          </w:p>
        </w:tc>
      </w:tr>
      <w:tr>
        <w:trPr>
          <w:trHeight w:val="262"/>
        </w:trPr>
        <w:tc>
          <w:tcPr>
            <w:tcW w:w="2080" w:type="dxa"/>
            <w:vAlign w:val="bottom"/>
          </w:tcPr>
          <w:p>
            <w:pPr>
              <w:ind w:left="40"/>
              <w:spacing w:after="0"/>
              <w:rPr>
                <w:sz w:val="20"/>
                <w:szCs w:val="20"/>
                <w:color w:val="auto"/>
              </w:rPr>
            </w:pPr>
            <w:r>
              <w:rPr>
                <w:rFonts w:ascii="Arial" w:cs="Arial" w:eastAsia="Arial" w:hAnsi="Arial"/>
                <w:sz w:val="16"/>
                <w:szCs w:val="16"/>
                <w:color w:val="auto"/>
              </w:rPr>
              <w:t>Texas</w:t>
            </w:r>
          </w:p>
        </w:tc>
        <w:tc>
          <w:tcPr>
            <w:tcW w:w="1140" w:type="dxa"/>
            <w:vAlign w:val="bottom"/>
          </w:tcPr>
          <w:p>
            <w:pPr>
              <w:jc w:val="right"/>
              <w:ind w:right="20"/>
              <w:spacing w:after="0"/>
              <w:rPr>
                <w:sz w:val="20"/>
                <w:szCs w:val="20"/>
                <w:color w:val="auto"/>
              </w:rPr>
            </w:pPr>
            <w:r>
              <w:rPr>
                <w:rFonts w:ascii="Arial" w:cs="Arial" w:eastAsia="Arial" w:hAnsi="Arial"/>
                <w:sz w:val="16"/>
                <w:szCs w:val="16"/>
                <w:color w:val="auto"/>
              </w:rPr>
              <w:t>3.3</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20" w:type="dxa"/>
            <w:vAlign w:val="bottom"/>
          </w:tcPr>
          <w:p>
            <w:pPr>
              <w:jc w:val="right"/>
              <w:ind w:right="20"/>
              <w:spacing w:after="0"/>
              <w:rPr>
                <w:sz w:val="20"/>
                <w:szCs w:val="20"/>
                <w:color w:val="auto"/>
              </w:rPr>
            </w:pPr>
            <w:r>
              <w:rPr>
                <w:rFonts w:ascii="Arial" w:cs="Arial" w:eastAsia="Arial" w:hAnsi="Arial"/>
                <w:sz w:val="16"/>
                <w:szCs w:val="16"/>
                <w:color w:val="auto"/>
              </w:rPr>
              <w:t>1,852</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570.65</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20" w:type="dxa"/>
            <w:vAlign w:val="bottom"/>
          </w:tcPr>
          <w:p>
            <w:pPr>
              <w:jc w:val="right"/>
              <w:ind w:right="20"/>
              <w:spacing w:after="0"/>
              <w:rPr>
                <w:sz w:val="20"/>
                <w:szCs w:val="20"/>
                <w:color w:val="auto"/>
              </w:rPr>
            </w:pPr>
            <w:r>
              <w:rPr>
                <w:rFonts w:ascii="Arial" w:cs="Arial" w:eastAsia="Arial" w:hAnsi="Arial"/>
                <w:sz w:val="16"/>
                <w:szCs w:val="16"/>
                <w:color w:val="auto"/>
              </w:rPr>
              <w:t>1,599</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492.79</w:t>
            </w:r>
          </w:p>
        </w:tc>
        <w:tc>
          <w:tcPr>
            <w:tcW w:w="1320" w:type="dxa"/>
            <w:vAlign w:val="bottom"/>
            <w:gridSpan w:val="2"/>
          </w:tcPr>
          <w:p>
            <w:pPr>
              <w:jc w:val="right"/>
              <w:ind w:right="103"/>
              <w:spacing w:after="0"/>
              <w:rPr>
                <w:sz w:val="20"/>
                <w:szCs w:val="20"/>
                <w:color w:val="auto"/>
              </w:rPr>
            </w:pPr>
            <w:r>
              <w:rPr>
                <w:rFonts w:ascii="Arial" w:cs="Arial" w:eastAsia="Arial" w:hAnsi="Arial"/>
                <w:sz w:val="16"/>
                <w:szCs w:val="16"/>
                <w:color w:val="auto"/>
              </w:rPr>
              <w:t>86.4</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760" w:type="dxa"/>
            <w:vAlign w:val="bottom"/>
          </w:tcPr>
          <w:p>
            <w:pPr>
              <w:jc w:val="right"/>
              <w:ind w:right="19"/>
              <w:spacing w:after="0"/>
              <w:rPr>
                <w:sz w:val="20"/>
                <w:szCs w:val="20"/>
                <w:color w:val="auto"/>
              </w:rPr>
            </w:pPr>
            <w:r>
              <w:rPr>
                <w:rFonts w:ascii="Arial" w:cs="Arial" w:eastAsia="Arial" w:hAnsi="Arial"/>
                <w:sz w:val="16"/>
                <w:szCs w:val="16"/>
                <w:color w:val="auto"/>
              </w:rPr>
              <w:t>253</w:t>
            </w:r>
          </w:p>
        </w:tc>
        <w:tc>
          <w:tcPr>
            <w:tcW w:w="0" w:type="dxa"/>
            <w:vAlign w:val="bottom"/>
          </w:tcPr>
          <w:p>
            <w:pPr>
              <w:spacing w:after="0"/>
              <w:rPr>
                <w:sz w:val="1"/>
                <w:szCs w:val="1"/>
                <w:color w:val="auto"/>
              </w:rPr>
            </w:pPr>
          </w:p>
        </w:tc>
      </w:tr>
      <w:tr>
        <w:trPr>
          <w:trHeight w:val="278"/>
        </w:trPr>
        <w:tc>
          <w:tcPr>
            <w:tcW w:w="2080" w:type="dxa"/>
            <w:vAlign w:val="bottom"/>
            <w:shd w:val="clear" w:color="auto" w:fill="CCEEFF"/>
          </w:tcPr>
          <w:p>
            <w:pPr>
              <w:ind w:left="40"/>
              <w:spacing w:after="0"/>
              <w:rPr>
                <w:sz w:val="20"/>
                <w:szCs w:val="20"/>
                <w:color w:val="auto"/>
              </w:rPr>
            </w:pPr>
            <w:r>
              <w:rPr>
                <w:rFonts w:ascii="Arial" w:cs="Arial" w:eastAsia="Arial" w:hAnsi="Arial"/>
                <w:sz w:val="16"/>
                <w:szCs w:val="16"/>
                <w:color w:val="auto"/>
              </w:rPr>
              <w:t>Utah</w:t>
            </w:r>
          </w:p>
        </w:tc>
        <w:tc>
          <w:tcPr>
            <w:tcW w:w="114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1.3</w:t>
            </w: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330</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246.78</w:t>
            </w: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312</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233.14</w:t>
            </w:r>
          </w:p>
        </w:tc>
        <w:tc>
          <w:tcPr>
            <w:tcW w:w="1320" w:type="dxa"/>
            <w:vAlign w:val="bottom"/>
            <w:gridSpan w:val="2"/>
            <w:shd w:val="clear" w:color="auto" w:fill="CCEEFF"/>
          </w:tcPr>
          <w:p>
            <w:pPr>
              <w:jc w:val="right"/>
              <w:ind w:right="103"/>
              <w:spacing w:after="0"/>
              <w:rPr>
                <w:sz w:val="20"/>
                <w:szCs w:val="20"/>
                <w:color w:val="auto"/>
              </w:rPr>
            </w:pPr>
            <w:r>
              <w:rPr>
                <w:rFonts w:ascii="Arial" w:cs="Arial" w:eastAsia="Arial" w:hAnsi="Arial"/>
                <w:sz w:val="16"/>
                <w:szCs w:val="16"/>
                <w:color w:val="auto"/>
              </w:rPr>
              <w:t>94.5</w:t>
            </w: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7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18</w:t>
            </w:r>
          </w:p>
        </w:tc>
        <w:tc>
          <w:tcPr>
            <w:tcW w:w="0" w:type="dxa"/>
            <w:vAlign w:val="bottom"/>
          </w:tcPr>
          <w:p>
            <w:pPr>
              <w:spacing w:after="0"/>
              <w:rPr>
                <w:sz w:val="1"/>
                <w:szCs w:val="1"/>
                <w:color w:val="auto"/>
              </w:rPr>
            </w:pPr>
          </w:p>
        </w:tc>
      </w:tr>
      <w:tr>
        <w:trPr>
          <w:trHeight w:val="262"/>
        </w:trPr>
        <w:tc>
          <w:tcPr>
            <w:tcW w:w="2080" w:type="dxa"/>
            <w:vAlign w:val="bottom"/>
          </w:tcPr>
          <w:p>
            <w:pPr>
              <w:ind w:left="40"/>
              <w:spacing w:after="0"/>
              <w:rPr>
                <w:sz w:val="20"/>
                <w:szCs w:val="20"/>
                <w:color w:val="auto"/>
              </w:rPr>
            </w:pPr>
            <w:r>
              <w:rPr>
                <w:rFonts w:ascii="Arial" w:cs="Arial" w:eastAsia="Arial" w:hAnsi="Arial"/>
                <w:sz w:val="16"/>
                <w:szCs w:val="16"/>
                <w:color w:val="auto"/>
              </w:rPr>
              <w:t>Washington</w:t>
            </w:r>
          </w:p>
        </w:tc>
        <w:tc>
          <w:tcPr>
            <w:tcW w:w="1140" w:type="dxa"/>
            <w:vAlign w:val="bottom"/>
          </w:tcPr>
          <w:p>
            <w:pPr>
              <w:jc w:val="right"/>
              <w:ind w:right="20"/>
              <w:spacing w:after="0"/>
              <w:rPr>
                <w:sz w:val="20"/>
                <w:szCs w:val="20"/>
                <w:color w:val="auto"/>
              </w:rPr>
            </w:pPr>
            <w:r>
              <w:rPr>
                <w:rFonts w:ascii="Arial" w:cs="Arial" w:eastAsia="Arial" w:hAnsi="Arial"/>
                <w:sz w:val="16"/>
                <w:szCs w:val="16"/>
                <w:color w:val="auto"/>
              </w:rPr>
              <w:t>6.2</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20" w:type="dxa"/>
            <w:vAlign w:val="bottom"/>
          </w:tcPr>
          <w:p>
            <w:pPr>
              <w:jc w:val="right"/>
              <w:ind w:right="20"/>
              <w:spacing w:after="0"/>
              <w:rPr>
                <w:sz w:val="20"/>
                <w:szCs w:val="20"/>
                <w:color w:val="auto"/>
              </w:rPr>
            </w:pPr>
            <w:r>
              <w:rPr>
                <w:rFonts w:ascii="Arial" w:cs="Arial" w:eastAsia="Arial" w:hAnsi="Arial"/>
                <w:sz w:val="16"/>
                <w:szCs w:val="16"/>
                <w:color w:val="auto"/>
              </w:rPr>
              <w:t>1,634</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261.91</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20" w:type="dxa"/>
            <w:vAlign w:val="bottom"/>
          </w:tcPr>
          <w:p>
            <w:pPr>
              <w:jc w:val="right"/>
              <w:ind w:right="20"/>
              <w:spacing w:after="0"/>
              <w:rPr>
                <w:sz w:val="20"/>
                <w:szCs w:val="20"/>
                <w:color w:val="auto"/>
              </w:rPr>
            </w:pPr>
            <w:r>
              <w:rPr>
                <w:rFonts w:ascii="Arial" w:cs="Arial" w:eastAsia="Arial" w:hAnsi="Arial"/>
                <w:sz w:val="16"/>
                <w:szCs w:val="16"/>
                <w:color w:val="auto"/>
              </w:rPr>
              <w:t>1,479</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237.15</w:t>
            </w:r>
          </w:p>
        </w:tc>
        <w:tc>
          <w:tcPr>
            <w:tcW w:w="1320" w:type="dxa"/>
            <w:vAlign w:val="bottom"/>
            <w:gridSpan w:val="2"/>
          </w:tcPr>
          <w:p>
            <w:pPr>
              <w:jc w:val="right"/>
              <w:ind w:right="103"/>
              <w:spacing w:after="0"/>
              <w:rPr>
                <w:sz w:val="20"/>
                <w:szCs w:val="20"/>
                <w:color w:val="auto"/>
              </w:rPr>
            </w:pPr>
            <w:r>
              <w:rPr>
                <w:rFonts w:ascii="Arial" w:cs="Arial" w:eastAsia="Arial" w:hAnsi="Arial"/>
                <w:sz w:val="16"/>
                <w:szCs w:val="16"/>
                <w:color w:val="auto"/>
              </w:rPr>
              <w:t>90.5</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760" w:type="dxa"/>
            <w:vAlign w:val="bottom"/>
          </w:tcPr>
          <w:p>
            <w:pPr>
              <w:jc w:val="right"/>
              <w:ind w:right="19"/>
              <w:spacing w:after="0"/>
              <w:rPr>
                <w:sz w:val="20"/>
                <w:szCs w:val="20"/>
                <w:color w:val="auto"/>
              </w:rPr>
            </w:pPr>
            <w:r>
              <w:rPr>
                <w:rFonts w:ascii="Arial" w:cs="Arial" w:eastAsia="Arial" w:hAnsi="Arial"/>
                <w:sz w:val="16"/>
                <w:szCs w:val="16"/>
                <w:color w:val="auto"/>
              </w:rPr>
              <w:t>155</w:t>
            </w:r>
          </w:p>
        </w:tc>
        <w:tc>
          <w:tcPr>
            <w:tcW w:w="0" w:type="dxa"/>
            <w:vAlign w:val="bottom"/>
          </w:tcPr>
          <w:p>
            <w:pPr>
              <w:spacing w:after="0"/>
              <w:rPr>
                <w:sz w:val="1"/>
                <w:szCs w:val="1"/>
                <w:color w:val="auto"/>
              </w:rPr>
            </w:pPr>
          </w:p>
        </w:tc>
      </w:tr>
      <w:tr>
        <w:trPr>
          <w:trHeight w:val="278"/>
        </w:trPr>
        <w:tc>
          <w:tcPr>
            <w:tcW w:w="2080" w:type="dxa"/>
            <w:vAlign w:val="bottom"/>
            <w:shd w:val="clear" w:color="auto" w:fill="CCEEFF"/>
          </w:tcPr>
          <w:p>
            <w:pPr>
              <w:ind w:left="40"/>
              <w:spacing w:after="0"/>
              <w:rPr>
                <w:sz w:val="20"/>
                <w:szCs w:val="20"/>
                <w:color w:val="auto"/>
              </w:rPr>
            </w:pPr>
            <w:r>
              <w:rPr>
                <w:rFonts w:ascii="Arial" w:cs="Arial" w:eastAsia="Arial" w:hAnsi="Arial"/>
                <w:sz w:val="16"/>
                <w:szCs w:val="16"/>
                <w:color w:val="auto"/>
              </w:rPr>
              <w:t>Wisconsin</w:t>
            </w:r>
          </w:p>
        </w:tc>
        <w:tc>
          <w:tcPr>
            <w:tcW w:w="114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1.2</w:t>
            </w: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299</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252.45</w:t>
            </w: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278</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235.25</w:t>
            </w:r>
          </w:p>
        </w:tc>
        <w:tc>
          <w:tcPr>
            <w:tcW w:w="1320" w:type="dxa"/>
            <w:vAlign w:val="bottom"/>
            <w:gridSpan w:val="2"/>
            <w:shd w:val="clear" w:color="auto" w:fill="CCEEFF"/>
          </w:tcPr>
          <w:p>
            <w:pPr>
              <w:jc w:val="right"/>
              <w:ind w:right="103"/>
              <w:spacing w:after="0"/>
              <w:rPr>
                <w:sz w:val="20"/>
                <w:szCs w:val="20"/>
                <w:color w:val="auto"/>
              </w:rPr>
            </w:pPr>
            <w:r>
              <w:rPr>
                <w:rFonts w:ascii="Arial" w:cs="Arial" w:eastAsia="Arial" w:hAnsi="Arial"/>
                <w:sz w:val="16"/>
                <w:szCs w:val="16"/>
                <w:color w:val="auto"/>
              </w:rPr>
              <w:t>93.2</w:t>
            </w: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7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21</w:t>
            </w:r>
          </w:p>
        </w:tc>
        <w:tc>
          <w:tcPr>
            <w:tcW w:w="0" w:type="dxa"/>
            <w:vAlign w:val="bottom"/>
          </w:tcPr>
          <w:p>
            <w:pPr>
              <w:spacing w:after="0"/>
              <w:rPr>
                <w:sz w:val="1"/>
                <w:szCs w:val="1"/>
                <w:color w:val="auto"/>
              </w:rPr>
            </w:pPr>
          </w:p>
        </w:tc>
      </w:tr>
      <w:tr>
        <w:trPr>
          <w:trHeight w:val="270"/>
        </w:trPr>
        <w:tc>
          <w:tcPr>
            <w:tcW w:w="2080" w:type="dxa"/>
            <w:vAlign w:val="bottom"/>
          </w:tcPr>
          <w:p>
            <w:pPr>
              <w:ind w:left="40"/>
              <w:spacing w:after="0"/>
              <w:rPr>
                <w:sz w:val="20"/>
                <w:szCs w:val="20"/>
                <w:color w:val="auto"/>
              </w:rPr>
            </w:pPr>
            <w:r>
              <w:rPr>
                <w:rFonts w:ascii="Arial" w:cs="Arial" w:eastAsia="Arial" w:hAnsi="Arial"/>
                <w:sz w:val="16"/>
                <w:szCs w:val="16"/>
                <w:color w:val="auto"/>
              </w:rPr>
              <w:t xml:space="preserve">Other </w:t>
            </w:r>
            <w:r>
              <w:rPr>
                <w:rFonts w:ascii="Arial" w:cs="Arial" w:eastAsia="Arial" w:hAnsi="Arial"/>
                <w:sz w:val="21"/>
                <w:szCs w:val="21"/>
                <w:color w:val="auto"/>
                <w:vertAlign w:val="superscript"/>
              </w:rPr>
              <w:t>(2)</w:t>
            </w:r>
          </w:p>
        </w:tc>
        <w:tc>
          <w:tcPr>
            <w:tcW w:w="12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23"/>
                <w:szCs w:val="23"/>
                <w:color w:val="auto"/>
              </w:rPr>
            </w:pPr>
          </w:p>
        </w:tc>
        <w:tc>
          <w:tcPr>
            <w:tcW w:w="1120" w:type="dxa"/>
            <w:vAlign w:val="bottom"/>
          </w:tcPr>
          <w:p>
            <w:pPr>
              <w:jc w:val="right"/>
              <w:ind w:right="20"/>
              <w:spacing w:after="0"/>
              <w:rPr>
                <w:sz w:val="20"/>
                <w:szCs w:val="20"/>
                <w:color w:val="auto"/>
              </w:rPr>
            </w:pPr>
            <w:r>
              <w:rPr>
                <w:rFonts w:ascii="Arial" w:cs="Arial" w:eastAsia="Arial" w:hAnsi="Arial"/>
                <w:sz w:val="16"/>
                <w:szCs w:val="16"/>
                <w:color w:val="auto"/>
              </w:rPr>
              <w:t>9</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23"/>
                <w:szCs w:val="23"/>
                <w:color w:val="auto"/>
              </w:rPr>
            </w:pPr>
          </w:p>
        </w:tc>
        <w:tc>
          <w:tcPr>
            <w:tcW w:w="1120" w:type="dxa"/>
            <w:vAlign w:val="bottom"/>
          </w:tcPr>
          <w:p>
            <w:pPr>
              <w:jc w:val="right"/>
              <w:ind w:right="20"/>
              <w:spacing w:after="0"/>
              <w:rPr>
                <w:sz w:val="20"/>
                <w:szCs w:val="20"/>
                <w:color w:val="auto"/>
              </w:rPr>
            </w:pPr>
            <w:r>
              <w:rPr>
                <w:rFonts w:ascii="Arial" w:cs="Arial" w:eastAsia="Arial" w:hAnsi="Arial"/>
                <w:sz w:val="16"/>
                <w:szCs w:val="16"/>
                <w:color w:val="auto"/>
              </w:rPr>
              <w:t>55</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3"/>
                <w:szCs w:val="23"/>
                <w:color w:val="auto"/>
              </w:rPr>
            </w:pPr>
          </w:p>
        </w:tc>
        <w:tc>
          <w:tcPr>
            <w:tcW w:w="130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(46)</w:t>
            </w:r>
          </w:p>
        </w:tc>
        <w:tc>
          <w:tcPr>
            <w:tcW w:w="0" w:type="dxa"/>
            <w:vAlign w:val="bottom"/>
          </w:tcPr>
          <w:p>
            <w:pPr>
              <w:spacing w:after="0"/>
              <w:rPr>
                <w:sz w:val="1"/>
                <w:szCs w:val="1"/>
                <w:color w:val="auto"/>
              </w:rPr>
            </w:pPr>
          </w:p>
        </w:tc>
      </w:tr>
      <w:tr>
        <w:trPr>
          <w:trHeight w:val="236"/>
        </w:trPr>
        <w:tc>
          <w:tcPr>
            <w:tcW w:w="2080" w:type="dxa"/>
            <w:vAlign w:val="bottom"/>
            <w:tcBorders>
              <w:top w:val="single" w:sz="8" w:color="CCEEFF"/>
              <w:bottom w:val="single" w:sz="8" w:color="CCEEFF"/>
            </w:tcBorders>
            <w:shd w:val="clear" w:color="auto" w:fill="CCEEFF"/>
          </w:tcPr>
          <w:p>
            <w:pPr>
              <w:spacing w:after="0"/>
              <w:rPr>
                <w:sz w:val="20"/>
                <w:szCs w:val="20"/>
                <w:color w:val="auto"/>
              </w:rPr>
            </w:pPr>
          </w:p>
        </w:tc>
        <w:tc>
          <w:tcPr>
            <w:tcW w:w="1140" w:type="dxa"/>
            <w:vAlign w:val="bottom"/>
            <w:tcBorders>
              <w:top w:val="single" w:sz="8" w:color="auto"/>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37.8</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340" w:type="dxa"/>
            <w:vAlign w:val="bottom"/>
            <w:tcBorders>
              <w:top w:val="single" w:sz="8" w:color="auto"/>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Borders>
              <w:top w:val="single" w:sz="8" w:color="auto"/>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12,215</w:t>
            </w:r>
          </w:p>
        </w:tc>
        <w:tc>
          <w:tcPr>
            <w:tcW w:w="340" w:type="dxa"/>
            <w:vAlign w:val="bottom"/>
            <w:tcBorders>
              <w:top w:val="single" w:sz="8" w:color="CCEEFF"/>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900" w:type="dxa"/>
            <w:vAlign w:val="bottom"/>
            <w:tcBorders>
              <w:top w:val="single" w:sz="8" w:color="CCEEFF"/>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323.44</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340" w:type="dxa"/>
            <w:vAlign w:val="bottom"/>
            <w:tcBorders>
              <w:top w:val="single" w:sz="8" w:color="auto"/>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120" w:type="dxa"/>
            <w:vAlign w:val="bottom"/>
            <w:tcBorders>
              <w:top w:val="single" w:sz="8" w:color="auto"/>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10,930</w:t>
            </w:r>
          </w:p>
        </w:tc>
        <w:tc>
          <w:tcPr>
            <w:tcW w:w="340" w:type="dxa"/>
            <w:vAlign w:val="bottom"/>
            <w:tcBorders>
              <w:top w:val="single" w:sz="8" w:color="CCEEFF"/>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900" w:type="dxa"/>
            <w:vAlign w:val="bottom"/>
            <w:tcBorders>
              <w:top w:val="single" w:sz="8" w:color="CCEEFF"/>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289.41</w:t>
            </w:r>
          </w:p>
        </w:tc>
        <w:tc>
          <w:tcPr>
            <w:tcW w:w="1320" w:type="dxa"/>
            <w:vAlign w:val="bottom"/>
            <w:tcBorders>
              <w:top w:val="single" w:sz="8" w:color="CCEEFF"/>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89.5%</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380" w:type="dxa"/>
            <w:vAlign w:val="bottom"/>
            <w:tcBorders>
              <w:top w:val="single" w:sz="8" w:color="auto"/>
              <w:bottom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w:t>
            </w:r>
          </w:p>
        </w:tc>
        <w:tc>
          <w:tcPr>
            <w:tcW w:w="76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1,285</w:t>
            </w:r>
          </w:p>
        </w:tc>
        <w:tc>
          <w:tcPr>
            <w:tcW w:w="0" w:type="dxa"/>
            <w:vAlign w:val="bottom"/>
          </w:tcPr>
          <w:p>
            <w:pPr>
              <w:spacing w:after="0"/>
              <w:rPr>
                <w:sz w:val="1"/>
                <w:szCs w:val="1"/>
                <w:color w:val="auto"/>
              </w:rPr>
            </w:pPr>
          </w:p>
        </w:tc>
      </w:tr>
      <w:tr>
        <w:trPr>
          <w:trHeight w:val="20"/>
        </w:trPr>
        <w:tc>
          <w:tcPr>
            <w:tcW w:w="208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left="340" w:hanging="332"/>
        <w:spacing w:after="0"/>
        <w:tabs>
          <w:tab w:leader="none" w:pos="340" w:val="left"/>
        </w:tabs>
        <w:numPr>
          <w:ilvl w:val="0"/>
          <w:numId w:val="19"/>
        </w:numPr>
        <w:rPr>
          <w:rFonts w:ascii="Arial" w:cs="Arial" w:eastAsia="Arial" w:hAnsi="Arial"/>
          <w:sz w:val="16"/>
          <w:szCs w:val="16"/>
          <w:color w:val="auto"/>
        </w:rPr>
      </w:pPr>
      <w:r>
        <w:rPr>
          <w:rFonts w:ascii="Arial" w:cs="Arial" w:eastAsia="Arial" w:hAnsi="Arial"/>
          <w:sz w:val="16"/>
          <w:szCs w:val="16"/>
          <w:color w:val="auto"/>
        </w:rPr>
        <w:t>The New York health plan was acquired on August 1, 2016.</w:t>
      </w:r>
    </w:p>
    <w:p>
      <w:pPr>
        <w:spacing w:after="0" w:line="25" w:lineRule="exact"/>
        <w:rPr>
          <w:rFonts w:ascii="Arial" w:cs="Arial" w:eastAsia="Arial" w:hAnsi="Arial"/>
          <w:sz w:val="16"/>
          <w:szCs w:val="16"/>
          <w:color w:val="auto"/>
        </w:rPr>
      </w:pPr>
    </w:p>
    <w:p>
      <w:pPr>
        <w:ind w:left="340" w:hanging="332"/>
        <w:spacing w:after="0"/>
        <w:tabs>
          <w:tab w:leader="none" w:pos="340" w:val="left"/>
        </w:tabs>
        <w:numPr>
          <w:ilvl w:val="0"/>
          <w:numId w:val="19"/>
        </w:numPr>
        <w:rPr>
          <w:rFonts w:ascii="Arial" w:cs="Arial" w:eastAsia="Arial" w:hAnsi="Arial"/>
          <w:sz w:val="16"/>
          <w:szCs w:val="16"/>
          <w:color w:val="auto"/>
        </w:rPr>
      </w:pPr>
      <w:r>
        <w:rPr>
          <w:rFonts w:ascii="Arial" w:cs="Arial" w:eastAsia="Arial" w:hAnsi="Arial"/>
          <w:sz w:val="16"/>
          <w:szCs w:val="16"/>
          <w:color w:val="auto"/>
        </w:rPr>
        <w:t>“Other” medical care costs include primarily medically related administrative costs of the parent company, and direct delivery costs.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-245745</wp:posOffset>
            </wp:positionV>
            <wp:extent cx="629285"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29285" cy="8890"/>
                    </a:xfrm>
                    <a:prstGeom prst="rect">
                      <a:avLst/>
                    </a:prstGeom>
                    <a:noFill/>
                  </pic:spPr>
                </pic:pic>
              </a:graphicData>
            </a:graphic>
          </wp:anchor>
        </w:drawing>
      </w: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Arial" w:cs="Arial" w:eastAsia="Arial" w:hAnsi="Arial"/>
          <w:sz w:val="32"/>
          <w:szCs w:val="32"/>
          <w:b w:val="1"/>
          <w:bCs w:val="1"/>
          <w:color w:val="ACACAC"/>
        </w:rPr>
        <w:t>MEDICAL CARE COSTS BY TYPE</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the details of consolidated medical care costs by category for the periods indicated (dollars in millions except</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color w:val="auto"/>
        </w:rPr>
        <w:t>PMPM amounts):</w:t>
      </w:r>
    </w:p>
    <w:p>
      <w:pPr>
        <w:spacing w:after="0" w:line="287"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192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3220" w:type="dxa"/>
            <w:vAlign w:val="bottom"/>
            <w:tcBorders>
              <w:bottom w:val="single" w:sz="8" w:color="auto"/>
            </w:tcBorders>
            <w:gridSpan w:val="5"/>
          </w:tcPr>
          <w:p>
            <w:pPr>
              <w:ind w:left="220"/>
              <w:spacing w:after="0"/>
              <w:rPr>
                <w:sz w:val="20"/>
                <w:szCs w:val="20"/>
                <w:color w:val="auto"/>
              </w:rPr>
            </w:pPr>
            <w:r>
              <w:rPr>
                <w:rFonts w:ascii="Arial" w:cs="Arial" w:eastAsia="Arial" w:hAnsi="Arial"/>
                <w:sz w:val="16"/>
                <w:szCs w:val="16"/>
                <w:b w:val="1"/>
                <w:bCs w:val="1"/>
                <w:color w:val="auto"/>
              </w:rPr>
              <w:t>Three Months Ended September 30,</w:t>
            </w:r>
          </w:p>
        </w:tc>
        <w:tc>
          <w:tcPr>
            <w:tcW w:w="32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64"/>
        </w:trPr>
        <w:tc>
          <w:tcPr>
            <w:tcW w:w="192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420"/>
              <w:spacing w:after="0"/>
              <w:rPr>
                <w:sz w:val="20"/>
                <w:szCs w:val="20"/>
                <w:color w:val="auto"/>
              </w:rPr>
            </w:pPr>
            <w:r>
              <w:rPr>
                <w:rFonts w:ascii="Arial" w:cs="Arial" w:eastAsia="Arial" w:hAnsi="Arial"/>
                <w:sz w:val="16"/>
                <w:szCs w:val="16"/>
                <w:b w:val="1"/>
                <w:bCs w:val="1"/>
                <w:color w:val="auto"/>
              </w:rPr>
              <w:t>2017</w:t>
            </w:r>
          </w:p>
        </w:tc>
        <w:tc>
          <w:tcPr>
            <w:tcW w:w="120" w:type="dxa"/>
            <w:vAlign w:val="bottom"/>
            <w:tcBorders>
              <w:bottom w:val="single" w:sz="8" w:color="auto"/>
            </w:tcBorders>
          </w:tcPr>
          <w:p>
            <w:pPr>
              <w:spacing w:after="0"/>
              <w:rPr>
                <w:sz w:val="22"/>
                <w:szCs w:val="22"/>
                <w:color w:val="auto"/>
              </w:rPr>
            </w:pPr>
          </w:p>
        </w:tc>
        <w:tc>
          <w:tcPr>
            <w:tcW w:w="154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440"/>
              <w:spacing w:after="0"/>
              <w:rPr>
                <w:sz w:val="20"/>
                <w:szCs w:val="20"/>
                <w:color w:val="auto"/>
              </w:rPr>
            </w:pPr>
            <w:r>
              <w:rPr>
                <w:rFonts w:ascii="Arial" w:cs="Arial" w:eastAsia="Arial" w:hAnsi="Arial"/>
                <w:sz w:val="16"/>
                <w:szCs w:val="16"/>
                <w:b w:val="1"/>
                <w:bCs w:val="1"/>
                <w:color w:val="auto"/>
              </w:rPr>
              <w:t>2016</w:t>
            </w:r>
          </w:p>
        </w:tc>
        <w:tc>
          <w:tcPr>
            <w:tcW w:w="100" w:type="dxa"/>
            <w:vAlign w:val="bottom"/>
            <w:tcBorders>
              <w:bottom w:val="single" w:sz="8" w:color="auto"/>
            </w:tcBorders>
          </w:tcPr>
          <w:p>
            <w:pPr>
              <w:spacing w:after="0"/>
              <w:rPr>
                <w:sz w:val="22"/>
                <w:szCs w:val="22"/>
                <w:color w:val="auto"/>
              </w:rPr>
            </w:pPr>
          </w:p>
        </w:tc>
        <w:tc>
          <w:tcPr>
            <w:tcW w:w="154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6"/>
        </w:trPr>
        <w:tc>
          <w:tcPr>
            <w:tcW w:w="19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300" w:type="dxa"/>
            <w:vAlign w:val="bottom"/>
            <w:gridSpan w:val="2"/>
          </w:tcPr>
          <w:p>
            <w:pPr>
              <w:ind w:left="180"/>
              <w:spacing w:after="0"/>
              <w:rPr>
                <w:sz w:val="20"/>
                <w:szCs w:val="20"/>
                <w:color w:val="auto"/>
              </w:rPr>
            </w:pPr>
            <w:r>
              <w:rPr>
                <w:rFonts w:ascii="Arial" w:cs="Arial" w:eastAsia="Arial" w:hAnsi="Arial"/>
                <w:sz w:val="14"/>
                <w:szCs w:val="14"/>
                <w:b w:val="1"/>
                <w:bCs w:val="1"/>
                <w:color w:val="auto"/>
              </w:rPr>
              <w:t>Amount</w:t>
            </w:r>
          </w:p>
        </w:tc>
        <w:tc>
          <w:tcPr>
            <w:tcW w:w="320" w:type="dxa"/>
            <w:vAlign w:val="bottom"/>
          </w:tcPr>
          <w:p>
            <w:pPr>
              <w:spacing w:after="0"/>
              <w:rPr>
                <w:sz w:val="23"/>
                <w:szCs w:val="23"/>
                <w:color w:val="auto"/>
              </w:rPr>
            </w:pPr>
          </w:p>
        </w:tc>
        <w:tc>
          <w:tcPr>
            <w:tcW w:w="1260" w:type="dxa"/>
            <w:vAlign w:val="bottom"/>
            <w:gridSpan w:val="2"/>
          </w:tcPr>
          <w:p>
            <w:pPr>
              <w:ind w:left="200"/>
              <w:spacing w:after="0"/>
              <w:rPr>
                <w:sz w:val="20"/>
                <w:szCs w:val="20"/>
                <w:color w:val="auto"/>
              </w:rPr>
            </w:pPr>
            <w:r>
              <w:rPr>
                <w:rFonts w:ascii="Arial" w:cs="Arial" w:eastAsia="Arial" w:hAnsi="Arial"/>
                <w:sz w:val="14"/>
                <w:szCs w:val="14"/>
                <w:b w:val="1"/>
                <w:bCs w:val="1"/>
                <w:color w:val="auto"/>
              </w:rPr>
              <w:t>PMPM</w:t>
            </w:r>
          </w:p>
        </w:tc>
        <w:tc>
          <w:tcPr>
            <w:tcW w:w="1640" w:type="dxa"/>
            <w:vAlign w:val="bottom"/>
            <w:gridSpan w:val="2"/>
          </w:tcPr>
          <w:p>
            <w:pPr>
              <w:ind w:left="420"/>
              <w:spacing w:after="0"/>
              <w:rPr>
                <w:sz w:val="20"/>
                <w:szCs w:val="20"/>
                <w:color w:val="auto"/>
              </w:rPr>
            </w:pPr>
            <w:r>
              <w:rPr>
                <w:rFonts w:ascii="Arial" w:cs="Arial" w:eastAsia="Arial" w:hAnsi="Arial"/>
                <w:sz w:val="14"/>
                <w:szCs w:val="14"/>
                <w:b w:val="1"/>
                <w:bCs w:val="1"/>
                <w:color w:val="auto"/>
              </w:rPr>
              <w:t>% of Total</w:t>
            </w:r>
          </w:p>
        </w:tc>
        <w:tc>
          <w:tcPr>
            <w:tcW w:w="300" w:type="dxa"/>
            <w:vAlign w:val="bottom"/>
          </w:tcPr>
          <w:p>
            <w:pPr>
              <w:spacing w:after="0"/>
              <w:rPr>
                <w:sz w:val="23"/>
                <w:szCs w:val="23"/>
                <w:color w:val="auto"/>
              </w:rPr>
            </w:pPr>
          </w:p>
        </w:tc>
        <w:tc>
          <w:tcPr>
            <w:tcW w:w="1280" w:type="dxa"/>
            <w:vAlign w:val="bottom"/>
            <w:gridSpan w:val="2"/>
          </w:tcPr>
          <w:p>
            <w:pPr>
              <w:ind w:left="160"/>
              <w:spacing w:after="0"/>
              <w:rPr>
                <w:sz w:val="20"/>
                <w:szCs w:val="20"/>
                <w:color w:val="auto"/>
              </w:rPr>
            </w:pPr>
            <w:r>
              <w:rPr>
                <w:rFonts w:ascii="Arial" w:cs="Arial" w:eastAsia="Arial" w:hAnsi="Arial"/>
                <w:sz w:val="14"/>
                <w:szCs w:val="14"/>
                <w:b w:val="1"/>
                <w:bCs w:val="1"/>
                <w:color w:val="auto"/>
              </w:rPr>
              <w:t>Amount</w:t>
            </w:r>
          </w:p>
        </w:tc>
        <w:tc>
          <w:tcPr>
            <w:tcW w:w="320" w:type="dxa"/>
            <w:vAlign w:val="bottom"/>
          </w:tcPr>
          <w:p>
            <w:pPr>
              <w:spacing w:after="0"/>
              <w:rPr>
                <w:sz w:val="23"/>
                <w:szCs w:val="23"/>
                <w:color w:val="auto"/>
              </w:rPr>
            </w:pPr>
          </w:p>
        </w:tc>
        <w:tc>
          <w:tcPr>
            <w:tcW w:w="1260" w:type="dxa"/>
            <w:vAlign w:val="bottom"/>
            <w:gridSpan w:val="2"/>
          </w:tcPr>
          <w:p>
            <w:pPr>
              <w:ind w:left="200"/>
              <w:spacing w:after="0"/>
              <w:rPr>
                <w:sz w:val="20"/>
                <w:szCs w:val="20"/>
                <w:color w:val="auto"/>
              </w:rPr>
            </w:pPr>
            <w:r>
              <w:rPr>
                <w:rFonts w:ascii="Arial" w:cs="Arial" w:eastAsia="Arial" w:hAnsi="Arial"/>
                <w:sz w:val="14"/>
                <w:szCs w:val="14"/>
                <w:b w:val="1"/>
                <w:bCs w:val="1"/>
                <w:color w:val="auto"/>
              </w:rPr>
              <w:t>PMPM</w:t>
            </w:r>
          </w:p>
        </w:tc>
        <w:tc>
          <w:tcPr>
            <w:tcW w:w="1540" w:type="dxa"/>
            <w:vAlign w:val="bottom"/>
          </w:tcPr>
          <w:p>
            <w:pPr>
              <w:jc w:val="right"/>
              <w:ind w:right="360"/>
              <w:spacing w:after="0"/>
              <w:rPr>
                <w:sz w:val="20"/>
                <w:szCs w:val="20"/>
                <w:color w:val="auto"/>
              </w:rPr>
            </w:pPr>
            <w:r>
              <w:rPr>
                <w:rFonts w:ascii="Arial" w:cs="Arial" w:eastAsia="Arial" w:hAnsi="Arial"/>
                <w:sz w:val="14"/>
                <w:szCs w:val="14"/>
                <w:b w:val="1"/>
                <w:bCs w:val="1"/>
                <w:color w:val="auto"/>
              </w:rPr>
              <w:t>% of Total</w:t>
            </w:r>
          </w:p>
        </w:tc>
        <w:tc>
          <w:tcPr>
            <w:tcW w:w="0" w:type="dxa"/>
            <w:vAlign w:val="bottom"/>
          </w:tcPr>
          <w:p>
            <w:pPr>
              <w:spacing w:after="0"/>
              <w:rPr>
                <w:sz w:val="1"/>
                <w:szCs w:val="1"/>
                <w:color w:val="auto"/>
              </w:rPr>
            </w:pPr>
          </w:p>
        </w:tc>
      </w:tr>
      <w:tr>
        <w:trPr>
          <w:trHeight w:val="251"/>
        </w:trPr>
        <w:tc>
          <w:tcPr>
            <w:tcW w:w="192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Fee for service</w:t>
            </w:r>
          </w:p>
        </w:tc>
        <w:tc>
          <w:tcPr>
            <w:tcW w:w="280" w:type="dxa"/>
            <w:vAlign w:val="bottom"/>
            <w:tcBorders>
              <w:top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180" w:type="dxa"/>
            <w:vAlign w:val="bottom"/>
            <w:tcBorders>
              <w:top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3,196</w:t>
            </w:r>
          </w:p>
        </w:tc>
        <w:tc>
          <w:tcPr>
            <w:tcW w:w="120" w:type="dxa"/>
            <w:vAlign w:val="bottom"/>
            <w:tcBorders>
              <w:top w:val="single" w:sz="8" w:color="CCEEFF"/>
            </w:tcBorders>
            <w:shd w:val="clear" w:color="auto" w:fill="CCEEFF"/>
          </w:tcPr>
          <w:p>
            <w:pPr>
              <w:spacing w:after="0"/>
              <w:rPr>
                <w:sz w:val="21"/>
                <w:szCs w:val="21"/>
                <w:color w:val="auto"/>
              </w:rPr>
            </w:pPr>
          </w:p>
        </w:tc>
        <w:tc>
          <w:tcPr>
            <w:tcW w:w="320" w:type="dxa"/>
            <w:vAlign w:val="bottom"/>
            <w:tcBorders>
              <w:top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140" w:type="dxa"/>
            <w:vAlign w:val="bottom"/>
            <w:tcBorders>
              <w:top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234.51</w:t>
            </w:r>
          </w:p>
        </w:tc>
        <w:tc>
          <w:tcPr>
            <w:tcW w:w="120" w:type="dxa"/>
            <w:vAlign w:val="bottom"/>
            <w:tcBorders>
              <w:top w:val="single" w:sz="8" w:color="CCEEFF"/>
            </w:tcBorders>
            <w:shd w:val="clear" w:color="auto" w:fill="CCEEFF"/>
          </w:tcPr>
          <w:p>
            <w:pPr>
              <w:spacing w:after="0"/>
              <w:rPr>
                <w:sz w:val="21"/>
                <w:szCs w:val="21"/>
                <w:color w:val="auto"/>
              </w:rPr>
            </w:pPr>
          </w:p>
        </w:tc>
        <w:tc>
          <w:tcPr>
            <w:tcW w:w="1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75.8%</w:t>
            </w:r>
          </w:p>
        </w:tc>
        <w:tc>
          <w:tcPr>
            <w:tcW w:w="100" w:type="dxa"/>
            <w:vAlign w:val="bottom"/>
            <w:tcBorders>
              <w:top w:val="single" w:sz="8" w:color="CCEEFF"/>
            </w:tcBorders>
            <w:shd w:val="clear" w:color="auto" w:fill="CCEEFF"/>
          </w:tcPr>
          <w:p>
            <w:pPr>
              <w:spacing w:after="0"/>
              <w:rPr>
                <w:sz w:val="21"/>
                <w:szCs w:val="21"/>
                <w:color w:val="auto"/>
              </w:rPr>
            </w:pPr>
          </w:p>
        </w:tc>
        <w:tc>
          <w:tcPr>
            <w:tcW w:w="300" w:type="dxa"/>
            <w:vAlign w:val="bottom"/>
            <w:tcBorders>
              <w:top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180" w:type="dxa"/>
            <w:vAlign w:val="bottom"/>
            <w:tcBorders>
              <w:top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2,799</w:t>
            </w:r>
          </w:p>
        </w:tc>
        <w:tc>
          <w:tcPr>
            <w:tcW w:w="100" w:type="dxa"/>
            <w:vAlign w:val="bottom"/>
            <w:tcBorders>
              <w:top w:val="single" w:sz="8" w:color="CCEEFF"/>
            </w:tcBorders>
            <w:shd w:val="clear" w:color="auto" w:fill="CCEEFF"/>
          </w:tcPr>
          <w:p>
            <w:pPr>
              <w:spacing w:after="0"/>
              <w:rPr>
                <w:sz w:val="21"/>
                <w:szCs w:val="21"/>
                <w:color w:val="auto"/>
              </w:rPr>
            </w:pPr>
          </w:p>
        </w:tc>
        <w:tc>
          <w:tcPr>
            <w:tcW w:w="320" w:type="dxa"/>
            <w:vAlign w:val="bottom"/>
            <w:tcBorders>
              <w:top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160" w:type="dxa"/>
            <w:vAlign w:val="bottom"/>
            <w:tcBorders>
              <w:top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220.29</w:t>
            </w:r>
          </w:p>
        </w:tc>
        <w:tc>
          <w:tcPr>
            <w:tcW w:w="100" w:type="dxa"/>
            <w:vAlign w:val="bottom"/>
            <w:tcBorders>
              <w:top w:val="single" w:sz="8" w:color="CCEEFF"/>
            </w:tcBorders>
            <w:shd w:val="clear" w:color="auto" w:fill="CCEEFF"/>
          </w:tcPr>
          <w:p>
            <w:pPr>
              <w:spacing w:after="0"/>
              <w:rPr>
                <w:sz w:val="21"/>
                <w:szCs w:val="21"/>
                <w:color w:val="auto"/>
              </w:rPr>
            </w:pPr>
          </w:p>
        </w:tc>
        <w:tc>
          <w:tcPr>
            <w:tcW w:w="1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74.7%</w:t>
            </w:r>
          </w:p>
        </w:tc>
        <w:tc>
          <w:tcPr>
            <w:tcW w:w="0" w:type="dxa"/>
            <w:vAlign w:val="bottom"/>
          </w:tcPr>
          <w:p>
            <w:pPr>
              <w:spacing w:after="0"/>
              <w:rPr>
                <w:sz w:val="1"/>
                <w:szCs w:val="1"/>
                <w:color w:val="auto"/>
              </w:rPr>
            </w:pPr>
          </w:p>
        </w:tc>
      </w:tr>
      <w:tr>
        <w:trPr>
          <w:trHeight w:val="262"/>
        </w:trPr>
        <w:tc>
          <w:tcPr>
            <w:tcW w:w="1920" w:type="dxa"/>
            <w:vAlign w:val="bottom"/>
          </w:tcPr>
          <w:p>
            <w:pPr>
              <w:ind w:left="40"/>
              <w:spacing w:after="0"/>
              <w:rPr>
                <w:sz w:val="20"/>
                <w:szCs w:val="20"/>
                <w:color w:val="auto"/>
              </w:rPr>
            </w:pPr>
            <w:r>
              <w:rPr>
                <w:rFonts w:ascii="Arial" w:cs="Arial" w:eastAsia="Arial" w:hAnsi="Arial"/>
                <w:sz w:val="16"/>
                <w:szCs w:val="16"/>
                <w:color w:val="auto"/>
              </w:rPr>
              <w:t>Pharmacy</w:t>
            </w:r>
          </w:p>
        </w:tc>
        <w:tc>
          <w:tcPr>
            <w:tcW w:w="280" w:type="dxa"/>
            <w:vAlign w:val="bottom"/>
          </w:tcPr>
          <w:p>
            <w:pPr>
              <w:spacing w:after="0"/>
              <w:rPr>
                <w:sz w:val="22"/>
                <w:szCs w:val="22"/>
                <w:color w:val="auto"/>
              </w:rPr>
            </w:pPr>
          </w:p>
        </w:tc>
        <w:tc>
          <w:tcPr>
            <w:tcW w:w="1180" w:type="dxa"/>
            <w:vAlign w:val="bottom"/>
          </w:tcPr>
          <w:p>
            <w:pPr>
              <w:jc w:val="right"/>
              <w:ind w:right="20"/>
              <w:spacing w:after="0"/>
              <w:rPr>
                <w:sz w:val="20"/>
                <w:szCs w:val="20"/>
                <w:color w:val="auto"/>
              </w:rPr>
            </w:pPr>
            <w:r>
              <w:rPr>
                <w:rFonts w:ascii="Arial" w:cs="Arial" w:eastAsia="Arial" w:hAnsi="Arial"/>
                <w:sz w:val="16"/>
                <w:szCs w:val="16"/>
                <w:color w:val="auto"/>
              </w:rPr>
              <w:t>638</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40" w:type="dxa"/>
            <w:vAlign w:val="bottom"/>
          </w:tcPr>
          <w:p>
            <w:pPr>
              <w:jc w:val="right"/>
              <w:ind w:right="20"/>
              <w:spacing w:after="0"/>
              <w:rPr>
                <w:sz w:val="20"/>
                <w:szCs w:val="20"/>
                <w:color w:val="auto"/>
              </w:rPr>
            </w:pPr>
            <w:r>
              <w:rPr>
                <w:rFonts w:ascii="Arial" w:cs="Arial" w:eastAsia="Arial" w:hAnsi="Arial"/>
                <w:sz w:val="16"/>
                <w:szCs w:val="16"/>
                <w:color w:val="auto"/>
              </w:rPr>
              <w:t>46.85</w:t>
            </w:r>
          </w:p>
        </w:tc>
        <w:tc>
          <w:tcPr>
            <w:tcW w:w="120" w:type="dxa"/>
            <w:vAlign w:val="bottom"/>
          </w:tcPr>
          <w:p>
            <w:pPr>
              <w:spacing w:after="0"/>
              <w:rPr>
                <w:sz w:val="22"/>
                <w:szCs w:val="22"/>
                <w:color w:val="auto"/>
              </w:rPr>
            </w:pPr>
          </w:p>
        </w:tc>
        <w:tc>
          <w:tcPr>
            <w:tcW w:w="1540" w:type="dxa"/>
            <w:vAlign w:val="bottom"/>
          </w:tcPr>
          <w:p>
            <w:pPr>
              <w:jc w:val="right"/>
              <w:ind w:right="100"/>
              <w:spacing w:after="0"/>
              <w:rPr>
                <w:sz w:val="20"/>
                <w:szCs w:val="20"/>
                <w:color w:val="auto"/>
              </w:rPr>
            </w:pPr>
            <w:r>
              <w:rPr>
                <w:rFonts w:ascii="Arial" w:cs="Arial" w:eastAsia="Arial" w:hAnsi="Arial"/>
                <w:sz w:val="16"/>
                <w:szCs w:val="16"/>
                <w:color w:val="auto"/>
              </w:rPr>
              <w:t>15.1</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180" w:type="dxa"/>
            <w:vAlign w:val="bottom"/>
          </w:tcPr>
          <w:p>
            <w:pPr>
              <w:jc w:val="right"/>
              <w:ind w:right="40"/>
              <w:spacing w:after="0"/>
              <w:rPr>
                <w:sz w:val="20"/>
                <w:szCs w:val="20"/>
                <w:color w:val="auto"/>
              </w:rPr>
            </w:pPr>
            <w:r>
              <w:rPr>
                <w:rFonts w:ascii="Arial" w:cs="Arial" w:eastAsia="Arial" w:hAnsi="Arial"/>
                <w:sz w:val="16"/>
                <w:szCs w:val="16"/>
                <w:color w:val="auto"/>
              </w:rPr>
              <w:t>567</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60" w:type="dxa"/>
            <w:vAlign w:val="bottom"/>
          </w:tcPr>
          <w:p>
            <w:pPr>
              <w:jc w:val="right"/>
              <w:ind w:right="40"/>
              <w:spacing w:after="0"/>
              <w:rPr>
                <w:sz w:val="20"/>
                <w:szCs w:val="20"/>
                <w:color w:val="auto"/>
              </w:rPr>
            </w:pPr>
            <w:r>
              <w:rPr>
                <w:rFonts w:ascii="Arial" w:cs="Arial" w:eastAsia="Arial" w:hAnsi="Arial"/>
                <w:sz w:val="16"/>
                <w:szCs w:val="16"/>
                <w:color w:val="auto"/>
              </w:rPr>
              <w:t>44.65</w:t>
            </w:r>
          </w:p>
        </w:tc>
        <w:tc>
          <w:tcPr>
            <w:tcW w:w="100" w:type="dxa"/>
            <w:vAlign w:val="bottom"/>
          </w:tcPr>
          <w:p>
            <w:pPr>
              <w:spacing w:after="0"/>
              <w:rPr>
                <w:sz w:val="22"/>
                <w:szCs w:val="22"/>
                <w:color w:val="auto"/>
              </w:rPr>
            </w:pPr>
          </w:p>
        </w:tc>
        <w:tc>
          <w:tcPr>
            <w:tcW w:w="1540" w:type="dxa"/>
            <w:vAlign w:val="bottom"/>
          </w:tcPr>
          <w:p>
            <w:pPr>
              <w:jc w:val="right"/>
              <w:ind w:right="100"/>
              <w:spacing w:after="0"/>
              <w:rPr>
                <w:sz w:val="20"/>
                <w:szCs w:val="20"/>
                <w:color w:val="auto"/>
              </w:rPr>
            </w:pPr>
            <w:r>
              <w:rPr>
                <w:rFonts w:ascii="Arial" w:cs="Arial" w:eastAsia="Arial" w:hAnsi="Arial"/>
                <w:sz w:val="16"/>
                <w:szCs w:val="16"/>
                <w:color w:val="auto"/>
              </w:rPr>
              <w:t>15.1</w:t>
            </w:r>
          </w:p>
        </w:tc>
        <w:tc>
          <w:tcPr>
            <w:tcW w:w="0" w:type="dxa"/>
            <w:vAlign w:val="bottom"/>
          </w:tcPr>
          <w:p>
            <w:pPr>
              <w:spacing w:after="0"/>
              <w:rPr>
                <w:sz w:val="1"/>
                <w:szCs w:val="1"/>
                <w:color w:val="auto"/>
              </w:rPr>
            </w:pPr>
          </w:p>
        </w:tc>
      </w:tr>
      <w:tr>
        <w:trPr>
          <w:trHeight w:val="278"/>
        </w:trPr>
        <w:tc>
          <w:tcPr>
            <w:tcW w:w="1920" w:type="dxa"/>
            <w:vAlign w:val="bottom"/>
            <w:shd w:val="clear" w:color="auto" w:fill="CCEEFF"/>
          </w:tcPr>
          <w:p>
            <w:pPr>
              <w:ind w:left="40"/>
              <w:spacing w:after="0"/>
              <w:rPr>
                <w:sz w:val="20"/>
                <w:szCs w:val="20"/>
                <w:color w:val="auto"/>
              </w:rPr>
            </w:pPr>
            <w:r>
              <w:rPr>
                <w:rFonts w:ascii="Arial" w:cs="Arial" w:eastAsia="Arial" w:hAnsi="Arial"/>
                <w:sz w:val="16"/>
                <w:szCs w:val="16"/>
                <w:color w:val="auto"/>
              </w:rPr>
              <w:t>Capitation</w:t>
            </w:r>
          </w:p>
        </w:tc>
        <w:tc>
          <w:tcPr>
            <w:tcW w:w="280" w:type="dxa"/>
            <w:vAlign w:val="bottom"/>
            <w:shd w:val="clear" w:color="auto" w:fill="CCEEFF"/>
          </w:tcPr>
          <w:p>
            <w:pPr>
              <w:spacing w:after="0"/>
              <w:rPr>
                <w:sz w:val="24"/>
                <w:szCs w:val="24"/>
                <w:color w:val="auto"/>
              </w:rPr>
            </w:pPr>
          </w:p>
        </w:tc>
        <w:tc>
          <w:tcPr>
            <w:tcW w:w="118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342</w:t>
            </w: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25.07</w:t>
            </w:r>
          </w:p>
        </w:tc>
        <w:tc>
          <w:tcPr>
            <w:tcW w:w="120" w:type="dxa"/>
            <w:vAlign w:val="bottom"/>
            <w:shd w:val="clear" w:color="auto" w:fill="CCEEFF"/>
          </w:tcPr>
          <w:p>
            <w:pPr>
              <w:spacing w:after="0"/>
              <w:rPr>
                <w:sz w:val="24"/>
                <w:szCs w:val="24"/>
                <w:color w:val="auto"/>
              </w:rPr>
            </w:pPr>
          </w:p>
        </w:tc>
        <w:tc>
          <w:tcPr>
            <w:tcW w:w="1540" w:type="dxa"/>
            <w:vAlign w:val="bottom"/>
            <w:shd w:val="clear" w:color="auto" w:fill="CCEEFF"/>
          </w:tcPr>
          <w:p>
            <w:pPr>
              <w:jc w:val="right"/>
              <w:ind w:right="100"/>
              <w:spacing w:after="0"/>
              <w:rPr>
                <w:sz w:val="20"/>
                <w:szCs w:val="20"/>
                <w:color w:val="auto"/>
              </w:rPr>
            </w:pPr>
            <w:r>
              <w:rPr>
                <w:rFonts w:ascii="Arial" w:cs="Arial" w:eastAsia="Arial" w:hAnsi="Arial"/>
                <w:sz w:val="16"/>
                <w:szCs w:val="16"/>
                <w:color w:val="auto"/>
              </w:rPr>
              <w:t>8.1</w:t>
            </w: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18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302</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23.83</w:t>
            </w:r>
          </w:p>
        </w:tc>
        <w:tc>
          <w:tcPr>
            <w:tcW w:w="100" w:type="dxa"/>
            <w:vAlign w:val="bottom"/>
            <w:shd w:val="clear" w:color="auto" w:fill="CCEEFF"/>
          </w:tcPr>
          <w:p>
            <w:pPr>
              <w:spacing w:after="0"/>
              <w:rPr>
                <w:sz w:val="24"/>
                <w:szCs w:val="24"/>
                <w:color w:val="auto"/>
              </w:rPr>
            </w:pPr>
          </w:p>
        </w:tc>
        <w:tc>
          <w:tcPr>
            <w:tcW w:w="1540" w:type="dxa"/>
            <w:vAlign w:val="bottom"/>
            <w:shd w:val="clear" w:color="auto" w:fill="CCEEFF"/>
          </w:tcPr>
          <w:p>
            <w:pPr>
              <w:jc w:val="right"/>
              <w:ind w:right="100"/>
              <w:spacing w:after="0"/>
              <w:rPr>
                <w:sz w:val="20"/>
                <w:szCs w:val="20"/>
                <w:color w:val="auto"/>
              </w:rPr>
            </w:pPr>
            <w:r>
              <w:rPr>
                <w:rFonts w:ascii="Arial" w:cs="Arial" w:eastAsia="Arial" w:hAnsi="Arial"/>
                <w:sz w:val="16"/>
                <w:szCs w:val="16"/>
                <w:color w:val="auto"/>
              </w:rPr>
              <w:t>8.1</w:t>
            </w:r>
          </w:p>
        </w:tc>
        <w:tc>
          <w:tcPr>
            <w:tcW w:w="0" w:type="dxa"/>
            <w:vAlign w:val="bottom"/>
          </w:tcPr>
          <w:p>
            <w:pPr>
              <w:spacing w:after="0"/>
              <w:rPr>
                <w:sz w:val="1"/>
                <w:szCs w:val="1"/>
                <w:color w:val="auto"/>
              </w:rPr>
            </w:pPr>
          </w:p>
        </w:tc>
      </w:tr>
      <w:tr>
        <w:trPr>
          <w:trHeight w:val="228"/>
        </w:trPr>
        <w:tc>
          <w:tcPr>
            <w:tcW w:w="1920" w:type="dxa"/>
            <w:vAlign w:val="bottom"/>
          </w:tcPr>
          <w:p>
            <w:pPr>
              <w:ind w:left="40"/>
              <w:spacing w:after="0"/>
              <w:rPr>
                <w:sz w:val="20"/>
                <w:szCs w:val="20"/>
                <w:color w:val="auto"/>
              </w:rPr>
            </w:pPr>
            <w:r>
              <w:rPr>
                <w:rFonts w:ascii="Arial" w:cs="Arial" w:eastAsia="Arial" w:hAnsi="Arial"/>
                <w:sz w:val="16"/>
                <w:szCs w:val="16"/>
                <w:color w:val="auto"/>
              </w:rPr>
              <w:t>Direct delivery</w:t>
            </w:r>
          </w:p>
        </w:tc>
        <w:tc>
          <w:tcPr>
            <w:tcW w:w="280" w:type="dxa"/>
            <w:vAlign w:val="bottom"/>
          </w:tcPr>
          <w:p>
            <w:pPr>
              <w:spacing w:after="0"/>
              <w:rPr>
                <w:sz w:val="19"/>
                <w:szCs w:val="19"/>
                <w:color w:val="auto"/>
              </w:rPr>
            </w:pPr>
          </w:p>
        </w:tc>
        <w:tc>
          <w:tcPr>
            <w:tcW w:w="1180" w:type="dxa"/>
            <w:vAlign w:val="bottom"/>
            <w:vMerge w:val="restart"/>
          </w:tcPr>
          <w:p>
            <w:pPr>
              <w:jc w:val="right"/>
              <w:ind w:right="20"/>
              <w:spacing w:after="0"/>
              <w:rPr>
                <w:sz w:val="20"/>
                <w:szCs w:val="20"/>
                <w:color w:val="auto"/>
              </w:rPr>
            </w:pPr>
            <w:r>
              <w:rPr>
                <w:rFonts w:ascii="Arial" w:cs="Arial" w:eastAsia="Arial" w:hAnsi="Arial"/>
                <w:sz w:val="16"/>
                <w:szCs w:val="16"/>
                <w:color w:val="auto"/>
              </w:rPr>
              <w:t>18</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vMerge w:val="restart"/>
          </w:tcPr>
          <w:p>
            <w:pPr>
              <w:jc w:val="right"/>
              <w:ind w:right="20"/>
              <w:spacing w:after="0"/>
              <w:rPr>
                <w:sz w:val="20"/>
                <w:szCs w:val="20"/>
                <w:color w:val="auto"/>
              </w:rPr>
            </w:pPr>
            <w:r>
              <w:rPr>
                <w:rFonts w:ascii="Arial" w:cs="Arial" w:eastAsia="Arial" w:hAnsi="Arial"/>
                <w:sz w:val="16"/>
                <w:szCs w:val="16"/>
                <w:color w:val="auto"/>
              </w:rPr>
              <w:t>1.37</w:t>
            </w:r>
          </w:p>
        </w:tc>
        <w:tc>
          <w:tcPr>
            <w:tcW w:w="120" w:type="dxa"/>
            <w:vAlign w:val="bottom"/>
          </w:tcPr>
          <w:p>
            <w:pPr>
              <w:spacing w:after="0"/>
              <w:rPr>
                <w:sz w:val="19"/>
                <w:szCs w:val="19"/>
                <w:color w:val="auto"/>
              </w:rPr>
            </w:pPr>
          </w:p>
        </w:tc>
        <w:tc>
          <w:tcPr>
            <w:tcW w:w="1540" w:type="dxa"/>
            <w:vAlign w:val="bottom"/>
            <w:vMerge w:val="restart"/>
          </w:tcPr>
          <w:p>
            <w:pPr>
              <w:jc w:val="right"/>
              <w:ind w:right="100"/>
              <w:spacing w:after="0"/>
              <w:rPr>
                <w:sz w:val="20"/>
                <w:szCs w:val="20"/>
                <w:color w:val="auto"/>
              </w:rPr>
            </w:pPr>
            <w:r>
              <w:rPr>
                <w:rFonts w:ascii="Arial" w:cs="Arial" w:eastAsia="Arial" w:hAnsi="Arial"/>
                <w:sz w:val="16"/>
                <w:szCs w:val="16"/>
                <w:color w:val="auto"/>
              </w:rPr>
              <w:t>0.4</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80" w:type="dxa"/>
            <w:vAlign w:val="bottom"/>
            <w:vMerge w:val="restart"/>
          </w:tcPr>
          <w:p>
            <w:pPr>
              <w:jc w:val="right"/>
              <w:ind w:right="40"/>
              <w:spacing w:after="0"/>
              <w:rPr>
                <w:sz w:val="20"/>
                <w:szCs w:val="20"/>
                <w:color w:val="auto"/>
              </w:rPr>
            </w:pPr>
            <w:r>
              <w:rPr>
                <w:rFonts w:ascii="Arial" w:cs="Arial" w:eastAsia="Arial" w:hAnsi="Arial"/>
                <w:sz w:val="16"/>
                <w:szCs w:val="16"/>
                <w:color w:val="auto"/>
              </w:rPr>
              <w:t>21</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60" w:type="dxa"/>
            <w:vAlign w:val="bottom"/>
            <w:vMerge w:val="restart"/>
          </w:tcPr>
          <w:p>
            <w:pPr>
              <w:jc w:val="right"/>
              <w:ind w:right="40"/>
              <w:spacing w:after="0"/>
              <w:rPr>
                <w:sz w:val="20"/>
                <w:szCs w:val="20"/>
                <w:color w:val="auto"/>
              </w:rPr>
            </w:pPr>
            <w:r>
              <w:rPr>
                <w:rFonts w:ascii="Arial" w:cs="Arial" w:eastAsia="Arial" w:hAnsi="Arial"/>
                <w:sz w:val="16"/>
                <w:szCs w:val="16"/>
                <w:color w:val="auto"/>
              </w:rPr>
              <w:t>1.66</w:t>
            </w:r>
          </w:p>
        </w:tc>
        <w:tc>
          <w:tcPr>
            <w:tcW w:w="100" w:type="dxa"/>
            <w:vAlign w:val="bottom"/>
          </w:tcPr>
          <w:p>
            <w:pPr>
              <w:spacing w:after="0"/>
              <w:rPr>
                <w:sz w:val="19"/>
                <w:szCs w:val="19"/>
                <w:color w:val="auto"/>
              </w:rPr>
            </w:pPr>
          </w:p>
        </w:tc>
        <w:tc>
          <w:tcPr>
            <w:tcW w:w="1540" w:type="dxa"/>
            <w:vAlign w:val="bottom"/>
            <w:vMerge w:val="restart"/>
          </w:tcPr>
          <w:p>
            <w:pPr>
              <w:jc w:val="right"/>
              <w:ind w:right="100"/>
              <w:spacing w:after="0"/>
              <w:rPr>
                <w:sz w:val="20"/>
                <w:szCs w:val="20"/>
                <w:color w:val="auto"/>
              </w:rPr>
            </w:pPr>
            <w:r>
              <w:rPr>
                <w:rFonts w:ascii="Arial" w:cs="Arial" w:eastAsia="Arial" w:hAnsi="Arial"/>
                <w:sz w:val="16"/>
                <w:szCs w:val="16"/>
                <w:color w:val="auto"/>
              </w:rPr>
              <w:t>0.5</w:t>
            </w:r>
          </w:p>
        </w:tc>
        <w:tc>
          <w:tcPr>
            <w:tcW w:w="0" w:type="dxa"/>
            <w:vAlign w:val="bottom"/>
          </w:tcPr>
          <w:p>
            <w:pPr>
              <w:spacing w:after="0"/>
              <w:rPr>
                <w:sz w:val="1"/>
                <w:szCs w:val="1"/>
                <w:color w:val="auto"/>
              </w:rPr>
            </w:pPr>
          </w:p>
        </w:tc>
      </w:tr>
      <w:tr>
        <w:trPr>
          <w:trHeight w:val="116"/>
        </w:trPr>
        <w:tc>
          <w:tcPr>
            <w:tcW w:w="19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180" w:type="dxa"/>
            <w:vAlign w:val="bottom"/>
            <w:vMerge w:val="continue"/>
          </w:tcPr>
          <w:p>
            <w:pPr>
              <w:spacing w:after="0"/>
              <w:rPr>
                <w:sz w:val="10"/>
                <w:szCs w:val="10"/>
                <w:color w:val="auto"/>
              </w:rPr>
            </w:pPr>
          </w:p>
        </w:tc>
        <w:tc>
          <w:tcPr>
            <w:tcW w:w="1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140" w:type="dxa"/>
            <w:vAlign w:val="bottom"/>
            <w:vMerge w:val="continue"/>
          </w:tcPr>
          <w:p>
            <w:pPr>
              <w:spacing w:after="0"/>
              <w:rPr>
                <w:sz w:val="10"/>
                <w:szCs w:val="10"/>
                <w:color w:val="auto"/>
              </w:rPr>
            </w:pPr>
          </w:p>
        </w:tc>
        <w:tc>
          <w:tcPr>
            <w:tcW w:w="120" w:type="dxa"/>
            <w:vAlign w:val="bottom"/>
          </w:tcPr>
          <w:p>
            <w:pPr>
              <w:spacing w:after="0"/>
              <w:rPr>
                <w:sz w:val="10"/>
                <w:szCs w:val="10"/>
                <w:color w:val="auto"/>
              </w:rPr>
            </w:pPr>
          </w:p>
        </w:tc>
        <w:tc>
          <w:tcPr>
            <w:tcW w:w="154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18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16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15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71"/>
        </w:trPr>
        <w:tc>
          <w:tcPr>
            <w:tcW w:w="1920" w:type="dxa"/>
            <w:vAlign w:val="bottom"/>
            <w:shd w:val="clear" w:color="auto" w:fill="CCEEFF"/>
          </w:tcPr>
          <w:p>
            <w:pPr>
              <w:ind w:left="40"/>
              <w:spacing w:after="0"/>
              <w:rPr>
                <w:sz w:val="20"/>
                <w:szCs w:val="20"/>
                <w:color w:val="auto"/>
              </w:rPr>
            </w:pPr>
            <w:r>
              <w:rPr>
                <w:rFonts w:ascii="Arial" w:cs="Arial" w:eastAsia="Arial" w:hAnsi="Arial"/>
                <w:sz w:val="16"/>
                <w:szCs w:val="16"/>
                <w:color w:val="auto"/>
              </w:rPr>
              <w:t>Other</w:t>
            </w:r>
          </w:p>
        </w:tc>
        <w:tc>
          <w:tcPr>
            <w:tcW w:w="280" w:type="dxa"/>
            <w:vAlign w:val="bottom"/>
            <w:tcBorders>
              <w:bottom w:val="single" w:sz="8" w:color="auto"/>
            </w:tcBorders>
            <w:shd w:val="clear" w:color="auto" w:fill="CCEEFF"/>
          </w:tcPr>
          <w:p>
            <w:pPr>
              <w:spacing w:after="0"/>
              <w:rPr>
                <w:sz w:val="23"/>
                <w:szCs w:val="23"/>
                <w:color w:val="auto"/>
              </w:rPr>
            </w:pPr>
          </w:p>
        </w:tc>
        <w:tc>
          <w:tcPr>
            <w:tcW w:w="118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26</w:t>
            </w:r>
          </w:p>
        </w:tc>
        <w:tc>
          <w:tcPr>
            <w:tcW w:w="120" w:type="dxa"/>
            <w:vAlign w:val="bottom"/>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1.88</w:t>
            </w:r>
          </w:p>
        </w:tc>
        <w:tc>
          <w:tcPr>
            <w:tcW w:w="120" w:type="dxa"/>
            <w:vAlign w:val="bottom"/>
            <w:shd w:val="clear" w:color="auto" w:fill="CCEEFF"/>
          </w:tcPr>
          <w:p>
            <w:pPr>
              <w:spacing w:after="0"/>
              <w:rPr>
                <w:sz w:val="23"/>
                <w:szCs w:val="23"/>
                <w:color w:val="auto"/>
              </w:rPr>
            </w:pPr>
          </w:p>
        </w:tc>
        <w:tc>
          <w:tcPr>
            <w:tcW w:w="1540" w:type="dxa"/>
            <w:vAlign w:val="bottom"/>
            <w:tcBorders>
              <w:bottom w:val="single" w:sz="8" w:color="auto"/>
            </w:tcBorders>
            <w:shd w:val="clear" w:color="auto" w:fill="CCEEFF"/>
          </w:tcPr>
          <w:p>
            <w:pPr>
              <w:jc w:val="right"/>
              <w:ind w:right="100"/>
              <w:spacing w:after="0"/>
              <w:rPr>
                <w:sz w:val="20"/>
                <w:szCs w:val="20"/>
                <w:color w:val="auto"/>
              </w:rPr>
            </w:pPr>
            <w:r>
              <w:rPr>
                <w:rFonts w:ascii="Arial" w:cs="Arial" w:eastAsia="Arial" w:hAnsi="Arial"/>
                <w:sz w:val="16"/>
                <w:szCs w:val="16"/>
                <w:color w:val="auto"/>
              </w:rPr>
              <w:t>0.6</w:t>
            </w:r>
          </w:p>
        </w:tc>
        <w:tc>
          <w:tcPr>
            <w:tcW w:w="100" w:type="dxa"/>
            <w:vAlign w:val="bottom"/>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spacing w:after="0"/>
              <w:rPr>
                <w:sz w:val="23"/>
                <w:szCs w:val="23"/>
                <w:color w:val="auto"/>
              </w:rPr>
            </w:pPr>
          </w:p>
        </w:tc>
        <w:tc>
          <w:tcPr>
            <w:tcW w:w="118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59</w:t>
            </w:r>
          </w:p>
        </w:tc>
        <w:tc>
          <w:tcPr>
            <w:tcW w:w="100" w:type="dxa"/>
            <w:vAlign w:val="bottom"/>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spacing w:after="0"/>
              <w:rPr>
                <w:sz w:val="23"/>
                <w:szCs w:val="23"/>
                <w:color w:val="auto"/>
              </w:rPr>
            </w:pPr>
          </w:p>
        </w:tc>
        <w:tc>
          <w:tcPr>
            <w:tcW w:w="116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4.58</w:t>
            </w:r>
          </w:p>
        </w:tc>
        <w:tc>
          <w:tcPr>
            <w:tcW w:w="100" w:type="dxa"/>
            <w:vAlign w:val="bottom"/>
            <w:shd w:val="clear" w:color="auto" w:fill="CCEEFF"/>
          </w:tcPr>
          <w:p>
            <w:pPr>
              <w:spacing w:after="0"/>
              <w:rPr>
                <w:sz w:val="23"/>
                <w:szCs w:val="23"/>
                <w:color w:val="auto"/>
              </w:rPr>
            </w:pPr>
          </w:p>
        </w:tc>
        <w:tc>
          <w:tcPr>
            <w:tcW w:w="1540" w:type="dxa"/>
            <w:vAlign w:val="bottom"/>
            <w:tcBorders>
              <w:bottom w:val="single" w:sz="8" w:color="auto"/>
            </w:tcBorders>
            <w:shd w:val="clear" w:color="auto" w:fill="CCEEFF"/>
          </w:tcPr>
          <w:p>
            <w:pPr>
              <w:jc w:val="right"/>
              <w:ind w:right="100"/>
              <w:spacing w:after="0"/>
              <w:rPr>
                <w:sz w:val="20"/>
                <w:szCs w:val="20"/>
                <w:color w:val="auto"/>
              </w:rPr>
            </w:pPr>
            <w:r>
              <w:rPr>
                <w:rFonts w:ascii="Arial" w:cs="Arial" w:eastAsia="Arial" w:hAnsi="Arial"/>
                <w:sz w:val="16"/>
                <w:szCs w:val="16"/>
                <w:color w:val="auto"/>
              </w:rPr>
              <w:t>1.6</w:t>
            </w:r>
          </w:p>
        </w:tc>
        <w:tc>
          <w:tcPr>
            <w:tcW w:w="0" w:type="dxa"/>
            <w:vAlign w:val="bottom"/>
          </w:tcPr>
          <w:p>
            <w:pPr>
              <w:spacing w:after="0"/>
              <w:rPr>
                <w:sz w:val="1"/>
                <w:szCs w:val="1"/>
                <w:color w:val="auto"/>
              </w:rPr>
            </w:pPr>
          </w:p>
        </w:tc>
      </w:tr>
      <w:tr>
        <w:trPr>
          <w:trHeight w:val="237"/>
        </w:trPr>
        <w:tc>
          <w:tcPr>
            <w:tcW w:w="1920" w:type="dxa"/>
            <w:vAlign w:val="bottom"/>
          </w:tcPr>
          <w:p>
            <w:pPr>
              <w:spacing w:after="0"/>
              <w:rPr>
                <w:sz w:val="20"/>
                <w:szCs w:val="20"/>
                <w:color w:val="auto"/>
              </w:rPr>
            </w:pPr>
          </w:p>
        </w:tc>
        <w:tc>
          <w:tcPr>
            <w:tcW w:w="2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4,220</w:t>
            </w:r>
          </w:p>
        </w:tc>
        <w:tc>
          <w:tcPr>
            <w:tcW w:w="120" w:type="dxa"/>
            <w:vAlign w:val="bottom"/>
          </w:tcPr>
          <w:p>
            <w:pPr>
              <w:spacing w:after="0"/>
              <w:rPr>
                <w:sz w:val="20"/>
                <w:szCs w:val="20"/>
                <w:color w:val="auto"/>
              </w:rPr>
            </w:pPr>
          </w:p>
        </w:tc>
        <w:tc>
          <w:tcPr>
            <w:tcW w:w="3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309.68</w:t>
            </w:r>
          </w:p>
        </w:tc>
        <w:tc>
          <w:tcPr>
            <w:tcW w:w="120" w:type="dxa"/>
            <w:vAlign w:val="bottom"/>
          </w:tcPr>
          <w:p>
            <w:pPr>
              <w:spacing w:after="0"/>
              <w:rPr>
                <w:sz w:val="20"/>
                <w:szCs w:val="20"/>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100.0%</w:t>
            </w:r>
          </w:p>
        </w:tc>
        <w:tc>
          <w:tcPr>
            <w:tcW w:w="100" w:type="dxa"/>
            <w:vAlign w:val="bottom"/>
          </w:tcPr>
          <w:p>
            <w:pPr>
              <w:spacing w:after="0"/>
              <w:rPr>
                <w:sz w:val="20"/>
                <w:szCs w:val="20"/>
                <w:color w:val="auto"/>
              </w:rPr>
            </w:pPr>
          </w:p>
        </w:tc>
        <w:tc>
          <w:tcPr>
            <w:tcW w:w="3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3,748</w:t>
            </w:r>
          </w:p>
        </w:tc>
        <w:tc>
          <w:tcPr>
            <w:tcW w:w="100" w:type="dxa"/>
            <w:vAlign w:val="bottom"/>
          </w:tcPr>
          <w:p>
            <w:pPr>
              <w:spacing w:after="0"/>
              <w:rPr>
                <w:sz w:val="20"/>
                <w:szCs w:val="20"/>
                <w:color w:val="auto"/>
              </w:rPr>
            </w:pPr>
          </w:p>
        </w:tc>
        <w:tc>
          <w:tcPr>
            <w:tcW w:w="3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295.01</w:t>
            </w:r>
          </w:p>
        </w:tc>
        <w:tc>
          <w:tcPr>
            <w:tcW w:w="100" w:type="dxa"/>
            <w:vAlign w:val="bottom"/>
          </w:tcPr>
          <w:p>
            <w:pPr>
              <w:spacing w:after="0"/>
              <w:rPr>
                <w:sz w:val="20"/>
                <w:szCs w:val="20"/>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100.0%</w:t>
            </w:r>
          </w:p>
        </w:tc>
        <w:tc>
          <w:tcPr>
            <w:tcW w:w="0" w:type="dxa"/>
            <w:vAlign w:val="bottom"/>
          </w:tcPr>
          <w:p>
            <w:pPr>
              <w:spacing w:after="0"/>
              <w:rPr>
                <w:sz w:val="1"/>
                <w:szCs w:val="1"/>
                <w:color w:val="auto"/>
              </w:rPr>
            </w:pPr>
          </w:p>
        </w:tc>
      </w:tr>
      <w:tr>
        <w:trPr>
          <w:trHeight w:val="20"/>
        </w:trPr>
        <w:tc>
          <w:tcPr>
            <w:tcW w:w="19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192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3220" w:type="dxa"/>
            <w:vAlign w:val="bottom"/>
            <w:tcBorders>
              <w:bottom w:val="single" w:sz="8" w:color="auto"/>
            </w:tcBorders>
            <w:gridSpan w:val="5"/>
          </w:tcPr>
          <w:p>
            <w:pPr>
              <w:ind w:left="260"/>
              <w:spacing w:after="0"/>
              <w:rPr>
                <w:sz w:val="20"/>
                <w:szCs w:val="20"/>
                <w:color w:val="auto"/>
              </w:rPr>
            </w:pPr>
            <w:r>
              <w:rPr>
                <w:rFonts w:ascii="Arial" w:cs="Arial" w:eastAsia="Arial" w:hAnsi="Arial"/>
                <w:sz w:val="16"/>
                <w:szCs w:val="16"/>
                <w:b w:val="1"/>
                <w:bCs w:val="1"/>
                <w:color w:val="auto"/>
              </w:rPr>
              <w:t>Nine Months Ended September 30,</w:t>
            </w:r>
          </w:p>
        </w:tc>
        <w:tc>
          <w:tcPr>
            <w:tcW w:w="32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tcPr>
          <w:p>
            <w:pPr>
              <w:spacing w:after="0"/>
              <w:rPr>
                <w:sz w:val="20"/>
                <w:szCs w:val="20"/>
                <w:color w:val="auto"/>
              </w:rPr>
            </w:pPr>
          </w:p>
        </w:tc>
      </w:tr>
      <w:tr>
        <w:trPr>
          <w:trHeight w:val="264"/>
        </w:trPr>
        <w:tc>
          <w:tcPr>
            <w:tcW w:w="192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420"/>
              <w:spacing w:after="0"/>
              <w:rPr>
                <w:sz w:val="20"/>
                <w:szCs w:val="20"/>
                <w:color w:val="auto"/>
              </w:rPr>
            </w:pPr>
            <w:r>
              <w:rPr>
                <w:rFonts w:ascii="Arial" w:cs="Arial" w:eastAsia="Arial" w:hAnsi="Arial"/>
                <w:sz w:val="16"/>
                <w:szCs w:val="16"/>
                <w:b w:val="1"/>
                <w:bCs w:val="1"/>
                <w:color w:val="auto"/>
              </w:rPr>
              <w:t>2017</w:t>
            </w:r>
          </w:p>
        </w:tc>
        <w:tc>
          <w:tcPr>
            <w:tcW w:w="120" w:type="dxa"/>
            <w:vAlign w:val="bottom"/>
            <w:tcBorders>
              <w:bottom w:val="single" w:sz="8" w:color="auto"/>
            </w:tcBorders>
          </w:tcPr>
          <w:p>
            <w:pPr>
              <w:spacing w:after="0"/>
              <w:rPr>
                <w:sz w:val="22"/>
                <w:szCs w:val="22"/>
                <w:color w:val="auto"/>
              </w:rPr>
            </w:pPr>
          </w:p>
        </w:tc>
        <w:tc>
          <w:tcPr>
            <w:tcW w:w="154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440"/>
              <w:spacing w:after="0"/>
              <w:rPr>
                <w:sz w:val="20"/>
                <w:szCs w:val="20"/>
                <w:color w:val="auto"/>
              </w:rPr>
            </w:pPr>
            <w:r>
              <w:rPr>
                <w:rFonts w:ascii="Arial" w:cs="Arial" w:eastAsia="Arial" w:hAnsi="Arial"/>
                <w:sz w:val="16"/>
                <w:szCs w:val="16"/>
                <w:b w:val="1"/>
                <w:bCs w:val="1"/>
                <w:color w:val="auto"/>
              </w:rPr>
              <w:t>2016</w:t>
            </w:r>
          </w:p>
        </w:tc>
        <w:tc>
          <w:tcPr>
            <w:tcW w:w="100" w:type="dxa"/>
            <w:vAlign w:val="bottom"/>
            <w:tcBorders>
              <w:bottom w:val="single" w:sz="8" w:color="auto"/>
            </w:tcBorders>
          </w:tcPr>
          <w:p>
            <w:pPr>
              <w:spacing w:after="0"/>
              <w:rPr>
                <w:sz w:val="22"/>
                <w:szCs w:val="22"/>
                <w:color w:val="auto"/>
              </w:rPr>
            </w:pPr>
          </w:p>
        </w:tc>
        <w:tc>
          <w:tcPr>
            <w:tcW w:w="1540" w:type="dxa"/>
            <w:vAlign w:val="bottom"/>
            <w:tcBorders>
              <w:bottom w:val="single" w:sz="8" w:color="auto"/>
            </w:tcBorders>
          </w:tcPr>
          <w:p>
            <w:pPr>
              <w:spacing w:after="0"/>
              <w:rPr>
                <w:sz w:val="22"/>
                <w:szCs w:val="22"/>
                <w:color w:val="auto"/>
              </w:rPr>
            </w:pPr>
          </w:p>
        </w:tc>
      </w:tr>
      <w:tr>
        <w:trPr>
          <w:trHeight w:val="266"/>
        </w:trPr>
        <w:tc>
          <w:tcPr>
            <w:tcW w:w="19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300" w:type="dxa"/>
            <w:vAlign w:val="bottom"/>
            <w:gridSpan w:val="2"/>
          </w:tcPr>
          <w:p>
            <w:pPr>
              <w:ind w:left="180"/>
              <w:spacing w:after="0"/>
              <w:rPr>
                <w:sz w:val="20"/>
                <w:szCs w:val="20"/>
                <w:color w:val="auto"/>
              </w:rPr>
            </w:pPr>
            <w:r>
              <w:rPr>
                <w:rFonts w:ascii="Arial" w:cs="Arial" w:eastAsia="Arial" w:hAnsi="Arial"/>
                <w:sz w:val="14"/>
                <w:szCs w:val="14"/>
                <w:b w:val="1"/>
                <w:bCs w:val="1"/>
                <w:color w:val="auto"/>
              </w:rPr>
              <w:t>Amount</w:t>
            </w:r>
          </w:p>
        </w:tc>
        <w:tc>
          <w:tcPr>
            <w:tcW w:w="320" w:type="dxa"/>
            <w:vAlign w:val="bottom"/>
          </w:tcPr>
          <w:p>
            <w:pPr>
              <w:spacing w:after="0"/>
              <w:rPr>
                <w:sz w:val="23"/>
                <w:szCs w:val="23"/>
                <w:color w:val="auto"/>
              </w:rPr>
            </w:pPr>
          </w:p>
        </w:tc>
        <w:tc>
          <w:tcPr>
            <w:tcW w:w="1260" w:type="dxa"/>
            <w:vAlign w:val="bottom"/>
            <w:gridSpan w:val="2"/>
          </w:tcPr>
          <w:p>
            <w:pPr>
              <w:ind w:left="200"/>
              <w:spacing w:after="0"/>
              <w:rPr>
                <w:sz w:val="20"/>
                <w:szCs w:val="20"/>
                <w:color w:val="auto"/>
              </w:rPr>
            </w:pPr>
            <w:r>
              <w:rPr>
                <w:rFonts w:ascii="Arial" w:cs="Arial" w:eastAsia="Arial" w:hAnsi="Arial"/>
                <w:sz w:val="14"/>
                <w:szCs w:val="14"/>
                <w:b w:val="1"/>
                <w:bCs w:val="1"/>
                <w:color w:val="auto"/>
              </w:rPr>
              <w:t>PMPM</w:t>
            </w:r>
          </w:p>
        </w:tc>
        <w:tc>
          <w:tcPr>
            <w:tcW w:w="1640" w:type="dxa"/>
            <w:vAlign w:val="bottom"/>
            <w:gridSpan w:val="2"/>
          </w:tcPr>
          <w:p>
            <w:pPr>
              <w:ind w:left="420"/>
              <w:spacing w:after="0"/>
              <w:rPr>
                <w:sz w:val="20"/>
                <w:szCs w:val="20"/>
                <w:color w:val="auto"/>
              </w:rPr>
            </w:pPr>
            <w:r>
              <w:rPr>
                <w:rFonts w:ascii="Arial" w:cs="Arial" w:eastAsia="Arial" w:hAnsi="Arial"/>
                <w:sz w:val="14"/>
                <w:szCs w:val="14"/>
                <w:b w:val="1"/>
                <w:bCs w:val="1"/>
                <w:color w:val="auto"/>
              </w:rPr>
              <w:t>% of Total</w:t>
            </w:r>
          </w:p>
        </w:tc>
        <w:tc>
          <w:tcPr>
            <w:tcW w:w="300" w:type="dxa"/>
            <w:vAlign w:val="bottom"/>
          </w:tcPr>
          <w:p>
            <w:pPr>
              <w:spacing w:after="0"/>
              <w:rPr>
                <w:sz w:val="23"/>
                <w:szCs w:val="23"/>
                <w:color w:val="auto"/>
              </w:rPr>
            </w:pPr>
          </w:p>
        </w:tc>
        <w:tc>
          <w:tcPr>
            <w:tcW w:w="1280" w:type="dxa"/>
            <w:vAlign w:val="bottom"/>
            <w:gridSpan w:val="2"/>
          </w:tcPr>
          <w:p>
            <w:pPr>
              <w:ind w:left="160"/>
              <w:spacing w:after="0"/>
              <w:rPr>
                <w:sz w:val="20"/>
                <w:szCs w:val="20"/>
                <w:color w:val="auto"/>
              </w:rPr>
            </w:pPr>
            <w:r>
              <w:rPr>
                <w:rFonts w:ascii="Arial" w:cs="Arial" w:eastAsia="Arial" w:hAnsi="Arial"/>
                <w:sz w:val="14"/>
                <w:szCs w:val="14"/>
                <w:b w:val="1"/>
                <w:bCs w:val="1"/>
                <w:color w:val="auto"/>
              </w:rPr>
              <w:t>Amount</w:t>
            </w:r>
          </w:p>
        </w:tc>
        <w:tc>
          <w:tcPr>
            <w:tcW w:w="320" w:type="dxa"/>
            <w:vAlign w:val="bottom"/>
          </w:tcPr>
          <w:p>
            <w:pPr>
              <w:spacing w:after="0"/>
              <w:rPr>
                <w:sz w:val="23"/>
                <w:szCs w:val="23"/>
                <w:color w:val="auto"/>
              </w:rPr>
            </w:pPr>
          </w:p>
        </w:tc>
        <w:tc>
          <w:tcPr>
            <w:tcW w:w="1260" w:type="dxa"/>
            <w:vAlign w:val="bottom"/>
            <w:gridSpan w:val="2"/>
          </w:tcPr>
          <w:p>
            <w:pPr>
              <w:ind w:left="200"/>
              <w:spacing w:after="0"/>
              <w:rPr>
                <w:sz w:val="20"/>
                <w:szCs w:val="20"/>
                <w:color w:val="auto"/>
              </w:rPr>
            </w:pPr>
            <w:r>
              <w:rPr>
                <w:rFonts w:ascii="Arial" w:cs="Arial" w:eastAsia="Arial" w:hAnsi="Arial"/>
                <w:sz w:val="14"/>
                <w:szCs w:val="14"/>
                <w:b w:val="1"/>
                <w:bCs w:val="1"/>
                <w:color w:val="auto"/>
              </w:rPr>
              <w:t>PMPM</w:t>
            </w:r>
          </w:p>
        </w:tc>
        <w:tc>
          <w:tcPr>
            <w:tcW w:w="1540" w:type="dxa"/>
            <w:vAlign w:val="bottom"/>
          </w:tcPr>
          <w:p>
            <w:pPr>
              <w:jc w:val="right"/>
              <w:ind w:right="360"/>
              <w:spacing w:after="0"/>
              <w:rPr>
                <w:sz w:val="20"/>
                <w:szCs w:val="20"/>
                <w:color w:val="auto"/>
              </w:rPr>
            </w:pPr>
            <w:r>
              <w:rPr>
                <w:rFonts w:ascii="Arial" w:cs="Arial" w:eastAsia="Arial" w:hAnsi="Arial"/>
                <w:sz w:val="14"/>
                <w:szCs w:val="14"/>
                <w:b w:val="1"/>
                <w:bCs w:val="1"/>
                <w:color w:val="auto"/>
              </w:rPr>
              <w:t>% of Total</w:t>
            </w:r>
          </w:p>
        </w:tc>
      </w:tr>
      <w:tr>
        <w:trPr>
          <w:trHeight w:val="251"/>
        </w:trPr>
        <w:tc>
          <w:tcPr>
            <w:tcW w:w="192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Fee for service</w:t>
            </w:r>
          </w:p>
        </w:tc>
        <w:tc>
          <w:tcPr>
            <w:tcW w:w="280" w:type="dxa"/>
            <w:vAlign w:val="bottom"/>
            <w:tcBorders>
              <w:top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180" w:type="dxa"/>
            <w:vAlign w:val="bottom"/>
            <w:tcBorders>
              <w:top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9,630</w:t>
            </w:r>
          </w:p>
        </w:tc>
        <w:tc>
          <w:tcPr>
            <w:tcW w:w="120" w:type="dxa"/>
            <w:vAlign w:val="bottom"/>
            <w:tcBorders>
              <w:top w:val="single" w:sz="8" w:color="CCEEFF"/>
            </w:tcBorders>
            <w:shd w:val="clear" w:color="auto" w:fill="CCEEFF"/>
          </w:tcPr>
          <w:p>
            <w:pPr>
              <w:spacing w:after="0"/>
              <w:rPr>
                <w:sz w:val="21"/>
                <w:szCs w:val="21"/>
                <w:color w:val="auto"/>
              </w:rPr>
            </w:pPr>
          </w:p>
        </w:tc>
        <w:tc>
          <w:tcPr>
            <w:tcW w:w="320" w:type="dxa"/>
            <w:vAlign w:val="bottom"/>
            <w:tcBorders>
              <w:top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140" w:type="dxa"/>
            <w:vAlign w:val="bottom"/>
            <w:tcBorders>
              <w:top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230.58</w:t>
            </w:r>
          </w:p>
        </w:tc>
        <w:tc>
          <w:tcPr>
            <w:tcW w:w="120" w:type="dxa"/>
            <w:vAlign w:val="bottom"/>
            <w:tcBorders>
              <w:top w:val="single" w:sz="8" w:color="CCEEFF"/>
            </w:tcBorders>
            <w:shd w:val="clear" w:color="auto" w:fill="CCEEFF"/>
          </w:tcPr>
          <w:p>
            <w:pPr>
              <w:spacing w:after="0"/>
              <w:rPr>
                <w:sz w:val="21"/>
                <w:szCs w:val="21"/>
                <w:color w:val="auto"/>
              </w:rPr>
            </w:pPr>
          </w:p>
        </w:tc>
        <w:tc>
          <w:tcPr>
            <w:tcW w:w="1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75.1%</w:t>
            </w:r>
          </w:p>
        </w:tc>
        <w:tc>
          <w:tcPr>
            <w:tcW w:w="100" w:type="dxa"/>
            <w:vAlign w:val="bottom"/>
            <w:tcBorders>
              <w:top w:val="single" w:sz="8" w:color="CCEEFF"/>
            </w:tcBorders>
            <w:shd w:val="clear" w:color="auto" w:fill="CCEEFF"/>
          </w:tcPr>
          <w:p>
            <w:pPr>
              <w:spacing w:after="0"/>
              <w:rPr>
                <w:sz w:val="21"/>
                <w:szCs w:val="21"/>
                <w:color w:val="auto"/>
              </w:rPr>
            </w:pPr>
          </w:p>
        </w:tc>
        <w:tc>
          <w:tcPr>
            <w:tcW w:w="300" w:type="dxa"/>
            <w:vAlign w:val="bottom"/>
            <w:tcBorders>
              <w:top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180" w:type="dxa"/>
            <w:vAlign w:val="bottom"/>
            <w:tcBorders>
              <w:top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8,156</w:t>
            </w:r>
          </w:p>
        </w:tc>
        <w:tc>
          <w:tcPr>
            <w:tcW w:w="100" w:type="dxa"/>
            <w:vAlign w:val="bottom"/>
            <w:tcBorders>
              <w:top w:val="single" w:sz="8" w:color="CCEEFF"/>
            </w:tcBorders>
            <w:shd w:val="clear" w:color="auto" w:fill="CCEEFF"/>
          </w:tcPr>
          <w:p>
            <w:pPr>
              <w:spacing w:after="0"/>
              <w:rPr>
                <w:sz w:val="21"/>
                <w:szCs w:val="21"/>
                <w:color w:val="auto"/>
              </w:rPr>
            </w:pPr>
          </w:p>
        </w:tc>
        <w:tc>
          <w:tcPr>
            <w:tcW w:w="320" w:type="dxa"/>
            <w:vAlign w:val="bottom"/>
            <w:tcBorders>
              <w:top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160" w:type="dxa"/>
            <w:vAlign w:val="bottom"/>
            <w:tcBorders>
              <w:top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215.96</w:t>
            </w:r>
          </w:p>
        </w:tc>
        <w:tc>
          <w:tcPr>
            <w:tcW w:w="100" w:type="dxa"/>
            <w:vAlign w:val="bottom"/>
            <w:tcBorders>
              <w:top w:val="single" w:sz="8" w:color="CCEEFF"/>
            </w:tcBorders>
            <w:shd w:val="clear" w:color="auto" w:fill="CCEEFF"/>
          </w:tcPr>
          <w:p>
            <w:pPr>
              <w:spacing w:after="0"/>
              <w:rPr>
                <w:sz w:val="21"/>
                <w:szCs w:val="21"/>
                <w:color w:val="auto"/>
              </w:rPr>
            </w:pPr>
          </w:p>
        </w:tc>
        <w:tc>
          <w:tcPr>
            <w:tcW w:w="1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74.6%</w:t>
            </w:r>
          </w:p>
        </w:tc>
      </w:tr>
      <w:tr>
        <w:trPr>
          <w:trHeight w:val="262"/>
        </w:trPr>
        <w:tc>
          <w:tcPr>
            <w:tcW w:w="1920" w:type="dxa"/>
            <w:vAlign w:val="bottom"/>
          </w:tcPr>
          <w:p>
            <w:pPr>
              <w:ind w:left="40"/>
              <w:spacing w:after="0"/>
              <w:rPr>
                <w:sz w:val="20"/>
                <w:szCs w:val="20"/>
                <w:color w:val="auto"/>
              </w:rPr>
            </w:pPr>
            <w:r>
              <w:rPr>
                <w:rFonts w:ascii="Arial" w:cs="Arial" w:eastAsia="Arial" w:hAnsi="Arial"/>
                <w:sz w:val="16"/>
                <w:szCs w:val="16"/>
                <w:color w:val="auto"/>
              </w:rPr>
              <w:t>Pharmacy</w:t>
            </w:r>
          </w:p>
        </w:tc>
        <w:tc>
          <w:tcPr>
            <w:tcW w:w="280" w:type="dxa"/>
            <w:vAlign w:val="bottom"/>
          </w:tcPr>
          <w:p>
            <w:pPr>
              <w:spacing w:after="0"/>
              <w:rPr>
                <w:sz w:val="22"/>
                <w:szCs w:val="22"/>
                <w:color w:val="auto"/>
              </w:rPr>
            </w:pPr>
          </w:p>
        </w:tc>
        <w:tc>
          <w:tcPr>
            <w:tcW w:w="1180" w:type="dxa"/>
            <w:vAlign w:val="bottom"/>
          </w:tcPr>
          <w:p>
            <w:pPr>
              <w:jc w:val="right"/>
              <w:ind w:right="20"/>
              <w:spacing w:after="0"/>
              <w:rPr>
                <w:sz w:val="20"/>
                <w:szCs w:val="20"/>
                <w:color w:val="auto"/>
              </w:rPr>
            </w:pPr>
            <w:r>
              <w:rPr>
                <w:rFonts w:ascii="Arial" w:cs="Arial" w:eastAsia="Arial" w:hAnsi="Arial"/>
                <w:sz w:val="16"/>
                <w:szCs w:val="16"/>
                <w:color w:val="auto"/>
              </w:rPr>
              <w:t>1,904</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40" w:type="dxa"/>
            <w:vAlign w:val="bottom"/>
          </w:tcPr>
          <w:p>
            <w:pPr>
              <w:jc w:val="right"/>
              <w:ind w:right="20"/>
              <w:spacing w:after="0"/>
              <w:rPr>
                <w:sz w:val="20"/>
                <w:szCs w:val="20"/>
                <w:color w:val="auto"/>
              </w:rPr>
            </w:pPr>
            <w:r>
              <w:rPr>
                <w:rFonts w:ascii="Arial" w:cs="Arial" w:eastAsia="Arial" w:hAnsi="Arial"/>
                <w:sz w:val="16"/>
                <w:szCs w:val="16"/>
                <w:color w:val="auto"/>
              </w:rPr>
              <w:t>45.60</w:t>
            </w:r>
          </w:p>
        </w:tc>
        <w:tc>
          <w:tcPr>
            <w:tcW w:w="120" w:type="dxa"/>
            <w:vAlign w:val="bottom"/>
          </w:tcPr>
          <w:p>
            <w:pPr>
              <w:spacing w:after="0"/>
              <w:rPr>
                <w:sz w:val="22"/>
                <w:szCs w:val="22"/>
                <w:color w:val="auto"/>
              </w:rPr>
            </w:pPr>
          </w:p>
        </w:tc>
        <w:tc>
          <w:tcPr>
            <w:tcW w:w="1540" w:type="dxa"/>
            <w:vAlign w:val="bottom"/>
          </w:tcPr>
          <w:p>
            <w:pPr>
              <w:jc w:val="right"/>
              <w:ind w:right="100"/>
              <w:spacing w:after="0"/>
              <w:rPr>
                <w:sz w:val="20"/>
                <w:szCs w:val="20"/>
                <w:color w:val="auto"/>
              </w:rPr>
            </w:pPr>
            <w:r>
              <w:rPr>
                <w:rFonts w:ascii="Arial" w:cs="Arial" w:eastAsia="Arial" w:hAnsi="Arial"/>
                <w:sz w:val="16"/>
                <w:szCs w:val="16"/>
                <w:color w:val="auto"/>
              </w:rPr>
              <w:t>14.8</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180" w:type="dxa"/>
            <w:vAlign w:val="bottom"/>
          </w:tcPr>
          <w:p>
            <w:pPr>
              <w:jc w:val="right"/>
              <w:ind w:right="40"/>
              <w:spacing w:after="0"/>
              <w:rPr>
                <w:sz w:val="20"/>
                <w:szCs w:val="20"/>
                <w:color w:val="auto"/>
              </w:rPr>
            </w:pPr>
            <w:r>
              <w:rPr>
                <w:rFonts w:ascii="Arial" w:cs="Arial" w:eastAsia="Arial" w:hAnsi="Arial"/>
                <w:sz w:val="16"/>
                <w:szCs w:val="16"/>
                <w:color w:val="auto"/>
              </w:rPr>
              <w:t>1,621</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60" w:type="dxa"/>
            <w:vAlign w:val="bottom"/>
          </w:tcPr>
          <w:p>
            <w:pPr>
              <w:jc w:val="right"/>
              <w:ind w:right="40"/>
              <w:spacing w:after="0"/>
              <w:rPr>
                <w:sz w:val="20"/>
                <w:szCs w:val="20"/>
                <w:color w:val="auto"/>
              </w:rPr>
            </w:pPr>
            <w:r>
              <w:rPr>
                <w:rFonts w:ascii="Arial" w:cs="Arial" w:eastAsia="Arial" w:hAnsi="Arial"/>
                <w:sz w:val="16"/>
                <w:szCs w:val="16"/>
                <w:color w:val="auto"/>
              </w:rPr>
              <w:t>42.93</w:t>
            </w:r>
          </w:p>
        </w:tc>
        <w:tc>
          <w:tcPr>
            <w:tcW w:w="100" w:type="dxa"/>
            <w:vAlign w:val="bottom"/>
          </w:tcPr>
          <w:p>
            <w:pPr>
              <w:spacing w:after="0"/>
              <w:rPr>
                <w:sz w:val="22"/>
                <w:szCs w:val="22"/>
                <w:color w:val="auto"/>
              </w:rPr>
            </w:pPr>
          </w:p>
        </w:tc>
        <w:tc>
          <w:tcPr>
            <w:tcW w:w="1540" w:type="dxa"/>
            <w:vAlign w:val="bottom"/>
          </w:tcPr>
          <w:p>
            <w:pPr>
              <w:jc w:val="right"/>
              <w:ind w:right="100"/>
              <w:spacing w:after="0"/>
              <w:rPr>
                <w:sz w:val="20"/>
                <w:szCs w:val="20"/>
                <w:color w:val="auto"/>
              </w:rPr>
            </w:pPr>
            <w:r>
              <w:rPr>
                <w:rFonts w:ascii="Arial" w:cs="Arial" w:eastAsia="Arial" w:hAnsi="Arial"/>
                <w:sz w:val="16"/>
                <w:szCs w:val="16"/>
                <w:color w:val="auto"/>
              </w:rPr>
              <w:t>14.8</w:t>
            </w:r>
          </w:p>
        </w:tc>
      </w:tr>
      <w:tr>
        <w:trPr>
          <w:trHeight w:val="278"/>
        </w:trPr>
        <w:tc>
          <w:tcPr>
            <w:tcW w:w="1920" w:type="dxa"/>
            <w:vAlign w:val="bottom"/>
            <w:shd w:val="clear" w:color="auto" w:fill="CCEEFF"/>
          </w:tcPr>
          <w:p>
            <w:pPr>
              <w:ind w:left="40"/>
              <w:spacing w:after="0"/>
              <w:rPr>
                <w:sz w:val="20"/>
                <w:szCs w:val="20"/>
                <w:color w:val="auto"/>
              </w:rPr>
            </w:pPr>
            <w:r>
              <w:rPr>
                <w:rFonts w:ascii="Arial" w:cs="Arial" w:eastAsia="Arial" w:hAnsi="Arial"/>
                <w:sz w:val="16"/>
                <w:szCs w:val="16"/>
                <w:color w:val="auto"/>
              </w:rPr>
              <w:t>Capitation</w:t>
            </w:r>
          </w:p>
        </w:tc>
        <w:tc>
          <w:tcPr>
            <w:tcW w:w="280" w:type="dxa"/>
            <w:vAlign w:val="bottom"/>
            <w:shd w:val="clear" w:color="auto" w:fill="CCEEFF"/>
          </w:tcPr>
          <w:p>
            <w:pPr>
              <w:spacing w:after="0"/>
              <w:rPr>
                <w:sz w:val="24"/>
                <w:szCs w:val="24"/>
                <w:color w:val="auto"/>
              </w:rPr>
            </w:pPr>
          </w:p>
        </w:tc>
        <w:tc>
          <w:tcPr>
            <w:tcW w:w="118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1,022</w:t>
            </w: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24.47</w:t>
            </w:r>
          </w:p>
        </w:tc>
        <w:tc>
          <w:tcPr>
            <w:tcW w:w="120" w:type="dxa"/>
            <w:vAlign w:val="bottom"/>
            <w:shd w:val="clear" w:color="auto" w:fill="CCEEFF"/>
          </w:tcPr>
          <w:p>
            <w:pPr>
              <w:spacing w:after="0"/>
              <w:rPr>
                <w:sz w:val="24"/>
                <w:szCs w:val="24"/>
                <w:color w:val="auto"/>
              </w:rPr>
            </w:pPr>
          </w:p>
        </w:tc>
        <w:tc>
          <w:tcPr>
            <w:tcW w:w="1540" w:type="dxa"/>
            <w:vAlign w:val="bottom"/>
            <w:shd w:val="clear" w:color="auto" w:fill="CCEEFF"/>
          </w:tcPr>
          <w:p>
            <w:pPr>
              <w:jc w:val="right"/>
              <w:ind w:right="100"/>
              <w:spacing w:after="0"/>
              <w:rPr>
                <w:sz w:val="20"/>
                <w:szCs w:val="20"/>
                <w:color w:val="auto"/>
              </w:rPr>
            </w:pPr>
            <w:r>
              <w:rPr>
                <w:rFonts w:ascii="Arial" w:cs="Arial" w:eastAsia="Arial" w:hAnsi="Arial"/>
                <w:sz w:val="16"/>
                <w:szCs w:val="16"/>
                <w:color w:val="auto"/>
              </w:rPr>
              <w:t>8.0</w:t>
            </w: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18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901</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23.86</w:t>
            </w:r>
          </w:p>
        </w:tc>
        <w:tc>
          <w:tcPr>
            <w:tcW w:w="100" w:type="dxa"/>
            <w:vAlign w:val="bottom"/>
            <w:shd w:val="clear" w:color="auto" w:fill="CCEEFF"/>
          </w:tcPr>
          <w:p>
            <w:pPr>
              <w:spacing w:after="0"/>
              <w:rPr>
                <w:sz w:val="24"/>
                <w:szCs w:val="24"/>
                <w:color w:val="auto"/>
              </w:rPr>
            </w:pPr>
          </w:p>
        </w:tc>
        <w:tc>
          <w:tcPr>
            <w:tcW w:w="1540" w:type="dxa"/>
            <w:vAlign w:val="bottom"/>
            <w:shd w:val="clear" w:color="auto" w:fill="CCEEFF"/>
          </w:tcPr>
          <w:p>
            <w:pPr>
              <w:jc w:val="right"/>
              <w:ind w:right="100"/>
              <w:spacing w:after="0"/>
              <w:rPr>
                <w:sz w:val="20"/>
                <w:szCs w:val="20"/>
                <w:color w:val="auto"/>
              </w:rPr>
            </w:pPr>
            <w:r>
              <w:rPr>
                <w:rFonts w:ascii="Arial" w:cs="Arial" w:eastAsia="Arial" w:hAnsi="Arial"/>
                <w:sz w:val="16"/>
                <w:szCs w:val="16"/>
                <w:color w:val="auto"/>
              </w:rPr>
              <w:t>8.3</w:t>
            </w:r>
          </w:p>
        </w:tc>
      </w:tr>
      <w:tr>
        <w:trPr>
          <w:trHeight w:val="262"/>
        </w:trPr>
        <w:tc>
          <w:tcPr>
            <w:tcW w:w="1920" w:type="dxa"/>
            <w:vAlign w:val="bottom"/>
          </w:tcPr>
          <w:p>
            <w:pPr>
              <w:ind w:left="40"/>
              <w:spacing w:after="0"/>
              <w:rPr>
                <w:sz w:val="20"/>
                <w:szCs w:val="20"/>
                <w:color w:val="auto"/>
              </w:rPr>
            </w:pPr>
            <w:r>
              <w:rPr>
                <w:rFonts w:ascii="Arial" w:cs="Arial" w:eastAsia="Arial" w:hAnsi="Arial"/>
                <w:sz w:val="16"/>
                <w:szCs w:val="16"/>
                <w:color w:val="auto"/>
              </w:rPr>
              <w:t>Direct delivery</w:t>
            </w:r>
          </w:p>
        </w:tc>
        <w:tc>
          <w:tcPr>
            <w:tcW w:w="280" w:type="dxa"/>
            <w:vAlign w:val="bottom"/>
          </w:tcPr>
          <w:p>
            <w:pPr>
              <w:spacing w:after="0"/>
              <w:rPr>
                <w:sz w:val="22"/>
                <w:szCs w:val="22"/>
                <w:color w:val="auto"/>
              </w:rPr>
            </w:pPr>
          </w:p>
        </w:tc>
        <w:tc>
          <w:tcPr>
            <w:tcW w:w="1180" w:type="dxa"/>
            <w:vAlign w:val="bottom"/>
          </w:tcPr>
          <w:p>
            <w:pPr>
              <w:jc w:val="right"/>
              <w:ind w:right="20"/>
              <w:spacing w:after="0"/>
              <w:rPr>
                <w:sz w:val="20"/>
                <w:szCs w:val="20"/>
                <w:color w:val="auto"/>
              </w:rPr>
            </w:pPr>
            <w:r>
              <w:rPr>
                <w:rFonts w:ascii="Arial" w:cs="Arial" w:eastAsia="Arial" w:hAnsi="Arial"/>
                <w:sz w:val="16"/>
                <w:szCs w:val="16"/>
                <w:color w:val="auto"/>
              </w:rPr>
              <w:t>62</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40" w:type="dxa"/>
            <w:vAlign w:val="bottom"/>
          </w:tcPr>
          <w:p>
            <w:pPr>
              <w:jc w:val="right"/>
              <w:ind w:right="20"/>
              <w:spacing w:after="0"/>
              <w:rPr>
                <w:sz w:val="20"/>
                <w:szCs w:val="20"/>
                <w:color w:val="auto"/>
              </w:rPr>
            </w:pPr>
            <w:r>
              <w:rPr>
                <w:rFonts w:ascii="Arial" w:cs="Arial" w:eastAsia="Arial" w:hAnsi="Arial"/>
                <w:sz w:val="16"/>
                <w:szCs w:val="16"/>
                <w:color w:val="auto"/>
              </w:rPr>
              <w:t>1.50</w:t>
            </w:r>
          </w:p>
        </w:tc>
        <w:tc>
          <w:tcPr>
            <w:tcW w:w="120" w:type="dxa"/>
            <w:vAlign w:val="bottom"/>
          </w:tcPr>
          <w:p>
            <w:pPr>
              <w:spacing w:after="0"/>
              <w:rPr>
                <w:sz w:val="22"/>
                <w:szCs w:val="22"/>
                <w:color w:val="auto"/>
              </w:rPr>
            </w:pPr>
          </w:p>
        </w:tc>
        <w:tc>
          <w:tcPr>
            <w:tcW w:w="1540" w:type="dxa"/>
            <w:vAlign w:val="bottom"/>
          </w:tcPr>
          <w:p>
            <w:pPr>
              <w:jc w:val="right"/>
              <w:ind w:right="100"/>
              <w:spacing w:after="0"/>
              <w:rPr>
                <w:sz w:val="20"/>
                <w:szCs w:val="20"/>
                <w:color w:val="auto"/>
              </w:rPr>
            </w:pPr>
            <w:r>
              <w:rPr>
                <w:rFonts w:ascii="Arial" w:cs="Arial" w:eastAsia="Arial" w:hAnsi="Arial"/>
                <w:sz w:val="16"/>
                <w:szCs w:val="16"/>
                <w:color w:val="auto"/>
              </w:rPr>
              <w:t>0.5</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180" w:type="dxa"/>
            <w:vAlign w:val="bottom"/>
          </w:tcPr>
          <w:p>
            <w:pPr>
              <w:jc w:val="right"/>
              <w:ind w:right="40"/>
              <w:spacing w:after="0"/>
              <w:rPr>
                <w:sz w:val="20"/>
                <w:szCs w:val="20"/>
                <w:color w:val="auto"/>
              </w:rPr>
            </w:pPr>
            <w:r>
              <w:rPr>
                <w:rFonts w:ascii="Arial" w:cs="Arial" w:eastAsia="Arial" w:hAnsi="Arial"/>
                <w:sz w:val="16"/>
                <w:szCs w:val="16"/>
                <w:color w:val="auto"/>
              </w:rPr>
              <w:t>55</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60" w:type="dxa"/>
            <w:vAlign w:val="bottom"/>
          </w:tcPr>
          <w:p>
            <w:pPr>
              <w:jc w:val="right"/>
              <w:ind w:right="40"/>
              <w:spacing w:after="0"/>
              <w:rPr>
                <w:sz w:val="20"/>
                <w:szCs w:val="20"/>
                <w:color w:val="auto"/>
              </w:rPr>
            </w:pPr>
            <w:r>
              <w:rPr>
                <w:rFonts w:ascii="Arial" w:cs="Arial" w:eastAsia="Arial" w:hAnsi="Arial"/>
                <w:sz w:val="16"/>
                <w:szCs w:val="16"/>
                <w:color w:val="auto"/>
              </w:rPr>
              <w:t>1.46</w:t>
            </w:r>
          </w:p>
        </w:tc>
        <w:tc>
          <w:tcPr>
            <w:tcW w:w="100" w:type="dxa"/>
            <w:vAlign w:val="bottom"/>
          </w:tcPr>
          <w:p>
            <w:pPr>
              <w:spacing w:after="0"/>
              <w:rPr>
                <w:sz w:val="22"/>
                <w:szCs w:val="22"/>
                <w:color w:val="auto"/>
              </w:rPr>
            </w:pPr>
          </w:p>
        </w:tc>
        <w:tc>
          <w:tcPr>
            <w:tcW w:w="1540" w:type="dxa"/>
            <w:vAlign w:val="bottom"/>
          </w:tcPr>
          <w:p>
            <w:pPr>
              <w:jc w:val="right"/>
              <w:ind w:right="100"/>
              <w:spacing w:after="0"/>
              <w:rPr>
                <w:sz w:val="20"/>
                <w:szCs w:val="20"/>
                <w:color w:val="auto"/>
              </w:rPr>
            </w:pPr>
            <w:r>
              <w:rPr>
                <w:rFonts w:ascii="Arial" w:cs="Arial" w:eastAsia="Arial" w:hAnsi="Arial"/>
                <w:sz w:val="16"/>
                <w:szCs w:val="16"/>
                <w:color w:val="auto"/>
              </w:rPr>
              <w:t>0.5</w:t>
            </w:r>
          </w:p>
        </w:tc>
      </w:tr>
      <w:tr>
        <w:trPr>
          <w:trHeight w:val="271"/>
        </w:trPr>
        <w:tc>
          <w:tcPr>
            <w:tcW w:w="1920" w:type="dxa"/>
            <w:vAlign w:val="bottom"/>
            <w:shd w:val="clear" w:color="auto" w:fill="CCEEFF"/>
          </w:tcPr>
          <w:p>
            <w:pPr>
              <w:ind w:left="40"/>
              <w:spacing w:after="0"/>
              <w:rPr>
                <w:sz w:val="20"/>
                <w:szCs w:val="20"/>
                <w:color w:val="auto"/>
              </w:rPr>
            </w:pPr>
            <w:r>
              <w:rPr>
                <w:rFonts w:ascii="Arial" w:cs="Arial" w:eastAsia="Arial" w:hAnsi="Arial"/>
                <w:sz w:val="16"/>
                <w:szCs w:val="16"/>
                <w:color w:val="auto"/>
              </w:rPr>
              <w:t>Other</w:t>
            </w:r>
          </w:p>
        </w:tc>
        <w:tc>
          <w:tcPr>
            <w:tcW w:w="280" w:type="dxa"/>
            <w:vAlign w:val="bottom"/>
            <w:tcBorders>
              <w:bottom w:val="single" w:sz="8" w:color="auto"/>
            </w:tcBorders>
            <w:shd w:val="clear" w:color="auto" w:fill="CCEEFF"/>
          </w:tcPr>
          <w:p>
            <w:pPr>
              <w:spacing w:after="0"/>
              <w:rPr>
                <w:sz w:val="23"/>
                <w:szCs w:val="23"/>
                <w:color w:val="auto"/>
              </w:rPr>
            </w:pPr>
          </w:p>
        </w:tc>
        <w:tc>
          <w:tcPr>
            <w:tcW w:w="118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204</w:t>
            </w:r>
          </w:p>
        </w:tc>
        <w:tc>
          <w:tcPr>
            <w:tcW w:w="120" w:type="dxa"/>
            <w:vAlign w:val="bottom"/>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4.88</w:t>
            </w:r>
          </w:p>
        </w:tc>
        <w:tc>
          <w:tcPr>
            <w:tcW w:w="120" w:type="dxa"/>
            <w:vAlign w:val="bottom"/>
            <w:shd w:val="clear" w:color="auto" w:fill="CCEEFF"/>
          </w:tcPr>
          <w:p>
            <w:pPr>
              <w:spacing w:after="0"/>
              <w:rPr>
                <w:sz w:val="23"/>
                <w:szCs w:val="23"/>
                <w:color w:val="auto"/>
              </w:rPr>
            </w:pPr>
          </w:p>
        </w:tc>
        <w:tc>
          <w:tcPr>
            <w:tcW w:w="1540" w:type="dxa"/>
            <w:vAlign w:val="bottom"/>
            <w:tcBorders>
              <w:bottom w:val="single" w:sz="8" w:color="auto"/>
            </w:tcBorders>
            <w:shd w:val="clear" w:color="auto" w:fill="CCEEFF"/>
          </w:tcPr>
          <w:p>
            <w:pPr>
              <w:jc w:val="right"/>
              <w:ind w:right="100"/>
              <w:spacing w:after="0"/>
              <w:rPr>
                <w:sz w:val="20"/>
                <w:szCs w:val="20"/>
                <w:color w:val="auto"/>
              </w:rPr>
            </w:pPr>
            <w:r>
              <w:rPr>
                <w:rFonts w:ascii="Arial" w:cs="Arial" w:eastAsia="Arial" w:hAnsi="Arial"/>
                <w:sz w:val="16"/>
                <w:szCs w:val="16"/>
                <w:color w:val="auto"/>
              </w:rPr>
              <w:t>1.6</w:t>
            </w:r>
          </w:p>
        </w:tc>
        <w:tc>
          <w:tcPr>
            <w:tcW w:w="100" w:type="dxa"/>
            <w:vAlign w:val="bottom"/>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spacing w:after="0"/>
              <w:rPr>
                <w:sz w:val="23"/>
                <w:szCs w:val="23"/>
                <w:color w:val="auto"/>
              </w:rPr>
            </w:pPr>
          </w:p>
        </w:tc>
        <w:tc>
          <w:tcPr>
            <w:tcW w:w="118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197</w:t>
            </w:r>
          </w:p>
        </w:tc>
        <w:tc>
          <w:tcPr>
            <w:tcW w:w="100" w:type="dxa"/>
            <w:vAlign w:val="bottom"/>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spacing w:after="0"/>
              <w:rPr>
                <w:sz w:val="23"/>
                <w:szCs w:val="23"/>
                <w:color w:val="auto"/>
              </w:rPr>
            </w:pPr>
          </w:p>
        </w:tc>
        <w:tc>
          <w:tcPr>
            <w:tcW w:w="116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5.20</w:t>
            </w:r>
          </w:p>
        </w:tc>
        <w:tc>
          <w:tcPr>
            <w:tcW w:w="100" w:type="dxa"/>
            <w:vAlign w:val="bottom"/>
            <w:shd w:val="clear" w:color="auto" w:fill="CCEEFF"/>
          </w:tcPr>
          <w:p>
            <w:pPr>
              <w:spacing w:after="0"/>
              <w:rPr>
                <w:sz w:val="23"/>
                <w:szCs w:val="23"/>
                <w:color w:val="auto"/>
              </w:rPr>
            </w:pPr>
          </w:p>
        </w:tc>
        <w:tc>
          <w:tcPr>
            <w:tcW w:w="1540" w:type="dxa"/>
            <w:vAlign w:val="bottom"/>
            <w:tcBorders>
              <w:bottom w:val="single" w:sz="8" w:color="auto"/>
            </w:tcBorders>
            <w:shd w:val="clear" w:color="auto" w:fill="CCEEFF"/>
          </w:tcPr>
          <w:p>
            <w:pPr>
              <w:jc w:val="right"/>
              <w:ind w:right="100"/>
              <w:spacing w:after="0"/>
              <w:rPr>
                <w:sz w:val="20"/>
                <w:szCs w:val="20"/>
                <w:color w:val="auto"/>
              </w:rPr>
            </w:pPr>
            <w:r>
              <w:rPr>
                <w:rFonts w:ascii="Arial" w:cs="Arial" w:eastAsia="Arial" w:hAnsi="Arial"/>
                <w:sz w:val="16"/>
                <w:szCs w:val="16"/>
                <w:color w:val="auto"/>
              </w:rPr>
              <w:t>1.8</w:t>
            </w:r>
          </w:p>
        </w:tc>
      </w:tr>
      <w:tr>
        <w:trPr>
          <w:trHeight w:val="237"/>
        </w:trPr>
        <w:tc>
          <w:tcPr>
            <w:tcW w:w="1920" w:type="dxa"/>
            <w:vAlign w:val="bottom"/>
          </w:tcPr>
          <w:p>
            <w:pPr>
              <w:spacing w:after="0"/>
              <w:rPr>
                <w:sz w:val="20"/>
                <w:szCs w:val="20"/>
                <w:color w:val="auto"/>
              </w:rPr>
            </w:pPr>
          </w:p>
        </w:tc>
        <w:tc>
          <w:tcPr>
            <w:tcW w:w="2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12,822</w:t>
            </w:r>
          </w:p>
        </w:tc>
        <w:tc>
          <w:tcPr>
            <w:tcW w:w="120" w:type="dxa"/>
            <w:vAlign w:val="bottom"/>
          </w:tcPr>
          <w:p>
            <w:pPr>
              <w:spacing w:after="0"/>
              <w:rPr>
                <w:sz w:val="20"/>
                <w:szCs w:val="20"/>
                <w:color w:val="auto"/>
              </w:rPr>
            </w:pPr>
          </w:p>
        </w:tc>
        <w:tc>
          <w:tcPr>
            <w:tcW w:w="3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307.03</w:t>
            </w:r>
          </w:p>
        </w:tc>
        <w:tc>
          <w:tcPr>
            <w:tcW w:w="120" w:type="dxa"/>
            <w:vAlign w:val="bottom"/>
          </w:tcPr>
          <w:p>
            <w:pPr>
              <w:spacing w:after="0"/>
              <w:rPr>
                <w:sz w:val="20"/>
                <w:szCs w:val="20"/>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100.0%</w:t>
            </w:r>
          </w:p>
        </w:tc>
        <w:tc>
          <w:tcPr>
            <w:tcW w:w="100" w:type="dxa"/>
            <w:vAlign w:val="bottom"/>
          </w:tcPr>
          <w:p>
            <w:pPr>
              <w:spacing w:after="0"/>
              <w:rPr>
                <w:sz w:val="20"/>
                <w:szCs w:val="20"/>
                <w:color w:val="auto"/>
              </w:rPr>
            </w:pPr>
          </w:p>
        </w:tc>
        <w:tc>
          <w:tcPr>
            <w:tcW w:w="3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10,930</w:t>
            </w:r>
          </w:p>
        </w:tc>
        <w:tc>
          <w:tcPr>
            <w:tcW w:w="100" w:type="dxa"/>
            <w:vAlign w:val="bottom"/>
          </w:tcPr>
          <w:p>
            <w:pPr>
              <w:spacing w:after="0"/>
              <w:rPr>
                <w:sz w:val="20"/>
                <w:szCs w:val="20"/>
                <w:color w:val="auto"/>
              </w:rPr>
            </w:pPr>
          </w:p>
        </w:tc>
        <w:tc>
          <w:tcPr>
            <w:tcW w:w="3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289.41</w:t>
            </w:r>
          </w:p>
        </w:tc>
        <w:tc>
          <w:tcPr>
            <w:tcW w:w="100" w:type="dxa"/>
            <w:vAlign w:val="bottom"/>
          </w:tcPr>
          <w:p>
            <w:pPr>
              <w:spacing w:after="0"/>
              <w:rPr>
                <w:sz w:val="20"/>
                <w:szCs w:val="20"/>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100.0%</w:t>
            </w:r>
          </w:p>
        </w:tc>
      </w:tr>
      <w:tr>
        <w:trPr>
          <w:trHeight w:val="20"/>
        </w:trPr>
        <w:tc>
          <w:tcPr>
            <w:tcW w:w="19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r>
    </w:tbl>
    <w:p>
      <w:pPr>
        <w:spacing w:after="0" w:line="174" w:lineRule="exact"/>
        <w:rPr>
          <w:sz w:val="20"/>
          <w:szCs w:val="20"/>
          <w:color w:val="auto"/>
        </w:rPr>
      </w:pPr>
    </w:p>
    <w:p>
      <w:pPr>
        <w:spacing w:after="0"/>
        <w:rPr>
          <w:sz w:val="20"/>
          <w:szCs w:val="20"/>
          <w:color w:val="auto"/>
        </w:rPr>
      </w:pPr>
      <w:r>
        <w:rPr>
          <w:rFonts w:ascii="Arial" w:cs="Arial" w:eastAsia="Arial" w:hAnsi="Arial"/>
          <w:sz w:val="32"/>
          <w:szCs w:val="32"/>
          <w:b w:val="1"/>
          <w:bCs w:val="1"/>
          <w:color w:val="ACACAC"/>
        </w:rPr>
        <w:t>PREMIUM TAXES</w:t>
      </w:r>
    </w:p>
    <w:p>
      <w:pPr>
        <w:spacing w:after="0" w:line="246" w:lineRule="exact"/>
        <w:rPr>
          <w:sz w:val="20"/>
          <w:szCs w:val="20"/>
          <w:color w:val="auto"/>
        </w:rPr>
      </w:pPr>
    </w:p>
    <w:p>
      <w:pPr>
        <w:ind w:right="120"/>
        <w:spacing w:after="0" w:line="292" w:lineRule="auto"/>
        <w:rPr>
          <w:sz w:val="20"/>
          <w:szCs w:val="20"/>
          <w:color w:val="auto"/>
        </w:rPr>
      </w:pPr>
      <w:r>
        <w:rPr>
          <w:rFonts w:ascii="Arial" w:cs="Arial" w:eastAsia="Arial" w:hAnsi="Arial"/>
          <w:sz w:val="18"/>
          <w:szCs w:val="18"/>
          <w:color w:val="auto"/>
        </w:rPr>
        <w:t>The premium tax ratio (premium tax expense as a percentage of premium revenue plus premium tax revenue) was 2.2% in the third quarter of 2017 compared with 2.9% in the third quarter of 2016 and 2.3% in the nine months</w:t>
      </w:r>
    </w:p>
    <w:p>
      <w:pPr>
        <w:spacing w:after="0" w:line="28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Molina Healthcare, Inc. 2017 Form 10-Q | 54</w:t>
      </w:r>
    </w:p>
    <w:p>
      <w:pPr>
        <w:sectPr>
          <w:pgSz w:w="11900" w:h="16838" w:orient="portrait"/>
          <w:cols w:equalWidth="0" w:num="1">
            <w:col w:w="11420"/>
          </w:cols>
          <w:pgMar w:left="240" w:top="116" w:right="239" w:bottom="1440" w:gutter="0" w:footer="0" w:header="0"/>
        </w:sectPr>
      </w:pPr>
    </w:p>
    <w:bookmarkStart w:id="54" w:name="page55"/>
    <w:bookmarkEnd w:id="5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61" w:lineRule="exact"/>
        <w:rPr>
          <w:sz w:val="20"/>
          <w:szCs w:val="20"/>
          <w:color w:val="auto"/>
        </w:rPr>
      </w:pPr>
    </w:p>
    <w:p>
      <w:pPr>
        <w:ind w:right="120"/>
        <w:spacing w:after="0" w:line="271" w:lineRule="auto"/>
        <w:rPr>
          <w:sz w:val="20"/>
          <w:szCs w:val="20"/>
          <w:color w:val="auto"/>
        </w:rPr>
      </w:pPr>
      <w:r>
        <w:rPr>
          <w:rFonts w:ascii="Arial" w:cs="Arial" w:eastAsia="Arial" w:hAnsi="Arial"/>
          <w:sz w:val="18"/>
          <w:szCs w:val="18"/>
          <w:color w:val="auto"/>
        </w:rPr>
        <w:t>ended September 30, 2017, compared with 2.7% in the nine months ended September 30, 2016. This decline was primarily due to the temporary suspension of a Michigan HMO use tax effective January 1, 2017, which was partially offset by a higher California premium tax rate effective July 1, 2016, and significant revenue growth at our Florida health plan, which operates in a state with no premium tax.</w:t>
      </w:r>
    </w:p>
    <w:p>
      <w:pPr>
        <w:spacing w:after="0" w:line="144" w:lineRule="exact"/>
        <w:rPr>
          <w:sz w:val="20"/>
          <w:szCs w:val="20"/>
          <w:color w:val="auto"/>
        </w:rPr>
      </w:pPr>
    </w:p>
    <w:p>
      <w:pPr>
        <w:spacing w:after="0"/>
        <w:rPr>
          <w:sz w:val="20"/>
          <w:szCs w:val="20"/>
          <w:color w:val="auto"/>
        </w:rPr>
      </w:pPr>
      <w:r>
        <w:rPr>
          <w:rFonts w:ascii="Arial" w:cs="Arial" w:eastAsia="Arial" w:hAnsi="Arial"/>
          <w:sz w:val="32"/>
          <w:szCs w:val="32"/>
          <w:b w:val="1"/>
          <w:bCs w:val="1"/>
          <w:color w:val="ACACAC"/>
        </w:rPr>
        <w:t>HEALTH INSURER FEE (HIF) REVENUE AND EXPENSES</w:t>
      </w:r>
    </w:p>
    <w:p>
      <w:pPr>
        <w:spacing w:after="0" w:line="246" w:lineRule="exact"/>
        <w:rPr>
          <w:sz w:val="20"/>
          <w:szCs w:val="20"/>
          <w:color w:val="auto"/>
        </w:rPr>
      </w:pPr>
    </w:p>
    <w:p>
      <w:pPr>
        <w:ind w:right="440"/>
        <w:spacing w:after="0" w:line="292" w:lineRule="auto"/>
        <w:rPr>
          <w:sz w:val="20"/>
          <w:szCs w:val="20"/>
          <w:color w:val="auto"/>
        </w:rPr>
      </w:pPr>
      <w:r>
        <w:rPr>
          <w:rFonts w:ascii="Arial" w:cs="Arial" w:eastAsia="Arial" w:hAnsi="Arial"/>
          <w:sz w:val="18"/>
          <w:szCs w:val="18"/>
          <w:color w:val="auto"/>
        </w:rPr>
        <w:t>The Consolidated Appropriations Act of 2016 provided for a HIF moratorium in 2017. Therefore, there are no HIF revenues or expenses in 2017.</w:t>
      </w: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36"/>
          <w:szCs w:val="36"/>
          <w:b w:val="1"/>
          <w:bCs w:val="1"/>
          <w:color w:val="0F7C7F"/>
        </w:rPr>
        <w:t>MOLINA MEDICAID SOLUTIONS</w:t>
      </w:r>
    </w:p>
    <w:p>
      <w:pPr>
        <w:spacing w:after="0" w:line="250" w:lineRule="exact"/>
        <w:rPr>
          <w:sz w:val="20"/>
          <w:szCs w:val="20"/>
          <w:color w:val="auto"/>
        </w:rPr>
      </w:pPr>
    </w:p>
    <w:p>
      <w:pPr>
        <w:ind w:right="540"/>
        <w:spacing w:after="0" w:line="292" w:lineRule="auto"/>
        <w:rPr>
          <w:sz w:val="20"/>
          <w:szCs w:val="20"/>
          <w:color w:val="auto"/>
        </w:rPr>
      </w:pPr>
      <w:r>
        <w:rPr>
          <w:rFonts w:ascii="Arial" w:cs="Arial" w:eastAsia="Arial" w:hAnsi="Arial"/>
          <w:sz w:val="18"/>
          <w:szCs w:val="18"/>
          <w:color w:val="auto"/>
        </w:rPr>
        <w:t>The Molina Medicaid Solutions segment provides support to state government agencies in the administration of their Medicaid programs, including business processing, information technology development and administrative services.</w:t>
      </w:r>
    </w:p>
    <w:p>
      <w:pPr>
        <w:spacing w:after="0" w:line="125" w:lineRule="exact"/>
        <w:rPr>
          <w:sz w:val="20"/>
          <w:szCs w:val="20"/>
          <w:color w:val="auto"/>
        </w:rPr>
      </w:pPr>
    </w:p>
    <w:p>
      <w:pPr>
        <w:spacing w:after="0"/>
        <w:rPr>
          <w:sz w:val="20"/>
          <w:szCs w:val="20"/>
          <w:color w:val="auto"/>
        </w:rPr>
      </w:pPr>
      <w:r>
        <w:rPr>
          <w:rFonts w:ascii="Arial" w:cs="Arial" w:eastAsia="Arial" w:hAnsi="Arial"/>
          <w:sz w:val="32"/>
          <w:szCs w:val="32"/>
          <w:b w:val="1"/>
          <w:bCs w:val="1"/>
          <w:color w:val="ACACAC"/>
        </w:rPr>
        <w:t>FINANCIAL OVERVIEW</w:t>
      </w:r>
    </w:p>
    <w:p>
      <w:pPr>
        <w:spacing w:after="0" w:line="246" w:lineRule="exact"/>
        <w:rPr>
          <w:sz w:val="20"/>
          <w:szCs w:val="20"/>
          <w:color w:val="auto"/>
        </w:rPr>
      </w:pPr>
    </w:p>
    <w:p>
      <w:pPr>
        <w:ind w:right="200"/>
        <w:spacing w:after="0" w:line="292" w:lineRule="auto"/>
        <w:rPr>
          <w:sz w:val="20"/>
          <w:szCs w:val="20"/>
          <w:color w:val="auto"/>
        </w:rPr>
      </w:pPr>
      <w:r>
        <w:rPr>
          <w:rFonts w:ascii="Arial" w:cs="Arial" w:eastAsia="Arial" w:hAnsi="Arial"/>
          <w:sz w:val="18"/>
          <w:szCs w:val="18"/>
          <w:color w:val="auto"/>
        </w:rPr>
        <w:t>The Molina Medicaid Solutions segment service margin for the third quarter of 2017 and 2016, and for the nine months ended September 30, 2017 and 2016, was insignificant.</w:t>
      </w:r>
    </w:p>
    <w:p>
      <w:pPr>
        <w:spacing w:after="0" w:line="145" w:lineRule="exact"/>
        <w:rPr>
          <w:sz w:val="20"/>
          <w:szCs w:val="20"/>
          <w:color w:val="auto"/>
        </w:rPr>
      </w:pPr>
    </w:p>
    <w:p>
      <w:pPr>
        <w:ind w:right="80"/>
        <w:spacing w:after="0" w:line="292" w:lineRule="auto"/>
        <w:rPr>
          <w:sz w:val="20"/>
          <w:szCs w:val="20"/>
          <w:color w:val="auto"/>
        </w:rPr>
      </w:pPr>
      <w:r>
        <w:rPr>
          <w:rFonts w:ascii="Arial" w:cs="Arial" w:eastAsia="Arial" w:hAnsi="Arial"/>
          <w:sz w:val="18"/>
          <w:szCs w:val="18"/>
          <w:color w:val="auto"/>
        </w:rPr>
        <w:t>As discussed further in Notes to Consolidated Financial Statements, Note 10, “Impairment Losses,” we recorded a goodwill impairment charge of $28 million, reported in our consolidated statements of operations as “Impairment losses.”</w:t>
      </w:r>
    </w:p>
    <w:p>
      <w:pPr>
        <w:spacing w:after="0" w:line="237" w:lineRule="exact"/>
        <w:rPr>
          <w:sz w:val="20"/>
          <w:szCs w:val="20"/>
          <w:color w:val="auto"/>
        </w:rPr>
      </w:pPr>
    </w:p>
    <w:p>
      <w:pPr>
        <w:spacing w:after="0"/>
        <w:rPr>
          <w:sz w:val="20"/>
          <w:szCs w:val="20"/>
          <w:color w:val="auto"/>
        </w:rPr>
      </w:pPr>
      <w:r>
        <w:rPr>
          <w:rFonts w:ascii="Arial" w:cs="Arial" w:eastAsia="Arial" w:hAnsi="Arial"/>
          <w:sz w:val="36"/>
          <w:szCs w:val="36"/>
          <w:b w:val="1"/>
          <w:bCs w:val="1"/>
          <w:color w:val="0F7C7F"/>
        </w:rPr>
        <w:t>OTHER</w:t>
      </w:r>
    </w:p>
    <w:p>
      <w:pPr>
        <w:spacing w:after="0" w:line="250" w:lineRule="exact"/>
        <w:rPr>
          <w:sz w:val="20"/>
          <w:szCs w:val="20"/>
          <w:color w:val="auto"/>
        </w:rPr>
      </w:pPr>
    </w:p>
    <w:p>
      <w:pPr>
        <w:ind w:right="380"/>
        <w:spacing w:after="0" w:line="292" w:lineRule="auto"/>
        <w:rPr>
          <w:sz w:val="20"/>
          <w:szCs w:val="20"/>
          <w:color w:val="auto"/>
        </w:rPr>
      </w:pPr>
      <w:r>
        <w:rPr>
          <w:rFonts w:ascii="Arial" w:cs="Arial" w:eastAsia="Arial" w:hAnsi="Arial"/>
          <w:sz w:val="18"/>
          <w:szCs w:val="18"/>
          <w:color w:val="auto"/>
        </w:rPr>
        <w:t>The Other segment includes primarily our Pathways behavioral health and social services provider, and corporate amounts not allocated to other reportable segments.</w:t>
      </w:r>
    </w:p>
    <w:p>
      <w:pPr>
        <w:spacing w:after="0" w:line="125" w:lineRule="exact"/>
        <w:rPr>
          <w:sz w:val="20"/>
          <w:szCs w:val="20"/>
          <w:color w:val="auto"/>
        </w:rPr>
      </w:pPr>
    </w:p>
    <w:p>
      <w:pPr>
        <w:spacing w:after="0"/>
        <w:rPr>
          <w:sz w:val="20"/>
          <w:szCs w:val="20"/>
          <w:color w:val="auto"/>
        </w:rPr>
      </w:pPr>
      <w:r>
        <w:rPr>
          <w:rFonts w:ascii="Arial" w:cs="Arial" w:eastAsia="Arial" w:hAnsi="Arial"/>
          <w:sz w:val="32"/>
          <w:szCs w:val="32"/>
          <w:b w:val="1"/>
          <w:bCs w:val="1"/>
          <w:color w:val="ACACAC"/>
        </w:rPr>
        <w:t>FINANCIAL OVERVIEW</w:t>
      </w:r>
    </w:p>
    <w:p>
      <w:pPr>
        <w:spacing w:after="0" w:line="246" w:lineRule="exact"/>
        <w:rPr>
          <w:sz w:val="20"/>
          <w:szCs w:val="20"/>
          <w:color w:val="auto"/>
        </w:rPr>
      </w:pPr>
    </w:p>
    <w:p>
      <w:pPr>
        <w:ind w:right="160"/>
        <w:spacing w:after="0" w:line="292" w:lineRule="auto"/>
        <w:rPr>
          <w:sz w:val="20"/>
          <w:szCs w:val="20"/>
          <w:color w:val="auto"/>
        </w:rPr>
      </w:pPr>
      <w:r>
        <w:rPr>
          <w:rFonts w:ascii="Arial" w:cs="Arial" w:eastAsia="Arial" w:hAnsi="Arial"/>
          <w:sz w:val="18"/>
          <w:szCs w:val="18"/>
          <w:color w:val="auto"/>
        </w:rPr>
        <w:t>The Other segment service margin for the third quarter of 2017 and 2016, and for the nine months ended September 30, 2017 and 2016, was insignificant.</w:t>
      </w:r>
    </w:p>
    <w:p>
      <w:pPr>
        <w:spacing w:after="0" w:line="145"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As discussed further in Notes to Consolidated Financial Statements, Note 10, “Impairment Losses,” in the second quarter of 2017 we recorded impairment losses, primarily relating to our Pathways subsidiary, of $61 million for goodwill and $11 million for intangible assets, or $72 million in the aggregate. In the third quarter of 2017, we recorded a further goodwill impairment loss relating to the Pathways subsidiary, of $101 million.</w:t>
      </w:r>
    </w:p>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Arial" w:cs="Arial" w:eastAsia="Arial" w:hAnsi="Arial"/>
          <w:sz w:val="36"/>
          <w:szCs w:val="36"/>
          <w:b w:val="1"/>
          <w:bCs w:val="1"/>
          <w:color w:val="0F7C7F"/>
        </w:rPr>
        <w:t>OTHER CONSOLIDATED INFORMATION</w:t>
      </w:r>
    </w:p>
    <w:p>
      <w:pPr>
        <w:spacing w:after="0" w:line="122" w:lineRule="exact"/>
        <w:rPr>
          <w:sz w:val="20"/>
          <w:szCs w:val="20"/>
          <w:color w:val="auto"/>
        </w:rPr>
      </w:pPr>
    </w:p>
    <w:p>
      <w:pPr>
        <w:spacing w:after="0"/>
        <w:rPr>
          <w:sz w:val="20"/>
          <w:szCs w:val="20"/>
          <w:color w:val="auto"/>
        </w:rPr>
      </w:pPr>
      <w:r>
        <w:rPr>
          <w:rFonts w:ascii="Arial" w:cs="Arial" w:eastAsia="Arial" w:hAnsi="Arial"/>
          <w:sz w:val="32"/>
          <w:szCs w:val="32"/>
          <w:b w:val="1"/>
          <w:bCs w:val="1"/>
          <w:color w:val="ACACAC"/>
        </w:rPr>
        <w:t>GENERAL AND ADMINISTRATIVE EXPENSES</w:t>
      </w:r>
    </w:p>
    <w:p>
      <w:pPr>
        <w:spacing w:after="0" w:line="246" w:lineRule="exact"/>
        <w:rPr>
          <w:sz w:val="20"/>
          <w:szCs w:val="20"/>
          <w:color w:val="auto"/>
        </w:rPr>
      </w:pPr>
    </w:p>
    <w:p>
      <w:pPr>
        <w:ind w:right="200"/>
        <w:spacing w:after="0" w:line="292" w:lineRule="auto"/>
        <w:rPr>
          <w:sz w:val="20"/>
          <w:szCs w:val="20"/>
          <w:color w:val="auto"/>
        </w:rPr>
      </w:pPr>
      <w:r>
        <w:rPr>
          <w:rFonts w:ascii="Arial" w:cs="Arial" w:eastAsia="Arial" w:hAnsi="Arial"/>
          <w:sz w:val="18"/>
          <w:szCs w:val="18"/>
          <w:color w:val="auto"/>
        </w:rPr>
        <w:t>The G&amp;A ratio was 7.6% for both the third quarter of 2017 and 2016. The G&amp;A ratio increased to 8.2% for the nine months ended September 30, 2017, compared with 7.8% for the nine months ended September 30, 2016. Refer to discussion above, in “Consolidated Results.”</w:t>
      </w:r>
    </w:p>
    <w:p>
      <w:pPr>
        <w:spacing w:after="0" w:line="125" w:lineRule="exact"/>
        <w:rPr>
          <w:sz w:val="20"/>
          <w:szCs w:val="20"/>
          <w:color w:val="auto"/>
        </w:rPr>
      </w:pPr>
    </w:p>
    <w:p>
      <w:pPr>
        <w:spacing w:after="0"/>
        <w:rPr>
          <w:sz w:val="20"/>
          <w:szCs w:val="20"/>
          <w:color w:val="auto"/>
        </w:rPr>
      </w:pPr>
      <w:r>
        <w:rPr>
          <w:rFonts w:ascii="Arial" w:cs="Arial" w:eastAsia="Arial" w:hAnsi="Arial"/>
          <w:sz w:val="32"/>
          <w:szCs w:val="32"/>
          <w:b w:val="1"/>
          <w:bCs w:val="1"/>
          <w:color w:val="ACACAC"/>
        </w:rPr>
        <w:t>DEPRECIATION AND AMORTIZATION</w:t>
      </w:r>
    </w:p>
    <w:p>
      <w:pPr>
        <w:spacing w:after="0" w:line="246" w:lineRule="exact"/>
        <w:rPr>
          <w:sz w:val="20"/>
          <w:szCs w:val="20"/>
          <w:color w:val="auto"/>
        </w:rPr>
      </w:pPr>
    </w:p>
    <w:p>
      <w:pPr>
        <w:ind w:right="40"/>
        <w:spacing w:after="0" w:line="292" w:lineRule="auto"/>
        <w:rPr>
          <w:sz w:val="20"/>
          <w:szCs w:val="20"/>
          <w:color w:val="auto"/>
        </w:rPr>
      </w:pPr>
      <w:r>
        <w:rPr>
          <w:rFonts w:ascii="Arial" w:cs="Arial" w:eastAsia="Arial" w:hAnsi="Arial"/>
          <w:sz w:val="18"/>
          <w:szCs w:val="18"/>
          <w:color w:val="auto"/>
        </w:rPr>
        <w:t>Depreciation and amortization, as a percentage of total revenue, was 0.7% and 0.8% in the nine months ended September 30, 2017 and 2016, respectively.</w:t>
      </w:r>
    </w:p>
    <w:p>
      <w:pPr>
        <w:spacing w:after="0" w:line="28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Molina Healthcare, Inc. 2017 Form 10-Q | 55</w:t>
      </w:r>
    </w:p>
    <w:p>
      <w:pPr>
        <w:sectPr>
          <w:pgSz w:w="11900" w:h="16838" w:orient="portrait"/>
          <w:cols w:equalWidth="0" w:num="1">
            <w:col w:w="11420"/>
          </w:cols>
          <w:pgMar w:left="240" w:top="116" w:right="239" w:bottom="1440" w:gutter="0" w:footer="0" w:header="0"/>
        </w:sectPr>
      </w:pPr>
    </w:p>
    <w:bookmarkStart w:id="55" w:name="page56"/>
    <w:bookmarkEnd w:id="5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42" w:lineRule="exact"/>
        <w:rPr>
          <w:sz w:val="20"/>
          <w:szCs w:val="20"/>
          <w:color w:val="auto"/>
        </w:rPr>
      </w:pPr>
    </w:p>
    <w:p>
      <w:pPr>
        <w:spacing w:after="0"/>
        <w:rPr>
          <w:sz w:val="20"/>
          <w:szCs w:val="20"/>
          <w:color w:val="auto"/>
        </w:rPr>
      </w:pPr>
      <w:r>
        <w:rPr>
          <w:rFonts w:ascii="Arial" w:cs="Arial" w:eastAsia="Arial" w:hAnsi="Arial"/>
          <w:sz w:val="32"/>
          <w:szCs w:val="32"/>
          <w:b w:val="1"/>
          <w:bCs w:val="1"/>
          <w:color w:val="ACACAC"/>
        </w:rPr>
        <w:t>IMPAIRMENT LOSSES</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color w:val="auto"/>
        </w:rPr>
        <w:t>See Notes to Consolidated Financial Statements, Note 10, “Impairment Losses.”</w:t>
      </w:r>
    </w:p>
    <w:p>
      <w:pPr>
        <w:spacing w:after="0" w:line="206" w:lineRule="exact"/>
        <w:rPr>
          <w:sz w:val="20"/>
          <w:szCs w:val="20"/>
          <w:color w:val="auto"/>
        </w:rPr>
      </w:pPr>
    </w:p>
    <w:p>
      <w:pPr>
        <w:spacing w:after="0"/>
        <w:rPr>
          <w:sz w:val="20"/>
          <w:szCs w:val="20"/>
          <w:color w:val="auto"/>
        </w:rPr>
      </w:pPr>
      <w:r>
        <w:rPr>
          <w:rFonts w:ascii="Arial" w:cs="Arial" w:eastAsia="Arial" w:hAnsi="Arial"/>
          <w:sz w:val="32"/>
          <w:szCs w:val="32"/>
          <w:b w:val="1"/>
          <w:bCs w:val="1"/>
          <w:color w:val="ACACAC"/>
        </w:rPr>
        <w:t>RESTRUCTURING AND SEPARATION COSTS</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color w:val="auto"/>
        </w:rPr>
        <w:t>See Notes to Consolidated Financial Statements, Note 11, “Restructuring and Separation Costs.”</w:t>
      </w:r>
    </w:p>
    <w:p>
      <w:pPr>
        <w:spacing w:after="0" w:line="206" w:lineRule="exact"/>
        <w:rPr>
          <w:sz w:val="20"/>
          <w:szCs w:val="20"/>
          <w:color w:val="auto"/>
        </w:rPr>
      </w:pPr>
    </w:p>
    <w:p>
      <w:pPr>
        <w:spacing w:after="0"/>
        <w:rPr>
          <w:sz w:val="20"/>
          <w:szCs w:val="20"/>
          <w:color w:val="auto"/>
        </w:rPr>
      </w:pPr>
      <w:r>
        <w:rPr>
          <w:rFonts w:ascii="Arial" w:cs="Arial" w:eastAsia="Arial" w:hAnsi="Arial"/>
          <w:sz w:val="32"/>
          <w:szCs w:val="32"/>
          <w:b w:val="1"/>
          <w:bCs w:val="1"/>
          <w:color w:val="ACACAC"/>
        </w:rPr>
        <w:t>INTEREST EXPENSE</w:t>
      </w:r>
    </w:p>
    <w:p>
      <w:pPr>
        <w:spacing w:after="0" w:line="246"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Interest expense was $32 million for the third quarter of 2017, compared with $26 million for the third quarter of 2016. Interest expense was $85 million for the nine months ended September 30, 2017, compared with $76 million for the nine months ended September 30, 2016. Interest expense includes non-cash interest expense relating primarily to the amortization of the discount on convertible senior notes, which amounted to $8 million for both the third quarter of 2017 and 2016, and $24 million and $23 million in the nine months ended September 30, 2017 and 2016, respectively. We expect interest expense to continue to increase in future periods as a result of our recent $330 million offering of</w:t>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4.875% Notes, and borrowings under the Credit Facility. See further discussion in Notes to Consolidated Financial Statements, Note 7, “Debt.”</w:t>
      </w:r>
    </w:p>
    <w:p>
      <w:pPr>
        <w:spacing w:after="0" w:line="184" w:lineRule="exact"/>
        <w:rPr>
          <w:sz w:val="20"/>
          <w:szCs w:val="20"/>
          <w:color w:val="auto"/>
        </w:rPr>
      </w:pPr>
    </w:p>
    <w:p>
      <w:pPr>
        <w:spacing w:after="0"/>
        <w:rPr>
          <w:sz w:val="20"/>
          <w:szCs w:val="20"/>
          <w:color w:val="auto"/>
        </w:rPr>
      </w:pPr>
      <w:r>
        <w:rPr>
          <w:rFonts w:ascii="Arial" w:cs="Arial" w:eastAsia="Arial" w:hAnsi="Arial"/>
          <w:sz w:val="32"/>
          <w:szCs w:val="32"/>
          <w:b w:val="1"/>
          <w:bCs w:val="1"/>
          <w:color w:val="ACACAC"/>
        </w:rPr>
        <w:t>OTHER INCOME, NET</w:t>
      </w:r>
    </w:p>
    <w:p>
      <w:pPr>
        <w:spacing w:after="0" w:line="246" w:lineRule="exact"/>
        <w:rPr>
          <w:sz w:val="20"/>
          <w:szCs w:val="20"/>
          <w:color w:val="auto"/>
        </w:rPr>
      </w:pPr>
    </w:p>
    <w:p>
      <w:pPr>
        <w:ind w:right="440"/>
        <w:spacing w:after="0" w:line="271" w:lineRule="auto"/>
        <w:rPr>
          <w:sz w:val="20"/>
          <w:szCs w:val="20"/>
          <w:color w:val="auto"/>
        </w:rPr>
      </w:pPr>
      <w:r>
        <w:rPr>
          <w:rFonts w:ascii="Arial" w:cs="Arial" w:eastAsia="Arial" w:hAnsi="Arial"/>
          <w:sz w:val="18"/>
          <w:szCs w:val="18"/>
          <w:color w:val="auto"/>
        </w:rPr>
        <w:t>As described in Notes to Consolidated Financial Statements, Note 1, “Basis of Presentation,” in February 2017, we received an aggregate termination fee of $75 million for the terminated Medicare Acquisition. This amount is reported in “Other income, net” in our consolidated statements of operations.</w:t>
      </w:r>
    </w:p>
    <w:p>
      <w:pPr>
        <w:spacing w:after="0" w:line="144" w:lineRule="exact"/>
        <w:rPr>
          <w:sz w:val="20"/>
          <w:szCs w:val="20"/>
          <w:color w:val="auto"/>
        </w:rPr>
      </w:pPr>
    </w:p>
    <w:p>
      <w:pPr>
        <w:spacing w:after="0"/>
        <w:rPr>
          <w:sz w:val="20"/>
          <w:szCs w:val="20"/>
          <w:color w:val="auto"/>
        </w:rPr>
      </w:pPr>
      <w:r>
        <w:rPr>
          <w:rFonts w:ascii="Arial" w:cs="Arial" w:eastAsia="Arial" w:hAnsi="Arial"/>
          <w:sz w:val="32"/>
          <w:szCs w:val="32"/>
          <w:b w:val="1"/>
          <w:bCs w:val="1"/>
          <w:color w:val="ACACAC"/>
        </w:rPr>
        <w:t>INCOME TAXES</w:t>
      </w:r>
    </w:p>
    <w:p>
      <w:pPr>
        <w:spacing w:after="0" w:line="246" w:lineRule="exact"/>
        <w:rPr>
          <w:sz w:val="20"/>
          <w:szCs w:val="20"/>
          <w:color w:val="auto"/>
        </w:rPr>
      </w:pPr>
    </w:p>
    <w:p>
      <w:pPr>
        <w:ind w:right="100"/>
        <w:spacing w:after="0" w:line="260" w:lineRule="auto"/>
        <w:rPr>
          <w:sz w:val="20"/>
          <w:szCs w:val="20"/>
          <w:color w:val="auto"/>
        </w:rPr>
      </w:pPr>
      <w:r>
        <w:rPr>
          <w:rFonts w:ascii="Arial" w:cs="Arial" w:eastAsia="Arial" w:hAnsi="Arial"/>
          <w:sz w:val="18"/>
          <w:szCs w:val="18"/>
          <w:color w:val="auto"/>
        </w:rPr>
        <w:t>The (benefit) provision for income taxes was recorded at an effective rate of 14.6% for the third quarter of 2017, compared with 54.0% for the third quarter of 2016, and an effective rate of 15.5% for the nine months ended September 30, 2017 compared with 58.0% for the nine months ended September 30, 2016. The significant change in the effective tax rate was primarily a result of pretax losses in 2017 combined with significant nondeductible expenses (primarily, separation costs and goodwill impairment) and the 2017 HIF moratorium as described above in “Health Plans—Health Insurer Fee (HIF) Revenue and Expenses.”</w:t>
      </w: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Arial" w:cs="Arial" w:eastAsia="Arial" w:hAnsi="Arial"/>
          <w:sz w:val="36"/>
          <w:szCs w:val="36"/>
          <w:b w:val="1"/>
          <w:bCs w:val="1"/>
          <w:color w:val="0F7C7F"/>
        </w:rPr>
        <w:t>LIQUIDITY AND FINANCIAL CONDITION</w:t>
      </w:r>
    </w:p>
    <w:p>
      <w:pPr>
        <w:spacing w:after="0" w:line="230" w:lineRule="exact"/>
        <w:rPr>
          <w:sz w:val="20"/>
          <w:szCs w:val="20"/>
          <w:color w:val="auto"/>
        </w:rPr>
      </w:pPr>
    </w:p>
    <w:p>
      <w:pPr>
        <w:spacing w:after="0"/>
        <w:rPr>
          <w:sz w:val="20"/>
          <w:szCs w:val="20"/>
          <w:color w:val="auto"/>
        </w:rPr>
      </w:pPr>
      <w:r>
        <w:rPr>
          <w:rFonts w:ascii="Arial" w:cs="Arial" w:eastAsia="Arial" w:hAnsi="Arial"/>
          <w:sz w:val="32"/>
          <w:szCs w:val="32"/>
          <w:b w:val="1"/>
          <w:bCs w:val="1"/>
          <w:color w:val="ACACAC"/>
        </w:rPr>
        <w:t>INTRODUCTION</w:t>
      </w:r>
    </w:p>
    <w:p>
      <w:pPr>
        <w:spacing w:after="0" w:line="246" w:lineRule="exact"/>
        <w:rPr>
          <w:sz w:val="20"/>
          <w:szCs w:val="20"/>
          <w:color w:val="auto"/>
        </w:rPr>
      </w:pPr>
    </w:p>
    <w:p>
      <w:pPr>
        <w:ind w:right="40"/>
        <w:spacing w:after="0" w:line="271" w:lineRule="auto"/>
        <w:rPr>
          <w:sz w:val="20"/>
          <w:szCs w:val="20"/>
          <w:color w:val="auto"/>
        </w:rPr>
      </w:pPr>
      <w:r>
        <w:rPr>
          <w:rFonts w:ascii="Arial" w:cs="Arial" w:eastAsia="Arial" w:hAnsi="Arial"/>
          <w:sz w:val="18"/>
          <w:szCs w:val="18"/>
          <w:color w:val="auto"/>
        </w:rPr>
        <w:t>We manage our cash, investments, and capital structure to meet the short- and long-term obligations of our business while maintaining liquidity and financial flexibility. We forecast, analyze, and monitor our cash flows to enable prudent investment management and financing within the confines of our financial strategy.</w:t>
      </w:r>
    </w:p>
    <w:p>
      <w:pPr>
        <w:spacing w:after="0" w:line="163" w:lineRule="exact"/>
        <w:rPr>
          <w:sz w:val="20"/>
          <w:szCs w:val="20"/>
          <w:color w:val="auto"/>
        </w:rPr>
      </w:pPr>
    </w:p>
    <w:p>
      <w:pPr>
        <w:ind w:right="220"/>
        <w:spacing w:after="0" w:line="264" w:lineRule="auto"/>
        <w:rPr>
          <w:sz w:val="20"/>
          <w:szCs w:val="20"/>
          <w:color w:val="auto"/>
        </w:rPr>
      </w:pPr>
      <w:r>
        <w:rPr>
          <w:rFonts w:ascii="Arial" w:cs="Arial" w:eastAsia="Arial" w:hAnsi="Arial"/>
          <w:sz w:val="18"/>
          <w:szCs w:val="18"/>
          <w:color w:val="auto"/>
        </w:rPr>
        <w:t>A majority of the assets held by our Health Plans segment regulated subsidiaries is in the form of cash, cash equivalents, and investments. After considering expected cash flows from operating activities, we generally invest cash of regulated subsidiaries that exceeds our expected short-term obligations in longer term, investment-grade, and marketable debt securities to improve our overall investment return. These investments are made pursuant to board-approved investment policies that conform to applicable state laws and regulations.</w:t>
      </w:r>
    </w:p>
    <w:p>
      <w:pPr>
        <w:spacing w:after="0" w:line="30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Molina Healthcare, Inc. 2017 Form 10-Q | 56</w:t>
      </w:r>
    </w:p>
    <w:p>
      <w:pPr>
        <w:sectPr>
          <w:pgSz w:w="11900" w:h="16838" w:orient="portrait"/>
          <w:cols w:equalWidth="0" w:num="1">
            <w:col w:w="11420"/>
          </w:cols>
          <w:pgMar w:left="240" w:top="116" w:right="239" w:bottom="1440" w:gutter="0" w:footer="0" w:header="0"/>
        </w:sectPr>
      </w:pPr>
    </w:p>
    <w:bookmarkStart w:id="56" w:name="page57"/>
    <w:bookmarkEnd w:id="5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61" w:lineRule="exact"/>
        <w:rPr>
          <w:sz w:val="20"/>
          <w:szCs w:val="20"/>
          <w:color w:val="auto"/>
        </w:rPr>
      </w:pPr>
    </w:p>
    <w:p>
      <w:pPr>
        <w:jc w:val="both"/>
        <w:ind w:right="400"/>
        <w:spacing w:after="0" w:line="271" w:lineRule="auto"/>
        <w:rPr>
          <w:sz w:val="20"/>
          <w:szCs w:val="20"/>
          <w:color w:val="auto"/>
        </w:rPr>
      </w:pPr>
      <w:r>
        <w:rPr>
          <w:rFonts w:ascii="Arial" w:cs="Arial" w:eastAsia="Arial" w:hAnsi="Arial"/>
          <w:sz w:val="18"/>
          <w:szCs w:val="18"/>
          <w:color w:val="auto"/>
        </w:rPr>
        <w:t>Our investments are classified as current assets, except for our held-to-maturity restricted investments, which are classified as non-current assets, and which are not included in the totals below. Our held-to-maturity restricted investments are invested principally in certificates of deposit and U.S. treasury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281305</wp:posOffset>
            </wp:positionV>
            <wp:extent cx="7212330" cy="311277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12330" cy="31127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ind w:right="360"/>
        <w:spacing w:after="0" w:line="292" w:lineRule="auto"/>
        <w:rPr>
          <w:sz w:val="20"/>
          <w:szCs w:val="20"/>
          <w:color w:val="auto"/>
        </w:rPr>
      </w:pPr>
      <w:r>
        <w:rPr>
          <w:rFonts w:ascii="Arial" w:cs="Arial" w:eastAsia="Arial" w:hAnsi="Arial"/>
          <w:sz w:val="18"/>
          <w:szCs w:val="18"/>
          <w:color w:val="auto"/>
        </w:rPr>
        <w:t>Investment income increased to $37 million for the nine months ended September 30, 2017, compared with $25 million for the nine months ended September 30, 2016, primarily due to the increase in invested assets.</w:t>
      </w:r>
    </w:p>
    <w:p>
      <w:pPr>
        <w:spacing w:after="0" w:line="125" w:lineRule="exact"/>
        <w:rPr>
          <w:sz w:val="20"/>
          <w:szCs w:val="20"/>
          <w:color w:val="auto"/>
        </w:rPr>
      </w:pPr>
    </w:p>
    <w:p>
      <w:pPr>
        <w:spacing w:after="0"/>
        <w:rPr>
          <w:sz w:val="20"/>
          <w:szCs w:val="20"/>
          <w:color w:val="auto"/>
        </w:rPr>
      </w:pPr>
      <w:r>
        <w:rPr>
          <w:rFonts w:ascii="Arial" w:cs="Arial" w:eastAsia="Arial" w:hAnsi="Arial"/>
          <w:sz w:val="32"/>
          <w:szCs w:val="32"/>
          <w:b w:val="1"/>
          <w:bCs w:val="1"/>
          <w:color w:val="ACACAC"/>
        </w:rPr>
        <w:t>MARKET RISK</w:t>
      </w:r>
    </w:p>
    <w:p>
      <w:pPr>
        <w:spacing w:after="0" w:line="246" w:lineRule="exact"/>
        <w:rPr>
          <w:sz w:val="20"/>
          <w:szCs w:val="20"/>
          <w:color w:val="auto"/>
        </w:rPr>
      </w:pPr>
    </w:p>
    <w:p>
      <w:pPr>
        <w:ind w:right="640"/>
        <w:spacing w:after="0" w:line="292" w:lineRule="auto"/>
        <w:rPr>
          <w:sz w:val="20"/>
          <w:szCs w:val="20"/>
          <w:color w:val="auto"/>
        </w:rPr>
      </w:pPr>
      <w:r>
        <w:rPr>
          <w:rFonts w:ascii="Arial" w:cs="Arial" w:eastAsia="Arial" w:hAnsi="Arial"/>
          <w:sz w:val="18"/>
          <w:szCs w:val="18"/>
          <w:color w:val="auto"/>
        </w:rPr>
        <w:t>Our earnings and financial position are exposed to financial market risk relating to changes in interest rates, and the resulting impact on investment income and interest expense.</w:t>
      </w:r>
    </w:p>
    <w:p>
      <w:pPr>
        <w:spacing w:after="0" w:line="145" w:lineRule="exact"/>
        <w:rPr>
          <w:sz w:val="20"/>
          <w:szCs w:val="20"/>
          <w:color w:val="auto"/>
        </w:rPr>
      </w:pPr>
    </w:p>
    <w:p>
      <w:pPr>
        <w:ind w:right="80"/>
        <w:spacing w:after="0" w:line="271" w:lineRule="auto"/>
        <w:rPr>
          <w:sz w:val="20"/>
          <w:szCs w:val="20"/>
          <w:color w:val="auto"/>
        </w:rPr>
      </w:pPr>
      <w:r>
        <w:rPr>
          <w:rFonts w:ascii="Arial" w:cs="Arial" w:eastAsia="Arial" w:hAnsi="Arial"/>
          <w:sz w:val="18"/>
          <w:szCs w:val="18"/>
          <w:color w:val="auto"/>
        </w:rPr>
        <w:t>Substantially all of our investments and restricted investments are subject to interest rate risk and will decrease in value if market interest rates increase. Assuming a hypothetical and immediate 1% increase in market interest rates at September 30, 2017, the fair value of our fixed income investments would decrease by approximately $25 million. Declines in interest rates over time will reduce our investment income.</w:t>
      </w:r>
    </w:p>
    <w:p>
      <w:pPr>
        <w:spacing w:after="0" w:line="163" w:lineRule="exact"/>
        <w:rPr>
          <w:sz w:val="20"/>
          <w:szCs w:val="20"/>
          <w:color w:val="auto"/>
        </w:rPr>
      </w:pPr>
    </w:p>
    <w:p>
      <w:pPr>
        <w:ind w:right="240"/>
        <w:spacing w:after="0" w:line="292" w:lineRule="auto"/>
        <w:rPr>
          <w:sz w:val="20"/>
          <w:szCs w:val="20"/>
          <w:color w:val="auto"/>
        </w:rPr>
      </w:pPr>
      <w:r>
        <w:rPr>
          <w:rFonts w:ascii="Arial" w:cs="Arial" w:eastAsia="Arial" w:hAnsi="Arial"/>
          <w:sz w:val="18"/>
          <w:szCs w:val="18"/>
          <w:color w:val="auto"/>
        </w:rPr>
        <w:t>For further information on fair value measurements and our investment portfolio, please refer to Notes to Consolidated Financial Statements, Note 4, “Fair Value Measurements,” and Note 5, “Investments.”</w:t>
      </w:r>
    </w:p>
    <w:p>
      <w:pPr>
        <w:spacing w:after="0" w:line="145" w:lineRule="exact"/>
        <w:rPr>
          <w:sz w:val="20"/>
          <w:szCs w:val="20"/>
          <w:color w:val="auto"/>
        </w:rPr>
      </w:pPr>
    </w:p>
    <w:p>
      <w:pPr>
        <w:ind w:right="760"/>
        <w:spacing w:after="0" w:line="292" w:lineRule="auto"/>
        <w:rPr>
          <w:sz w:val="20"/>
          <w:szCs w:val="20"/>
          <w:color w:val="auto"/>
        </w:rPr>
      </w:pPr>
      <w:r>
        <w:rPr>
          <w:rFonts w:ascii="Arial" w:cs="Arial" w:eastAsia="Arial" w:hAnsi="Arial"/>
          <w:sz w:val="18"/>
          <w:szCs w:val="18"/>
          <w:color w:val="auto"/>
        </w:rPr>
        <w:t>Borrowings under our Credit Facility bear interest based, at our election, on a base rate or an adjusted London Interbank Offered Rate (LIBOR), plus in each case the applicable margin. As of September 30, 2017, $300 million was outstanding under the Credit Facility.</w:t>
      </w:r>
    </w:p>
    <w:p>
      <w:pPr>
        <w:spacing w:after="0" w:line="200" w:lineRule="exact"/>
        <w:rPr>
          <w:sz w:val="20"/>
          <w:szCs w:val="20"/>
          <w:color w:val="auto"/>
        </w:rPr>
      </w:pPr>
    </w:p>
    <w:p>
      <w:pPr>
        <w:spacing w:after="0" w:line="29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Molina Healthcare, Inc. 2017 Form 10-Q | 57</w:t>
      </w:r>
    </w:p>
    <w:p>
      <w:pPr>
        <w:sectPr>
          <w:pgSz w:w="11900" w:h="16838" w:orient="portrait"/>
          <w:cols w:equalWidth="0" w:num="1">
            <w:col w:w="11420"/>
          </w:cols>
          <w:pgMar w:left="240" w:top="116" w:right="239" w:bottom="1440" w:gutter="0" w:footer="0" w:header="0"/>
        </w:sectPr>
      </w:pPr>
    </w:p>
    <w:bookmarkStart w:id="57" w:name="page58"/>
    <w:bookmarkEnd w:id="5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42" w:lineRule="exact"/>
        <w:rPr>
          <w:sz w:val="20"/>
          <w:szCs w:val="20"/>
          <w:color w:val="auto"/>
        </w:rPr>
      </w:pPr>
    </w:p>
    <w:p>
      <w:pPr>
        <w:spacing w:after="0"/>
        <w:rPr>
          <w:sz w:val="20"/>
          <w:szCs w:val="20"/>
          <w:color w:val="auto"/>
        </w:rPr>
      </w:pPr>
      <w:r>
        <w:rPr>
          <w:rFonts w:ascii="Arial" w:cs="Arial" w:eastAsia="Arial" w:hAnsi="Arial"/>
          <w:sz w:val="32"/>
          <w:szCs w:val="32"/>
          <w:b w:val="1"/>
          <w:bCs w:val="1"/>
          <w:color w:val="ACACAC"/>
        </w:rPr>
        <w:t>LIQUIDITY</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color w:val="auto"/>
        </w:rPr>
        <w:t>A condensed schedule of cash flows to facilitate our discussion of liquidity follows:</w:t>
      </w:r>
    </w:p>
    <w:p>
      <w:pPr>
        <w:spacing w:after="0" w:line="200" w:lineRule="exact"/>
        <w:rPr>
          <w:sz w:val="20"/>
          <w:szCs w:val="20"/>
          <w:color w:val="auto"/>
        </w:rPr>
      </w:pPr>
    </w:p>
    <w:p>
      <w:pPr>
        <w:spacing w:after="0" w:line="249"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740" w:type="dxa"/>
            <w:vAlign w:val="bottom"/>
          </w:tcPr>
          <w:p>
            <w:pPr>
              <w:spacing w:after="0"/>
              <w:rPr>
                <w:sz w:val="17"/>
                <w:szCs w:val="17"/>
                <w:color w:val="auto"/>
              </w:rPr>
            </w:pPr>
          </w:p>
        </w:tc>
        <w:tc>
          <w:tcPr>
            <w:tcW w:w="960" w:type="dxa"/>
            <w:vAlign w:val="bottom"/>
            <w:tcBorders>
              <w:bottom w:val="single" w:sz="8" w:color="auto"/>
            </w:tcBorders>
          </w:tcPr>
          <w:p>
            <w:pPr>
              <w:spacing w:after="0"/>
              <w:rPr>
                <w:sz w:val="17"/>
                <w:szCs w:val="17"/>
                <w:color w:val="auto"/>
              </w:rPr>
            </w:pPr>
          </w:p>
        </w:tc>
        <w:tc>
          <w:tcPr>
            <w:tcW w:w="2660" w:type="dxa"/>
            <w:vAlign w:val="bottom"/>
            <w:tcBorders>
              <w:bottom w:val="single" w:sz="8" w:color="auto"/>
            </w:tcBorders>
            <w:gridSpan w:val="6"/>
          </w:tcPr>
          <w:p>
            <w:pPr>
              <w:jc w:val="center"/>
              <w:ind w:left="61"/>
              <w:spacing w:after="0"/>
              <w:rPr>
                <w:sz w:val="20"/>
                <w:szCs w:val="20"/>
                <w:color w:val="auto"/>
              </w:rPr>
            </w:pPr>
            <w:r>
              <w:rPr>
                <w:rFonts w:ascii="Arial" w:cs="Arial" w:eastAsia="Arial" w:hAnsi="Arial"/>
                <w:sz w:val="14"/>
                <w:szCs w:val="14"/>
                <w:b w:val="1"/>
                <w:bCs w:val="1"/>
                <w:color w:val="auto"/>
              </w:rPr>
              <w:t>Nine Months Ended September 30,</w:t>
            </w:r>
          </w:p>
        </w:tc>
        <w:tc>
          <w:tcPr>
            <w:tcW w:w="1060" w:type="dxa"/>
            <w:vAlign w:val="bottom"/>
            <w:tcBorders>
              <w:bottom w:val="single" w:sz="8" w:color="auto"/>
            </w:tcBorders>
          </w:tcPr>
          <w:p>
            <w:pPr>
              <w:spacing w:after="0"/>
              <w:rPr>
                <w:sz w:val="17"/>
                <w:szCs w:val="17"/>
                <w:color w:val="auto"/>
              </w:rPr>
            </w:pPr>
          </w:p>
        </w:tc>
      </w:tr>
      <w:tr>
        <w:trPr>
          <w:trHeight w:val="264"/>
        </w:trPr>
        <w:tc>
          <w:tcPr>
            <w:tcW w:w="6740" w:type="dxa"/>
            <w:vAlign w:val="bottom"/>
          </w:tcPr>
          <w:p>
            <w:pPr>
              <w:spacing w:after="0"/>
              <w:rPr>
                <w:sz w:val="22"/>
                <w:szCs w:val="22"/>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2017</w:t>
            </w:r>
          </w:p>
        </w:tc>
        <w:tc>
          <w:tcPr>
            <w:tcW w:w="56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center"/>
              <w:ind w:right="142"/>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auto"/>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401"/>
              <w:spacing w:after="0"/>
              <w:rPr>
                <w:sz w:val="20"/>
                <w:szCs w:val="20"/>
                <w:color w:val="auto"/>
              </w:rPr>
            </w:pPr>
            <w:r>
              <w:rPr>
                <w:rFonts w:ascii="Arial" w:cs="Arial" w:eastAsia="Arial" w:hAnsi="Arial"/>
                <w:sz w:val="14"/>
                <w:szCs w:val="14"/>
                <w:b w:val="1"/>
                <w:bCs w:val="1"/>
                <w:color w:val="auto"/>
              </w:rPr>
              <w:t>Change</w:t>
            </w:r>
          </w:p>
        </w:tc>
      </w:tr>
      <w:tr>
        <w:trPr>
          <w:trHeight w:val="250"/>
        </w:trPr>
        <w:tc>
          <w:tcPr>
            <w:tcW w:w="674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(In millions)</w:t>
            </w:r>
          </w:p>
        </w:tc>
        <w:tc>
          <w:tcPr>
            <w:tcW w:w="420" w:type="dxa"/>
            <w:vAlign w:val="bottom"/>
          </w:tcPr>
          <w:p>
            <w:pPr>
              <w:spacing w:after="0"/>
              <w:rPr>
                <w:sz w:val="21"/>
                <w:szCs w:val="21"/>
                <w:color w:val="auto"/>
              </w:rPr>
            </w:pPr>
          </w:p>
        </w:tc>
        <w:tc>
          <w:tcPr>
            <w:tcW w:w="1060" w:type="dxa"/>
            <w:vAlign w:val="bottom"/>
          </w:tcPr>
          <w:p>
            <w:pPr>
              <w:spacing w:after="0"/>
              <w:rPr>
                <w:sz w:val="21"/>
                <w:szCs w:val="21"/>
                <w:color w:val="auto"/>
              </w:rPr>
            </w:pPr>
          </w:p>
        </w:tc>
      </w:tr>
      <w:tr>
        <w:trPr>
          <w:trHeight w:val="271"/>
        </w:trPr>
        <w:tc>
          <w:tcPr>
            <w:tcW w:w="6740" w:type="dxa"/>
            <w:vAlign w:val="bottom"/>
            <w:shd w:val="clear" w:color="auto" w:fill="CCEEFF"/>
          </w:tcPr>
          <w:p>
            <w:pPr>
              <w:ind w:left="40"/>
              <w:spacing w:after="0"/>
              <w:rPr>
                <w:sz w:val="20"/>
                <w:szCs w:val="20"/>
                <w:color w:val="auto"/>
              </w:rPr>
            </w:pPr>
            <w:r>
              <w:rPr>
                <w:rFonts w:ascii="Arial" w:cs="Arial" w:eastAsia="Arial" w:hAnsi="Arial"/>
                <w:sz w:val="16"/>
                <w:szCs w:val="16"/>
                <w:color w:val="auto"/>
              </w:rPr>
              <w:t>Net cash provided by operating activities</w:t>
            </w:r>
          </w:p>
        </w:tc>
        <w:tc>
          <w:tcPr>
            <w:tcW w:w="960" w:type="dxa"/>
            <w:vAlign w:val="bottom"/>
            <w:shd w:val="clear" w:color="auto" w:fill="CCEEFF"/>
          </w:tcPr>
          <w:p>
            <w:pPr>
              <w:jc w:val="right"/>
              <w:ind w:right="762"/>
              <w:spacing w:after="0"/>
              <w:rPr>
                <w:sz w:val="20"/>
                <w:szCs w:val="20"/>
                <w:color w:val="auto"/>
              </w:rPr>
            </w:pPr>
            <w:r>
              <w:rPr>
                <w:rFonts w:ascii="Arial" w:cs="Arial" w:eastAsia="Arial" w:hAnsi="Arial"/>
                <w:sz w:val="16"/>
                <w:szCs w:val="16"/>
                <w:color w:val="auto"/>
              </w:rPr>
              <w:t>$</w:t>
            </w:r>
          </w:p>
        </w:tc>
        <w:tc>
          <w:tcPr>
            <w:tcW w:w="56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957</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26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633</w:t>
            </w:r>
          </w:p>
        </w:tc>
        <w:tc>
          <w:tcPr>
            <w:tcW w:w="100" w:type="dxa"/>
            <w:vAlign w:val="bottom"/>
            <w:shd w:val="clear" w:color="auto" w:fill="CCEEFF"/>
          </w:tcPr>
          <w:p>
            <w:pPr>
              <w:spacing w:after="0"/>
              <w:rPr>
                <w:sz w:val="23"/>
                <w:szCs w:val="23"/>
                <w:color w:val="auto"/>
              </w:rPr>
            </w:pPr>
          </w:p>
        </w:tc>
        <w:tc>
          <w:tcPr>
            <w:tcW w:w="420" w:type="dxa"/>
            <w:vAlign w:val="bottom"/>
            <w:shd w:val="clear" w:color="auto" w:fill="CCEEFF"/>
          </w:tcPr>
          <w:p>
            <w:pPr>
              <w:jc w:val="right"/>
              <w:ind w:right="219"/>
              <w:spacing w:after="0"/>
              <w:rPr>
                <w:sz w:val="20"/>
                <w:szCs w:val="20"/>
                <w:color w:val="auto"/>
              </w:rPr>
            </w:pPr>
            <w:r>
              <w:rPr>
                <w:rFonts w:ascii="Arial" w:cs="Arial" w:eastAsia="Arial" w:hAnsi="Arial"/>
                <w:sz w:val="16"/>
                <w:szCs w:val="16"/>
                <w:color w:val="auto"/>
              </w:rPr>
              <w:t>$</w:t>
            </w:r>
          </w:p>
        </w:tc>
        <w:tc>
          <w:tcPr>
            <w:tcW w:w="106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324</w:t>
            </w:r>
          </w:p>
        </w:tc>
      </w:tr>
      <w:tr>
        <w:trPr>
          <w:trHeight w:val="262"/>
        </w:trPr>
        <w:tc>
          <w:tcPr>
            <w:tcW w:w="6740" w:type="dxa"/>
            <w:vAlign w:val="bottom"/>
          </w:tcPr>
          <w:p>
            <w:pPr>
              <w:ind w:left="40"/>
              <w:spacing w:after="0"/>
              <w:rPr>
                <w:sz w:val="20"/>
                <w:szCs w:val="20"/>
                <w:color w:val="auto"/>
              </w:rPr>
            </w:pPr>
            <w:r>
              <w:rPr>
                <w:rFonts w:ascii="Arial" w:cs="Arial" w:eastAsia="Arial" w:hAnsi="Arial"/>
                <w:sz w:val="16"/>
                <w:szCs w:val="16"/>
                <w:color w:val="auto"/>
              </w:rPr>
              <w:t>Net cash used in investing activities</w:t>
            </w:r>
          </w:p>
        </w:tc>
        <w:tc>
          <w:tcPr>
            <w:tcW w:w="960" w:type="dxa"/>
            <w:vAlign w:val="bottom"/>
          </w:tcPr>
          <w:p>
            <w:pPr>
              <w:spacing w:after="0"/>
              <w:rPr>
                <w:sz w:val="22"/>
                <w:szCs w:val="22"/>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(474)</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(131)</w:t>
            </w:r>
          </w:p>
        </w:tc>
        <w:tc>
          <w:tcPr>
            <w:tcW w:w="1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(343)</w:t>
            </w:r>
          </w:p>
        </w:tc>
      </w:tr>
      <w:tr>
        <w:trPr>
          <w:trHeight w:val="271"/>
        </w:trPr>
        <w:tc>
          <w:tcPr>
            <w:tcW w:w="6740" w:type="dxa"/>
            <w:vAlign w:val="bottom"/>
            <w:shd w:val="clear" w:color="auto" w:fill="CCEEFF"/>
          </w:tcPr>
          <w:p>
            <w:pPr>
              <w:ind w:left="40"/>
              <w:spacing w:after="0"/>
              <w:rPr>
                <w:sz w:val="20"/>
                <w:szCs w:val="20"/>
                <w:color w:val="auto"/>
              </w:rPr>
            </w:pPr>
            <w:r>
              <w:rPr>
                <w:rFonts w:ascii="Arial" w:cs="Arial" w:eastAsia="Arial" w:hAnsi="Arial"/>
                <w:sz w:val="16"/>
                <w:szCs w:val="16"/>
                <w:color w:val="auto"/>
              </w:rPr>
              <w:t>Net cash provided by financing activities</w:t>
            </w:r>
          </w:p>
        </w:tc>
        <w:tc>
          <w:tcPr>
            <w:tcW w:w="960" w:type="dxa"/>
            <w:vAlign w:val="bottom"/>
            <w:tcBorders>
              <w:bottom w:val="single" w:sz="8" w:color="auto"/>
            </w:tcBorders>
            <w:shd w:val="clear" w:color="auto" w:fill="CCEEFF"/>
          </w:tcPr>
          <w:p>
            <w:pPr>
              <w:spacing w:after="0"/>
              <w:rPr>
                <w:sz w:val="23"/>
                <w:szCs w:val="23"/>
                <w:color w:val="auto"/>
              </w:rPr>
            </w:pPr>
          </w:p>
        </w:tc>
        <w:tc>
          <w:tcPr>
            <w:tcW w:w="56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color w:val="auto"/>
              </w:rPr>
              <w:t>632</w:t>
            </w:r>
          </w:p>
        </w:tc>
        <w:tc>
          <w:tcPr>
            <w:tcW w:w="10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1260" w:type="dxa"/>
            <w:vAlign w:val="bottom"/>
            <w:tcBorders>
              <w:bottom w:val="single" w:sz="8" w:color="auto"/>
            </w:tcBorders>
            <w:shd w:val="clear" w:color="auto" w:fill="CCEEFF"/>
          </w:tcPr>
          <w:p>
            <w:pPr>
              <w:jc w:val="right"/>
              <w:ind w:right="22"/>
              <w:spacing w:after="0"/>
              <w:rPr>
                <w:sz w:val="20"/>
                <w:szCs w:val="20"/>
                <w:color w:val="auto"/>
              </w:rPr>
            </w:pPr>
            <w:r>
              <w:rPr>
                <w:rFonts w:ascii="Arial" w:cs="Arial" w:eastAsia="Arial" w:hAnsi="Arial"/>
                <w:sz w:val="16"/>
                <w:szCs w:val="16"/>
                <w:color w:val="auto"/>
              </w:rPr>
              <w:t>11</w:t>
            </w:r>
          </w:p>
        </w:tc>
        <w:tc>
          <w:tcPr>
            <w:tcW w:w="100" w:type="dxa"/>
            <w:vAlign w:val="bottom"/>
            <w:shd w:val="clear" w:color="auto" w:fill="CCEEFF"/>
          </w:tcPr>
          <w:p>
            <w:pPr>
              <w:spacing w:after="0"/>
              <w:rPr>
                <w:sz w:val="23"/>
                <w:szCs w:val="23"/>
                <w:color w:val="auto"/>
              </w:rPr>
            </w:pPr>
          </w:p>
        </w:tc>
        <w:tc>
          <w:tcPr>
            <w:tcW w:w="42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rPr>
              <w:t>621</w:t>
            </w:r>
          </w:p>
        </w:tc>
      </w:tr>
      <w:tr>
        <w:trPr>
          <w:trHeight w:val="242"/>
        </w:trPr>
        <w:tc>
          <w:tcPr>
            <w:tcW w:w="6740" w:type="dxa"/>
            <w:vAlign w:val="bottom"/>
          </w:tcPr>
          <w:p>
            <w:pPr>
              <w:ind w:left="180"/>
              <w:spacing w:after="0"/>
              <w:rPr>
                <w:sz w:val="20"/>
                <w:szCs w:val="20"/>
                <w:color w:val="auto"/>
              </w:rPr>
            </w:pPr>
            <w:r>
              <w:rPr>
                <w:rFonts w:ascii="Arial" w:cs="Arial" w:eastAsia="Arial" w:hAnsi="Arial"/>
                <w:sz w:val="16"/>
                <w:szCs w:val="16"/>
                <w:color w:val="auto"/>
              </w:rPr>
              <w:t>Net increase in cash and cash equivalents</w:t>
            </w:r>
          </w:p>
        </w:tc>
        <w:tc>
          <w:tcPr>
            <w:tcW w:w="960" w:type="dxa"/>
            <w:vAlign w:val="bottom"/>
            <w:tcBorders>
              <w:bottom w:val="single" w:sz="8" w:color="auto"/>
            </w:tcBorders>
          </w:tcPr>
          <w:p>
            <w:pPr>
              <w:jc w:val="right"/>
              <w:ind w:right="762"/>
              <w:spacing w:after="0"/>
              <w:rPr>
                <w:sz w:val="20"/>
                <w:szCs w:val="20"/>
                <w:color w:val="auto"/>
              </w:rPr>
            </w:pPr>
            <w:r>
              <w:rPr>
                <w:rFonts w:ascii="Arial" w:cs="Arial" w:eastAsia="Arial" w:hAnsi="Arial"/>
                <w:sz w:val="16"/>
                <w:szCs w:val="16"/>
                <w:color w:val="auto"/>
              </w:rPr>
              <w:t>$</w:t>
            </w:r>
          </w:p>
        </w:tc>
        <w:tc>
          <w:tcPr>
            <w:tcW w:w="56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1,115</w:t>
            </w:r>
          </w:p>
        </w:tc>
        <w:tc>
          <w:tcPr>
            <w:tcW w:w="100" w:type="dxa"/>
            <w:vAlign w:val="bottom"/>
          </w:tcPr>
          <w:p>
            <w:pPr>
              <w:spacing w:after="0"/>
              <w:rPr>
                <w:sz w:val="21"/>
                <w:szCs w:val="21"/>
                <w:color w:val="auto"/>
              </w:rPr>
            </w:pPr>
          </w:p>
        </w:tc>
        <w:tc>
          <w:tcPr>
            <w:tcW w:w="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auto"/>
            </w:tcBorders>
          </w:tcPr>
          <w:p>
            <w:pPr>
              <w:jc w:val="right"/>
              <w:ind w:right="22"/>
              <w:spacing w:after="0"/>
              <w:rPr>
                <w:sz w:val="20"/>
                <w:szCs w:val="20"/>
                <w:color w:val="auto"/>
              </w:rPr>
            </w:pPr>
            <w:r>
              <w:rPr>
                <w:rFonts w:ascii="Arial" w:cs="Arial" w:eastAsia="Arial" w:hAnsi="Arial"/>
                <w:sz w:val="16"/>
                <w:szCs w:val="16"/>
                <w:color w:val="auto"/>
              </w:rPr>
              <w:t>513</w:t>
            </w:r>
          </w:p>
        </w:tc>
        <w:tc>
          <w:tcPr>
            <w:tcW w:w="100" w:type="dxa"/>
            <w:vAlign w:val="bottom"/>
          </w:tcPr>
          <w:p>
            <w:pPr>
              <w:spacing w:after="0"/>
              <w:rPr>
                <w:sz w:val="21"/>
                <w:szCs w:val="21"/>
                <w:color w:val="auto"/>
              </w:rPr>
            </w:pPr>
          </w:p>
        </w:tc>
        <w:tc>
          <w:tcPr>
            <w:tcW w:w="42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602</w:t>
            </w:r>
          </w:p>
        </w:tc>
      </w:tr>
      <w:tr>
        <w:trPr>
          <w:trHeight w:val="20"/>
        </w:trPr>
        <w:tc>
          <w:tcPr>
            <w:tcW w:w="674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Activities</w:t>
      </w:r>
    </w:p>
    <w:p>
      <w:pPr>
        <w:spacing w:after="0" w:line="225" w:lineRule="exact"/>
        <w:rPr>
          <w:sz w:val="20"/>
          <w:szCs w:val="20"/>
          <w:color w:val="auto"/>
        </w:rPr>
      </w:pPr>
    </w:p>
    <w:p>
      <w:pPr>
        <w:ind w:right="320"/>
        <w:spacing w:after="0" w:line="264" w:lineRule="auto"/>
        <w:rPr>
          <w:sz w:val="20"/>
          <w:szCs w:val="20"/>
          <w:color w:val="auto"/>
        </w:rPr>
      </w:pPr>
      <w:r>
        <w:rPr>
          <w:rFonts w:ascii="Arial" w:cs="Arial" w:eastAsia="Arial" w:hAnsi="Arial"/>
          <w:sz w:val="18"/>
          <w:szCs w:val="18"/>
          <w:color w:val="auto"/>
        </w:rPr>
        <w:t>Cash provided by operating activities increased $324 million in the nine months ended September 30, 2017 compared with the nine months ended September 30, 2016. The change in net (loss) income, partially offset by the effect of adjustments to reconcile net loss to net cash provided by operating activities, reduced cash provided by operating activities by $169 million. This change was more than offset by the aggregate of the following changes:</w:t>
      </w:r>
    </w:p>
    <w:p>
      <w:pPr>
        <w:spacing w:after="0" w:line="170" w:lineRule="exact"/>
        <w:rPr>
          <w:sz w:val="20"/>
          <w:szCs w:val="20"/>
          <w:color w:val="auto"/>
        </w:rPr>
      </w:pPr>
    </w:p>
    <w:p>
      <w:pPr>
        <w:ind w:right="440"/>
        <w:spacing w:after="0" w:line="292" w:lineRule="auto"/>
        <w:rPr>
          <w:sz w:val="20"/>
          <w:szCs w:val="20"/>
          <w:color w:val="auto"/>
        </w:rPr>
      </w:pPr>
      <w:r>
        <w:rPr>
          <w:rFonts w:ascii="Arial" w:cs="Arial" w:eastAsia="Arial" w:hAnsi="Arial"/>
          <w:sz w:val="18"/>
          <w:szCs w:val="18"/>
          <w:i w:val="1"/>
          <w:iCs w:val="1"/>
          <w:color w:val="auto"/>
        </w:rPr>
        <w:t xml:space="preserve">Medical claims and benefits payable. </w:t>
      </w:r>
      <w:r>
        <w:rPr>
          <w:rFonts w:ascii="Arial" w:cs="Arial" w:eastAsia="Arial" w:hAnsi="Arial"/>
          <w:sz w:val="18"/>
          <w:szCs w:val="18"/>
          <w:color w:val="auto"/>
        </w:rPr>
        <w:t>In 2017, the change in medical claims and benefits payable increased cash flows from operations by</w:t>
      </w:r>
      <w:r>
        <w:rPr>
          <w:rFonts w:ascii="Arial" w:cs="Arial" w:eastAsia="Arial" w:hAnsi="Arial"/>
          <w:sz w:val="18"/>
          <w:szCs w:val="18"/>
          <w:i w:val="1"/>
          <w:iCs w:val="1"/>
          <w:color w:val="auto"/>
        </w:rPr>
        <w:t xml:space="preserve"> </w:t>
      </w:r>
      <w:r>
        <w:rPr>
          <w:rFonts w:ascii="Arial" w:cs="Arial" w:eastAsia="Arial" w:hAnsi="Arial"/>
          <w:sz w:val="18"/>
          <w:szCs w:val="18"/>
          <w:color w:val="auto"/>
        </w:rPr>
        <w:t>$381 million, primarily due to additional accruals relating to increased membership in 2017.</w:t>
      </w:r>
    </w:p>
    <w:p>
      <w:pPr>
        <w:spacing w:after="0" w:line="145" w:lineRule="exact"/>
        <w:rPr>
          <w:sz w:val="20"/>
          <w:szCs w:val="20"/>
          <w:color w:val="auto"/>
        </w:rPr>
      </w:pPr>
    </w:p>
    <w:p>
      <w:pPr>
        <w:spacing w:after="0" w:line="258" w:lineRule="auto"/>
        <w:rPr>
          <w:sz w:val="20"/>
          <w:szCs w:val="20"/>
          <w:color w:val="auto"/>
        </w:rPr>
      </w:pPr>
      <w:r>
        <w:rPr>
          <w:rFonts w:ascii="Arial" w:cs="Arial" w:eastAsia="Arial" w:hAnsi="Arial"/>
          <w:sz w:val="18"/>
          <w:szCs w:val="18"/>
          <w:i w:val="1"/>
          <w:iCs w:val="1"/>
          <w:color w:val="auto"/>
        </w:rPr>
        <w:t xml:space="preserve">Receivables and deferred revenue. </w:t>
      </w:r>
      <w:r>
        <w:rPr>
          <w:rFonts w:ascii="Arial" w:cs="Arial" w:eastAsia="Arial" w:hAnsi="Arial"/>
          <w:sz w:val="18"/>
          <w:szCs w:val="18"/>
          <w:color w:val="auto"/>
        </w:rPr>
        <w:t>In 2017, the aggregate change in receivables and deferred revenue increased cash flows from operations</w:t>
      </w:r>
      <w:r>
        <w:rPr>
          <w:rFonts w:ascii="Arial" w:cs="Arial" w:eastAsia="Arial" w:hAnsi="Arial"/>
          <w:sz w:val="18"/>
          <w:szCs w:val="18"/>
          <w:i w:val="1"/>
          <w:iCs w:val="1"/>
          <w:color w:val="auto"/>
        </w:rPr>
        <w:t xml:space="preserve"> </w:t>
      </w:r>
      <w:r>
        <w:rPr>
          <w:rFonts w:ascii="Arial" w:cs="Arial" w:eastAsia="Arial" w:hAnsi="Arial"/>
          <w:sz w:val="18"/>
          <w:szCs w:val="18"/>
          <w:color w:val="auto"/>
        </w:rPr>
        <w:t>by $395 million. Cash flows from operations in each period were impacted by the timing of premium revenues receipts. In general, state or federal payors may delay our premium payments, which we record as a receivable, or they may prepay the following month’s premium payment, which we record as deferred revenue. We typically receive capitation payments monthly; however, state or federal payors may decide to adjust their payment schedules which could positively or negatively impact our reported cash flows from operating activities in any given period.</w:t>
      </w:r>
    </w:p>
    <w:p>
      <w:pPr>
        <w:spacing w:after="0" w:line="178" w:lineRule="exact"/>
        <w:rPr>
          <w:sz w:val="20"/>
          <w:szCs w:val="20"/>
          <w:color w:val="auto"/>
        </w:rPr>
      </w:pPr>
    </w:p>
    <w:p>
      <w:pPr>
        <w:ind w:right="60"/>
        <w:spacing w:after="0" w:line="292" w:lineRule="auto"/>
        <w:rPr>
          <w:sz w:val="20"/>
          <w:szCs w:val="20"/>
          <w:color w:val="auto"/>
        </w:rPr>
      </w:pPr>
      <w:r>
        <w:rPr>
          <w:rFonts w:ascii="Arial" w:cs="Arial" w:eastAsia="Arial" w:hAnsi="Arial"/>
          <w:sz w:val="18"/>
          <w:szCs w:val="18"/>
          <w:i w:val="1"/>
          <w:iCs w:val="1"/>
          <w:color w:val="auto"/>
        </w:rPr>
        <w:t xml:space="preserve">Amounts due government agencies. </w:t>
      </w:r>
      <w:r>
        <w:rPr>
          <w:rFonts w:ascii="Arial" w:cs="Arial" w:eastAsia="Arial" w:hAnsi="Arial"/>
          <w:sz w:val="18"/>
          <w:szCs w:val="18"/>
          <w:color w:val="auto"/>
        </w:rPr>
        <w:t>In 2017, the change in amounts due government agencies decreased cash flows from operations by $381</w:t>
      </w:r>
      <w:r>
        <w:rPr>
          <w:rFonts w:ascii="Arial" w:cs="Arial" w:eastAsia="Arial" w:hAnsi="Arial"/>
          <w:sz w:val="18"/>
          <w:szCs w:val="18"/>
          <w:i w:val="1"/>
          <w:iCs w:val="1"/>
          <w:color w:val="auto"/>
        </w:rPr>
        <w:t xml:space="preserve"> </w:t>
      </w:r>
      <w:r>
        <w:rPr>
          <w:rFonts w:ascii="Arial" w:cs="Arial" w:eastAsia="Arial" w:hAnsi="Arial"/>
          <w:sz w:val="18"/>
          <w:szCs w:val="18"/>
          <w:color w:val="auto"/>
        </w:rPr>
        <w:t>million, primarily due to payments in the third quarter of 2017.</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Investing Activities</w:t>
      </w:r>
    </w:p>
    <w:p>
      <w:pPr>
        <w:spacing w:after="0" w:line="225" w:lineRule="exact"/>
        <w:rPr>
          <w:sz w:val="20"/>
          <w:szCs w:val="20"/>
          <w:color w:val="auto"/>
        </w:rPr>
      </w:pPr>
    </w:p>
    <w:p>
      <w:pPr>
        <w:ind w:right="420"/>
        <w:spacing w:after="0" w:line="292" w:lineRule="auto"/>
        <w:rPr>
          <w:sz w:val="20"/>
          <w:szCs w:val="20"/>
          <w:color w:val="auto"/>
        </w:rPr>
      </w:pPr>
      <w:r>
        <w:rPr>
          <w:rFonts w:ascii="Arial" w:cs="Arial" w:eastAsia="Arial" w:hAnsi="Arial"/>
          <w:sz w:val="18"/>
          <w:szCs w:val="18"/>
          <w:color w:val="auto"/>
        </w:rPr>
        <w:t>Net cash used in investing activities increased $343 million in the nine months ended September 30, 2017 compared with the nine months ended September 30, 2016, primarily due to higher purchases of investments, net of sales and maturities, in the current year.</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Financing Activities</w:t>
      </w:r>
    </w:p>
    <w:p>
      <w:pPr>
        <w:spacing w:after="0" w:line="225" w:lineRule="exact"/>
        <w:rPr>
          <w:sz w:val="20"/>
          <w:szCs w:val="20"/>
          <w:color w:val="auto"/>
        </w:rPr>
      </w:pPr>
    </w:p>
    <w:p>
      <w:pPr>
        <w:ind w:right="60"/>
        <w:spacing w:after="0" w:line="292" w:lineRule="auto"/>
        <w:rPr>
          <w:sz w:val="20"/>
          <w:szCs w:val="20"/>
          <w:color w:val="auto"/>
        </w:rPr>
      </w:pPr>
      <w:r>
        <w:rPr>
          <w:rFonts w:ascii="Arial" w:cs="Arial" w:eastAsia="Arial" w:hAnsi="Arial"/>
          <w:sz w:val="18"/>
          <w:szCs w:val="18"/>
          <w:color w:val="auto"/>
        </w:rPr>
        <w:t>Net cash provided by financing activities increased $621 million in the nine months ended September 30, 2017 compared with the nine months ended September 30, 2016, due to proceeds received from the 4.875% Notes offering and borrowings under the Credit Facility.</w:t>
      </w:r>
    </w:p>
    <w:p>
      <w:pPr>
        <w:spacing w:after="0" w:line="341" w:lineRule="exact"/>
        <w:rPr>
          <w:sz w:val="20"/>
          <w:szCs w:val="20"/>
          <w:color w:val="auto"/>
        </w:rPr>
      </w:pPr>
    </w:p>
    <w:p>
      <w:pPr>
        <w:spacing w:after="0"/>
        <w:rPr>
          <w:sz w:val="20"/>
          <w:szCs w:val="20"/>
          <w:color w:val="auto"/>
        </w:rPr>
      </w:pPr>
      <w:r>
        <w:rPr>
          <w:rFonts w:ascii="Arial" w:cs="Arial" w:eastAsia="Arial" w:hAnsi="Arial"/>
          <w:sz w:val="32"/>
          <w:szCs w:val="32"/>
          <w:b w:val="1"/>
          <w:bCs w:val="1"/>
          <w:color w:val="ACACAC"/>
        </w:rPr>
        <w:t>FINANCIAL CONDITION</w:t>
      </w:r>
    </w:p>
    <w:p>
      <w:pPr>
        <w:spacing w:after="0" w:line="246" w:lineRule="exact"/>
        <w:rPr>
          <w:sz w:val="20"/>
          <w:szCs w:val="20"/>
          <w:color w:val="auto"/>
        </w:rPr>
      </w:pPr>
    </w:p>
    <w:p>
      <w:pPr>
        <w:ind w:right="40"/>
        <w:spacing w:after="0" w:line="271" w:lineRule="auto"/>
        <w:rPr>
          <w:sz w:val="20"/>
          <w:szCs w:val="20"/>
          <w:color w:val="auto"/>
        </w:rPr>
      </w:pPr>
      <w:r>
        <w:rPr>
          <w:rFonts w:ascii="Arial" w:cs="Arial" w:eastAsia="Arial" w:hAnsi="Arial"/>
          <w:sz w:val="18"/>
          <w:szCs w:val="18"/>
          <w:color w:val="auto"/>
        </w:rPr>
        <w:t>We believe that our cash resources, combined with borrowing capacity available under our Credit Facility, as discussed further below in “Future Sources and Uses of Liquidity—Sources”, and internally generated funds will be sufficient to support costs under the Restructuring Plan, operations, regulatory requirements, and capital expenditures for at least the next 12 months.</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color w:val="auto"/>
        </w:rPr>
        <w:t>On a consolidated basis, at September 30, 2017, our working capital was $1,746 million, compared with $1,418 million at December 31, 2016.</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color w:val="auto"/>
        </w:rPr>
        <w:t>At September 30, 2017, our cash and investments amounted to $6,166 million, compared with $4,689 million at December 31, 2016.</w:t>
      </w:r>
    </w:p>
    <w:p>
      <w:pPr>
        <w:spacing w:after="0" w:line="203" w:lineRule="exact"/>
        <w:rPr>
          <w:sz w:val="20"/>
          <w:szCs w:val="20"/>
          <w:color w:val="auto"/>
        </w:rPr>
      </w:pPr>
    </w:p>
    <w:p>
      <w:pPr>
        <w:ind w:right="220"/>
        <w:spacing w:after="0" w:line="292" w:lineRule="auto"/>
        <w:rPr>
          <w:sz w:val="20"/>
          <w:szCs w:val="20"/>
          <w:color w:val="auto"/>
        </w:rPr>
      </w:pPr>
      <w:r>
        <w:rPr>
          <w:rFonts w:ascii="Arial" w:cs="Arial" w:eastAsia="Arial" w:hAnsi="Arial"/>
          <w:sz w:val="18"/>
          <w:szCs w:val="18"/>
          <w:i w:val="1"/>
          <w:iCs w:val="1"/>
          <w:color w:val="auto"/>
        </w:rPr>
        <w:t xml:space="preserve">Debt Ratings. </w:t>
      </w:r>
      <w:r>
        <w:rPr>
          <w:rFonts w:ascii="Arial" w:cs="Arial" w:eastAsia="Arial" w:hAnsi="Arial"/>
          <w:sz w:val="18"/>
          <w:szCs w:val="18"/>
          <w:color w:val="auto"/>
        </w:rPr>
        <w:t>Our 5.375% Notes are rated “BB” by Standard &amp; Poor’s, and “B2” by Moody’s Investor Service, Inc. A significant downgrade in</w:t>
      </w:r>
      <w:r>
        <w:rPr>
          <w:rFonts w:ascii="Arial" w:cs="Arial" w:eastAsia="Arial" w:hAnsi="Arial"/>
          <w:sz w:val="18"/>
          <w:szCs w:val="18"/>
          <w:i w:val="1"/>
          <w:iCs w:val="1"/>
          <w:color w:val="auto"/>
        </w:rPr>
        <w:t xml:space="preserve"> </w:t>
      </w:r>
      <w:r>
        <w:rPr>
          <w:rFonts w:ascii="Arial" w:cs="Arial" w:eastAsia="Arial" w:hAnsi="Arial"/>
          <w:sz w:val="18"/>
          <w:szCs w:val="18"/>
          <w:color w:val="auto"/>
        </w:rPr>
        <w:t>our ratings could adversely affect our borrowing capacity and costs.</w:t>
      </w:r>
    </w:p>
    <w:p>
      <w:pPr>
        <w:spacing w:after="0" w:line="28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Molina Healthcare, Inc. 2017 Form 10-Q | 58</w:t>
      </w:r>
    </w:p>
    <w:p>
      <w:pPr>
        <w:sectPr>
          <w:pgSz w:w="11900" w:h="16838" w:orient="portrait"/>
          <w:cols w:equalWidth="0" w:num="1">
            <w:col w:w="11420"/>
          </w:cols>
          <w:pgMar w:left="240" w:top="116" w:right="239" w:bottom="1440" w:gutter="0" w:footer="0" w:header="0"/>
        </w:sectPr>
      </w:pPr>
    </w:p>
    <w:bookmarkStart w:id="58" w:name="page59"/>
    <w:bookmarkEnd w:id="5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3" w:lineRule="exact"/>
        <w:rPr>
          <w:sz w:val="20"/>
          <w:szCs w:val="20"/>
          <w:color w:val="auto"/>
        </w:rPr>
      </w:pPr>
    </w:p>
    <w:p>
      <w:pPr>
        <w:ind w:right="640"/>
        <w:spacing w:after="0" w:line="292" w:lineRule="auto"/>
        <w:rPr>
          <w:sz w:val="20"/>
          <w:szCs w:val="20"/>
          <w:color w:val="auto"/>
        </w:rPr>
      </w:pPr>
      <w:r>
        <w:rPr>
          <w:rFonts w:ascii="Arial" w:cs="Arial" w:eastAsia="Arial" w:hAnsi="Arial"/>
          <w:sz w:val="18"/>
          <w:szCs w:val="18"/>
          <w:i w:val="1"/>
          <w:iCs w:val="1"/>
          <w:color w:val="auto"/>
        </w:rPr>
        <w:t xml:space="preserve">Financial Covenants. </w:t>
      </w:r>
      <w:r>
        <w:rPr>
          <w:rFonts w:ascii="Arial" w:cs="Arial" w:eastAsia="Arial" w:hAnsi="Arial"/>
          <w:sz w:val="18"/>
          <w:szCs w:val="18"/>
          <w:color w:val="auto"/>
        </w:rPr>
        <w:t>Our Credit Facility contains customary non-financial and financial covenants, including a net leverage ratio and an</w:t>
      </w:r>
      <w:r>
        <w:rPr>
          <w:rFonts w:ascii="Arial" w:cs="Arial" w:eastAsia="Arial" w:hAnsi="Arial"/>
          <w:sz w:val="18"/>
          <w:szCs w:val="18"/>
          <w:i w:val="1"/>
          <w:iCs w:val="1"/>
          <w:color w:val="auto"/>
        </w:rPr>
        <w:t xml:space="preserve"> </w:t>
      </w:r>
      <w:r>
        <w:rPr>
          <w:rFonts w:ascii="Arial" w:cs="Arial" w:eastAsia="Arial" w:hAnsi="Arial"/>
          <w:sz w:val="18"/>
          <w:szCs w:val="18"/>
          <w:color w:val="auto"/>
        </w:rPr>
        <w:t>interest coverage ratio. Such ratios, presented below, are computed as defined by the terms of the Credit Facility.</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5560" w:type="dxa"/>
            <w:vAlign w:val="bottom"/>
          </w:tcPr>
          <w:p>
            <w:pPr>
              <w:spacing w:after="0"/>
              <w:rPr>
                <w:sz w:val="16"/>
                <w:szCs w:val="16"/>
                <w:color w:val="auto"/>
              </w:rPr>
            </w:pPr>
          </w:p>
        </w:tc>
        <w:tc>
          <w:tcPr>
            <w:tcW w:w="4260" w:type="dxa"/>
            <w:vAlign w:val="bottom"/>
            <w:gridSpan w:val="2"/>
          </w:tcPr>
          <w:p>
            <w:pPr>
              <w:jc w:val="center"/>
              <w:ind w:left="2379"/>
              <w:spacing w:after="0"/>
              <w:rPr>
                <w:sz w:val="20"/>
                <w:szCs w:val="20"/>
                <w:color w:val="auto"/>
              </w:rPr>
            </w:pPr>
            <w:r>
              <w:rPr>
                <w:rFonts w:ascii="Arial" w:cs="Arial" w:eastAsia="Arial" w:hAnsi="Arial"/>
                <w:sz w:val="16"/>
                <w:szCs w:val="16"/>
                <w:b w:val="1"/>
                <w:bCs w:val="1"/>
                <w:color w:val="auto"/>
              </w:rPr>
              <w:t>Required Per</w:t>
            </w:r>
          </w:p>
        </w:tc>
        <w:tc>
          <w:tcPr>
            <w:tcW w:w="1600" w:type="dxa"/>
            <w:vAlign w:val="bottom"/>
          </w:tcPr>
          <w:p>
            <w:pPr>
              <w:ind w:left="160"/>
              <w:spacing w:after="0"/>
              <w:rPr>
                <w:sz w:val="20"/>
                <w:szCs w:val="20"/>
                <w:color w:val="auto"/>
              </w:rPr>
            </w:pPr>
            <w:r>
              <w:rPr>
                <w:rFonts w:ascii="Arial" w:cs="Arial" w:eastAsia="Arial" w:hAnsi="Arial"/>
                <w:sz w:val="16"/>
                <w:szCs w:val="16"/>
                <w:b w:val="1"/>
                <w:bCs w:val="1"/>
                <w:color w:val="auto"/>
              </w:rPr>
              <w:t>As of September</w:t>
            </w:r>
          </w:p>
        </w:tc>
      </w:tr>
      <w:tr>
        <w:trPr>
          <w:trHeight w:val="232"/>
        </w:trPr>
        <w:tc>
          <w:tcPr>
            <w:tcW w:w="5560" w:type="dxa"/>
            <w:vAlign w:val="bottom"/>
          </w:tcPr>
          <w:p>
            <w:pPr>
              <w:ind w:left="40"/>
              <w:spacing w:after="0"/>
              <w:rPr>
                <w:sz w:val="20"/>
                <w:szCs w:val="20"/>
                <w:color w:val="auto"/>
              </w:rPr>
            </w:pPr>
            <w:r>
              <w:rPr>
                <w:rFonts w:ascii="Arial" w:cs="Arial" w:eastAsia="Arial" w:hAnsi="Arial"/>
                <w:sz w:val="16"/>
                <w:szCs w:val="16"/>
                <w:b w:val="1"/>
                <w:bCs w:val="1"/>
                <w:color w:val="auto"/>
              </w:rPr>
              <w:t>Credit Facility Financial Covenants</w:t>
            </w:r>
          </w:p>
        </w:tc>
        <w:tc>
          <w:tcPr>
            <w:tcW w:w="4260" w:type="dxa"/>
            <w:vAlign w:val="bottom"/>
            <w:gridSpan w:val="2"/>
          </w:tcPr>
          <w:p>
            <w:pPr>
              <w:jc w:val="center"/>
              <w:ind w:left="2379"/>
              <w:spacing w:after="0"/>
              <w:rPr>
                <w:sz w:val="20"/>
                <w:szCs w:val="20"/>
                <w:color w:val="auto"/>
              </w:rPr>
            </w:pPr>
            <w:r>
              <w:rPr>
                <w:rFonts w:ascii="Arial" w:cs="Arial" w:eastAsia="Arial" w:hAnsi="Arial"/>
                <w:sz w:val="16"/>
                <w:szCs w:val="16"/>
                <w:b w:val="1"/>
                <w:bCs w:val="1"/>
                <w:color w:val="auto"/>
              </w:rPr>
              <w:t>Agreement</w:t>
            </w:r>
          </w:p>
        </w:tc>
        <w:tc>
          <w:tcPr>
            <w:tcW w:w="1600" w:type="dxa"/>
            <w:vAlign w:val="bottom"/>
          </w:tcPr>
          <w:p>
            <w:pPr>
              <w:jc w:val="center"/>
              <w:spacing w:after="0"/>
              <w:rPr>
                <w:sz w:val="20"/>
                <w:szCs w:val="20"/>
                <w:color w:val="auto"/>
              </w:rPr>
            </w:pPr>
            <w:r>
              <w:rPr>
                <w:rFonts w:ascii="Arial" w:cs="Arial" w:eastAsia="Arial" w:hAnsi="Arial"/>
                <w:sz w:val="16"/>
                <w:szCs w:val="16"/>
                <w:b w:val="1"/>
                <w:bCs w:val="1"/>
                <w:color w:val="auto"/>
              </w:rPr>
              <w:t>30, 2017</w:t>
            </w:r>
          </w:p>
        </w:tc>
      </w:tr>
      <w:tr>
        <w:trPr>
          <w:trHeight w:val="321"/>
        </w:trPr>
        <w:tc>
          <w:tcPr>
            <w:tcW w:w="5560" w:type="dxa"/>
            <w:vAlign w:val="bottom"/>
            <w:tcBorders>
              <w:top w:val="single" w:sz="8" w:color="auto"/>
            </w:tcBorders>
          </w:tcPr>
          <w:p>
            <w:pPr>
              <w:spacing w:after="0"/>
              <w:rPr>
                <w:sz w:val="24"/>
                <w:szCs w:val="24"/>
                <w:color w:val="auto"/>
              </w:rPr>
            </w:pPr>
          </w:p>
        </w:tc>
        <w:tc>
          <w:tcPr>
            <w:tcW w:w="41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600" w:type="dxa"/>
            <w:vAlign w:val="bottom"/>
            <w:tcBorders>
              <w:top w:val="single" w:sz="8" w:color="auto"/>
            </w:tcBorders>
          </w:tcPr>
          <w:p>
            <w:pPr>
              <w:spacing w:after="0"/>
              <w:rPr>
                <w:sz w:val="24"/>
                <w:szCs w:val="24"/>
                <w:color w:val="auto"/>
              </w:rPr>
            </w:pPr>
          </w:p>
        </w:tc>
      </w:tr>
      <w:tr>
        <w:trPr>
          <w:trHeight w:val="270"/>
        </w:trPr>
        <w:tc>
          <w:tcPr>
            <w:tcW w:w="5560" w:type="dxa"/>
            <w:vAlign w:val="bottom"/>
            <w:shd w:val="clear" w:color="auto" w:fill="CCEEFF"/>
          </w:tcPr>
          <w:p>
            <w:pPr>
              <w:ind w:left="40"/>
              <w:spacing w:after="0"/>
              <w:rPr>
                <w:sz w:val="20"/>
                <w:szCs w:val="20"/>
                <w:color w:val="auto"/>
              </w:rPr>
            </w:pPr>
            <w:r>
              <w:rPr>
                <w:rFonts w:ascii="Arial" w:cs="Arial" w:eastAsia="Arial" w:hAnsi="Arial"/>
                <w:sz w:val="16"/>
                <w:szCs w:val="16"/>
                <w:color w:val="auto"/>
              </w:rPr>
              <w:t>Net leverage ratio</w:t>
            </w:r>
          </w:p>
        </w:tc>
        <w:tc>
          <w:tcPr>
            <w:tcW w:w="4260" w:type="dxa"/>
            <w:vAlign w:val="bottom"/>
            <w:gridSpan w:val="2"/>
            <w:shd w:val="clear" w:color="auto" w:fill="CCEEFF"/>
          </w:tcPr>
          <w:p>
            <w:pPr>
              <w:jc w:val="center"/>
              <w:ind w:left="2379"/>
              <w:spacing w:after="0"/>
              <w:rPr>
                <w:sz w:val="20"/>
                <w:szCs w:val="20"/>
                <w:color w:val="auto"/>
              </w:rPr>
            </w:pPr>
            <w:r>
              <w:rPr>
                <w:rFonts w:ascii="Arial" w:cs="Arial" w:eastAsia="Arial" w:hAnsi="Arial"/>
                <w:sz w:val="16"/>
                <w:szCs w:val="16"/>
                <w:color w:val="auto"/>
              </w:rPr>
              <w:t>&lt;4.0x</w:t>
            </w:r>
          </w:p>
        </w:tc>
        <w:tc>
          <w:tcPr>
            <w:tcW w:w="160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2.5x</w:t>
            </w:r>
          </w:p>
        </w:tc>
      </w:tr>
      <w:tr>
        <w:trPr>
          <w:trHeight w:val="255"/>
        </w:trPr>
        <w:tc>
          <w:tcPr>
            <w:tcW w:w="5560" w:type="dxa"/>
            <w:vAlign w:val="bottom"/>
          </w:tcPr>
          <w:p>
            <w:pPr>
              <w:ind w:left="40"/>
              <w:spacing w:after="0"/>
              <w:rPr>
                <w:sz w:val="20"/>
                <w:szCs w:val="20"/>
                <w:color w:val="auto"/>
              </w:rPr>
            </w:pPr>
            <w:r>
              <w:rPr>
                <w:rFonts w:ascii="Arial" w:cs="Arial" w:eastAsia="Arial" w:hAnsi="Arial"/>
                <w:sz w:val="16"/>
                <w:szCs w:val="16"/>
                <w:color w:val="auto"/>
              </w:rPr>
              <w:t>Interest coverage ratio</w:t>
            </w:r>
          </w:p>
        </w:tc>
        <w:tc>
          <w:tcPr>
            <w:tcW w:w="4260" w:type="dxa"/>
            <w:vAlign w:val="bottom"/>
            <w:gridSpan w:val="2"/>
          </w:tcPr>
          <w:p>
            <w:pPr>
              <w:jc w:val="center"/>
              <w:ind w:left="2379"/>
              <w:spacing w:after="0"/>
              <w:rPr>
                <w:sz w:val="20"/>
                <w:szCs w:val="20"/>
                <w:color w:val="auto"/>
              </w:rPr>
            </w:pPr>
            <w:r>
              <w:rPr>
                <w:rFonts w:ascii="Arial" w:cs="Arial" w:eastAsia="Arial" w:hAnsi="Arial"/>
                <w:sz w:val="16"/>
                <w:szCs w:val="16"/>
                <w:color w:val="auto"/>
              </w:rPr>
              <w:t>&gt;3.5x</w:t>
            </w:r>
          </w:p>
        </w:tc>
        <w:tc>
          <w:tcPr>
            <w:tcW w:w="1600" w:type="dxa"/>
            <w:vAlign w:val="bottom"/>
          </w:tcPr>
          <w:p>
            <w:pPr>
              <w:jc w:val="center"/>
              <w:spacing w:after="0"/>
              <w:rPr>
                <w:sz w:val="20"/>
                <w:szCs w:val="20"/>
                <w:color w:val="auto"/>
              </w:rPr>
            </w:pPr>
            <w:r>
              <w:rPr>
                <w:rFonts w:ascii="Arial" w:cs="Arial" w:eastAsia="Arial" w:hAnsi="Arial"/>
                <w:sz w:val="16"/>
                <w:szCs w:val="16"/>
                <w:color w:val="auto"/>
                <w:w w:val="99"/>
              </w:rPr>
              <w:t>8.8x</w:t>
            </w:r>
          </w:p>
        </w:tc>
      </w:tr>
    </w:tbl>
    <w:p>
      <w:pPr>
        <w:spacing w:after="0" w:line="209" w:lineRule="exact"/>
        <w:rPr>
          <w:sz w:val="20"/>
          <w:szCs w:val="20"/>
          <w:color w:val="auto"/>
        </w:rPr>
      </w:pPr>
    </w:p>
    <w:p>
      <w:pPr>
        <w:ind w:right="300"/>
        <w:spacing w:after="0" w:line="264" w:lineRule="auto"/>
        <w:rPr>
          <w:sz w:val="20"/>
          <w:szCs w:val="20"/>
          <w:color w:val="auto"/>
        </w:rPr>
      </w:pPr>
      <w:r>
        <w:rPr>
          <w:rFonts w:ascii="Arial" w:cs="Arial" w:eastAsia="Arial" w:hAnsi="Arial"/>
          <w:sz w:val="18"/>
          <w:szCs w:val="18"/>
          <w:color w:val="auto"/>
        </w:rPr>
        <w:t>In addition, the terms of our 4.875% Notes, 5.375% Notes and each of the 1.125% and 1.625% Convertible Notes contain cross-default provisions with the Credit Facility that are triggered upon an event of default under the Credit Facility, and when borrowings under the Credit Facility equal or exceed certain amounts as defined in the related indentures. As of September 30, 2017, we were in compliance with all covenants under the Credit Facility.</w:t>
      </w:r>
    </w:p>
    <w:p>
      <w:pPr>
        <w:spacing w:after="0" w:line="200" w:lineRule="exact"/>
        <w:rPr>
          <w:sz w:val="20"/>
          <w:szCs w:val="20"/>
          <w:color w:val="auto"/>
        </w:rPr>
      </w:pPr>
    </w:p>
    <w:p>
      <w:pPr>
        <w:spacing w:after="0" w:line="382" w:lineRule="exact"/>
        <w:rPr>
          <w:sz w:val="20"/>
          <w:szCs w:val="20"/>
          <w:color w:val="auto"/>
        </w:rPr>
      </w:pPr>
    </w:p>
    <w:p>
      <w:pPr>
        <w:spacing w:after="0"/>
        <w:rPr>
          <w:sz w:val="20"/>
          <w:szCs w:val="20"/>
          <w:color w:val="auto"/>
        </w:rPr>
      </w:pPr>
      <w:r>
        <w:rPr>
          <w:rFonts w:ascii="Arial" w:cs="Arial" w:eastAsia="Arial" w:hAnsi="Arial"/>
          <w:sz w:val="32"/>
          <w:szCs w:val="32"/>
          <w:b w:val="1"/>
          <w:bCs w:val="1"/>
          <w:color w:val="ACACAC"/>
        </w:rPr>
        <w:t>FUTURE SOURCES AND USES OF LIQUIDITY</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Sources</w:t>
      </w:r>
    </w:p>
    <w:p>
      <w:pPr>
        <w:spacing w:after="0" w:line="225" w:lineRule="exact"/>
        <w:rPr>
          <w:sz w:val="20"/>
          <w:szCs w:val="20"/>
          <w:color w:val="auto"/>
        </w:rPr>
      </w:pPr>
    </w:p>
    <w:p>
      <w:pPr>
        <w:ind w:right="280"/>
        <w:spacing w:after="0" w:line="271" w:lineRule="auto"/>
        <w:rPr>
          <w:sz w:val="20"/>
          <w:szCs w:val="20"/>
          <w:color w:val="auto"/>
        </w:rPr>
      </w:pPr>
      <w:r>
        <w:rPr>
          <w:rFonts w:ascii="Arial" w:cs="Arial" w:eastAsia="Arial" w:hAnsi="Arial"/>
          <w:sz w:val="18"/>
          <w:szCs w:val="18"/>
          <w:color w:val="auto"/>
        </w:rPr>
        <w:t>Our Health Plans segment regulated subsidiaries generate significant cash flows from premium revenue, which we generally receive a short time before we pay for the related health care services. Such cash flows are our primary source of liquidity. Thus, any future decline in our profitability may have a negative impact on our liquidity.</w:t>
      </w:r>
    </w:p>
    <w:p>
      <w:pPr>
        <w:spacing w:after="0" w:line="163" w:lineRule="exact"/>
        <w:rPr>
          <w:sz w:val="20"/>
          <w:szCs w:val="20"/>
          <w:color w:val="auto"/>
        </w:rPr>
      </w:pPr>
    </w:p>
    <w:p>
      <w:pPr>
        <w:ind w:right="180"/>
        <w:spacing w:after="0" w:line="258" w:lineRule="auto"/>
        <w:rPr>
          <w:sz w:val="20"/>
          <w:szCs w:val="20"/>
          <w:color w:val="auto"/>
        </w:rPr>
      </w:pPr>
      <w:r>
        <w:rPr>
          <w:rFonts w:ascii="Arial" w:cs="Arial" w:eastAsia="Arial" w:hAnsi="Arial"/>
          <w:sz w:val="18"/>
          <w:szCs w:val="18"/>
          <w:i w:val="1"/>
          <w:iCs w:val="1"/>
          <w:color w:val="auto"/>
        </w:rPr>
        <w:t xml:space="preserve">Dividends from Subsidiaries. </w:t>
      </w:r>
      <w:r>
        <w:rPr>
          <w:rFonts w:ascii="Arial" w:cs="Arial" w:eastAsia="Arial" w:hAnsi="Arial"/>
          <w:sz w:val="18"/>
          <w:szCs w:val="18"/>
          <w:color w:val="auto"/>
        </w:rPr>
        <w:t>When available and as permitted by applicable regulations, cash in excess of the capital needs of our regulated</w:t>
      </w:r>
      <w:r>
        <w:rPr>
          <w:rFonts w:ascii="Arial" w:cs="Arial" w:eastAsia="Arial" w:hAnsi="Arial"/>
          <w:sz w:val="18"/>
          <w:szCs w:val="18"/>
          <w:i w:val="1"/>
          <w:iCs w:val="1"/>
          <w:color w:val="auto"/>
        </w:rPr>
        <w:t xml:space="preserve"> </w:t>
      </w:r>
      <w:r>
        <w:rPr>
          <w:rFonts w:ascii="Arial" w:cs="Arial" w:eastAsia="Arial" w:hAnsi="Arial"/>
          <w:sz w:val="18"/>
          <w:szCs w:val="18"/>
          <w:color w:val="auto"/>
        </w:rPr>
        <w:t>health plans is generally paid in the form of dividends to our unregulated parent company to be used for general corporate purposes. In the nine months ended September 30, 2017 and 2016, we received $100 million and $50 million, respectively, in dividends from our regulated health plan subsidiaries. We received $36 million in dividends from our unregulated subsidiaries in the nine months ended September 30, 2017. See further discussion in Notes to Consolidated Financial Statements, Note 13, “Commitments and Contingencies—Regulatory Capital Requirements and Dividend Restrictions.”</w:t>
      </w:r>
    </w:p>
    <w:p>
      <w:pPr>
        <w:spacing w:after="0" w:line="178"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i w:val="1"/>
          <w:iCs w:val="1"/>
          <w:color w:val="auto"/>
        </w:rPr>
        <w:t xml:space="preserve">Restructuring Plan. </w:t>
      </w:r>
      <w:r>
        <w:rPr>
          <w:rFonts w:ascii="Arial" w:cs="Arial" w:eastAsia="Arial" w:hAnsi="Arial"/>
          <w:sz w:val="18"/>
          <w:szCs w:val="18"/>
          <w:color w:val="auto"/>
        </w:rPr>
        <w:t>As previously disclosed, we estimate that our restructuring plan will reduce annualized run-rate expenses by approximately</w:t>
      </w:r>
      <w:r>
        <w:rPr>
          <w:rFonts w:ascii="Arial" w:cs="Arial" w:eastAsia="Arial" w:hAnsi="Arial"/>
          <w:sz w:val="18"/>
          <w:szCs w:val="18"/>
          <w:i w:val="1"/>
          <w:iCs w:val="1"/>
          <w:color w:val="auto"/>
        </w:rPr>
        <w:t xml:space="preserve"> </w:t>
      </w:r>
      <w:r>
        <w:rPr>
          <w:rFonts w:ascii="Arial" w:cs="Arial" w:eastAsia="Arial" w:hAnsi="Arial"/>
          <w:sz w:val="18"/>
          <w:szCs w:val="18"/>
          <w:color w:val="auto"/>
        </w:rPr>
        <w:t>$300 million to $400 million when completed by the end of 2018. We have already achieved $200 million of these run-rate reductions on an annualized basis, which will take full effect no later than January 1, 2018. All savings targets discussed in regards to the restructuring plan represent annualized run-rate savings that we expect to achieve during the year following the indicated implementation date. We expect one-time costs associated with the restructuring plan to exceed the benefits realized in 2017 due to the upfront payment of implementation costs and the delayed benefit of full savings until the beginning of 2018. We expect the cost savings to reduce both “General and administrative expenses” and “Medical care costs” reported on our consolidated statements of operations.</w:t>
      </w:r>
    </w:p>
    <w:p>
      <w:pPr>
        <w:spacing w:after="0" w:line="177" w:lineRule="exact"/>
        <w:rPr>
          <w:sz w:val="20"/>
          <w:szCs w:val="20"/>
          <w:color w:val="auto"/>
        </w:rPr>
      </w:pPr>
    </w:p>
    <w:p>
      <w:pPr>
        <w:jc w:val="both"/>
        <w:ind w:right="180"/>
        <w:spacing w:after="0" w:line="271" w:lineRule="auto"/>
        <w:rPr>
          <w:sz w:val="20"/>
          <w:szCs w:val="20"/>
          <w:color w:val="auto"/>
        </w:rPr>
      </w:pPr>
      <w:r>
        <w:rPr>
          <w:rFonts w:ascii="Arial" w:cs="Arial" w:eastAsia="Arial" w:hAnsi="Arial"/>
          <w:sz w:val="18"/>
          <w:szCs w:val="18"/>
          <w:color w:val="auto"/>
        </w:rPr>
        <w:t>The following table illustrates our estimates of run-rate savings associated with the restructuring plan. Such savings will be offset, through the end of 2018, by the costs noted below in “</w:t>
      </w:r>
      <w:r>
        <w:rPr>
          <w:rFonts w:ascii="Arial" w:cs="Arial" w:eastAsia="Arial" w:hAnsi="Arial"/>
          <w:sz w:val="18"/>
          <w:szCs w:val="18"/>
          <w:i w:val="1"/>
          <w:iCs w:val="1"/>
          <w:color w:val="auto"/>
        </w:rPr>
        <w:t>Uses</w:t>
      </w:r>
      <w:r>
        <w:rPr>
          <w:rFonts w:ascii="Arial" w:cs="Arial" w:eastAsia="Arial" w:hAnsi="Arial"/>
          <w:sz w:val="18"/>
          <w:szCs w:val="18"/>
          <w:color w:val="auto"/>
        </w:rPr>
        <w:t>.” Following 2018, the savings will be offset by approximately $20 million in run-rate expenses resulting from the implementation of restructuring plan initiatives.</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6760" w:type="dxa"/>
            <w:vAlign w:val="bottom"/>
            <w:gridSpan w:val="2"/>
          </w:tcPr>
          <w:p>
            <w:pPr>
              <w:ind w:left="40"/>
              <w:spacing w:after="0"/>
              <w:rPr>
                <w:sz w:val="20"/>
                <w:szCs w:val="20"/>
                <w:color w:val="auto"/>
              </w:rPr>
            </w:pPr>
            <w:r>
              <w:rPr>
                <w:rFonts w:ascii="Arial" w:cs="Arial" w:eastAsia="Arial" w:hAnsi="Arial"/>
                <w:sz w:val="16"/>
                <w:szCs w:val="16"/>
                <w:b w:val="1"/>
                <w:bCs w:val="1"/>
                <w:color w:val="auto"/>
              </w:rPr>
              <w:t>Estimated Savings Expected to be Realized by Reportable Segment</w:t>
            </w:r>
          </w:p>
        </w:tc>
        <w:tc>
          <w:tcPr>
            <w:tcW w:w="1600" w:type="dxa"/>
            <w:vAlign w:val="bottom"/>
            <w:gridSpan w:val="2"/>
          </w:tcPr>
          <w:p>
            <w:pPr>
              <w:ind w:left="260"/>
              <w:spacing w:after="0"/>
              <w:rPr>
                <w:sz w:val="20"/>
                <w:szCs w:val="20"/>
                <w:color w:val="auto"/>
              </w:rPr>
            </w:pPr>
            <w:r>
              <w:rPr>
                <w:rFonts w:ascii="Arial" w:cs="Arial" w:eastAsia="Arial" w:hAnsi="Arial"/>
                <w:sz w:val="16"/>
                <w:szCs w:val="16"/>
                <w:b w:val="1"/>
                <w:bCs w:val="1"/>
                <w:color w:val="auto"/>
              </w:rPr>
              <w:t>Health Plans</w:t>
            </w:r>
          </w:p>
        </w:tc>
        <w:tc>
          <w:tcPr>
            <w:tcW w:w="158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rPr>
              <w:t>Other</w:t>
            </w:r>
          </w:p>
        </w:tc>
        <w:tc>
          <w:tcPr>
            <w:tcW w:w="1480" w:type="dxa"/>
            <w:vAlign w:val="bottom"/>
          </w:tcPr>
          <w:p>
            <w:pPr>
              <w:ind w:left="560"/>
              <w:spacing w:after="0"/>
              <w:rPr>
                <w:sz w:val="20"/>
                <w:szCs w:val="20"/>
                <w:color w:val="auto"/>
              </w:rPr>
            </w:pPr>
            <w:r>
              <w:rPr>
                <w:rFonts w:ascii="Arial" w:cs="Arial" w:eastAsia="Arial" w:hAnsi="Arial"/>
                <w:sz w:val="16"/>
                <w:szCs w:val="16"/>
                <w:b w:val="1"/>
                <w:bCs w:val="1"/>
                <w:color w:val="auto"/>
              </w:rPr>
              <w:t>Total</w:t>
            </w:r>
          </w:p>
        </w:tc>
      </w:tr>
      <w:tr>
        <w:trPr>
          <w:trHeight w:val="264"/>
        </w:trPr>
        <w:tc>
          <w:tcPr>
            <w:tcW w:w="664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480" w:type="dxa"/>
            <w:vAlign w:val="bottom"/>
            <w:tcBorders>
              <w:top w:val="single" w:sz="8" w:color="auto"/>
            </w:tcBorders>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1580" w:type="dxa"/>
            <w:vAlign w:val="bottom"/>
            <w:tcBorders>
              <w:top w:val="single" w:sz="8" w:color="auto"/>
            </w:tcBorders>
            <w:gridSpan w:val="2"/>
          </w:tcPr>
          <w:p>
            <w:pPr>
              <w:jc w:val="center"/>
              <w:ind w:right="120"/>
              <w:spacing w:after="0"/>
              <w:rPr>
                <w:sz w:val="20"/>
                <w:szCs w:val="20"/>
                <w:color w:val="auto"/>
              </w:rPr>
            </w:pPr>
            <w:r>
              <w:rPr>
                <w:rFonts w:ascii="Arial" w:cs="Arial" w:eastAsia="Arial" w:hAnsi="Arial"/>
                <w:sz w:val="16"/>
                <w:szCs w:val="16"/>
                <w:b w:val="1"/>
                <w:bCs w:val="1"/>
                <w:color w:val="auto"/>
              </w:rPr>
              <w:t>(In millions)</w:t>
            </w:r>
          </w:p>
        </w:tc>
        <w:tc>
          <w:tcPr>
            <w:tcW w:w="1480" w:type="dxa"/>
            <w:vAlign w:val="bottom"/>
            <w:tcBorders>
              <w:top w:val="single" w:sz="8" w:color="auto"/>
            </w:tcBorders>
          </w:tcPr>
          <w:p>
            <w:pPr>
              <w:spacing w:after="0"/>
              <w:rPr>
                <w:sz w:val="22"/>
                <w:szCs w:val="22"/>
                <w:color w:val="auto"/>
              </w:rPr>
            </w:pPr>
          </w:p>
        </w:tc>
      </w:tr>
      <w:tr>
        <w:trPr>
          <w:trHeight w:val="274"/>
        </w:trPr>
        <w:tc>
          <w:tcPr>
            <w:tcW w:w="676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General and administrative expenses</w:t>
            </w: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w:t>
            </w:r>
          </w:p>
        </w:tc>
        <w:tc>
          <w:tcPr>
            <w:tcW w:w="120" w:type="dxa"/>
            <w:vAlign w:val="bottom"/>
            <w:shd w:val="clear" w:color="auto" w:fill="CCEEFF"/>
          </w:tcPr>
          <w:p>
            <w:pPr>
              <w:spacing w:after="0"/>
              <w:rPr>
                <w:sz w:val="23"/>
                <w:szCs w:val="23"/>
                <w:color w:val="auto"/>
              </w:rPr>
            </w:pPr>
          </w:p>
        </w:tc>
        <w:tc>
          <w:tcPr>
            <w:tcW w:w="15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$120 to $140</w:t>
            </w:r>
          </w:p>
        </w:tc>
        <w:tc>
          <w:tcPr>
            <w:tcW w:w="1480" w:type="dxa"/>
            <w:vAlign w:val="bottom"/>
            <w:shd w:val="clear" w:color="auto" w:fill="CCEEFF"/>
          </w:tcPr>
          <w:p>
            <w:pPr>
              <w:ind w:left="500"/>
              <w:spacing w:after="0"/>
              <w:rPr>
                <w:sz w:val="20"/>
                <w:szCs w:val="20"/>
                <w:color w:val="auto"/>
              </w:rPr>
            </w:pPr>
            <w:r>
              <w:rPr>
                <w:rFonts w:ascii="Arial" w:cs="Arial" w:eastAsia="Arial" w:hAnsi="Arial"/>
                <w:sz w:val="16"/>
                <w:szCs w:val="16"/>
                <w:color w:val="auto"/>
              </w:rPr>
              <w:t>$170 to $190</w:t>
            </w:r>
          </w:p>
        </w:tc>
      </w:tr>
      <w:tr>
        <w:trPr>
          <w:trHeight w:val="264"/>
        </w:trPr>
        <w:tc>
          <w:tcPr>
            <w:tcW w:w="6760" w:type="dxa"/>
            <w:vAlign w:val="bottom"/>
            <w:tcBorders>
              <w:bottom w:val="single" w:sz="8" w:color="CCEEFF"/>
            </w:tcBorders>
            <w:gridSpan w:val="2"/>
          </w:tcPr>
          <w:p>
            <w:pPr>
              <w:ind w:left="40"/>
              <w:spacing w:after="0"/>
              <w:rPr>
                <w:sz w:val="20"/>
                <w:szCs w:val="20"/>
                <w:color w:val="auto"/>
              </w:rPr>
            </w:pPr>
            <w:r>
              <w:rPr>
                <w:rFonts w:ascii="Arial" w:cs="Arial" w:eastAsia="Arial" w:hAnsi="Arial"/>
                <w:sz w:val="16"/>
                <w:szCs w:val="16"/>
                <w:color w:val="auto"/>
              </w:rPr>
              <w:t>Medical care costs</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$110 to $190</w:t>
            </w:r>
          </w:p>
        </w:tc>
        <w:tc>
          <w:tcPr>
            <w:tcW w:w="120" w:type="dxa"/>
            <w:vAlign w:val="bottom"/>
            <w:tcBorders>
              <w:bottom w:val="single" w:sz="8" w:color="CCEEFF"/>
            </w:tcBorders>
          </w:tcPr>
          <w:p>
            <w:pPr>
              <w:spacing w:after="0"/>
              <w:rPr>
                <w:sz w:val="22"/>
                <w:szCs w:val="22"/>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w:t>
            </w:r>
          </w:p>
        </w:tc>
        <w:tc>
          <w:tcPr>
            <w:tcW w:w="100" w:type="dxa"/>
            <w:vAlign w:val="bottom"/>
            <w:tcBorders>
              <w:bottom w:val="single" w:sz="8" w:color="CCEEFF"/>
            </w:tcBorders>
          </w:tcPr>
          <w:p>
            <w:pPr>
              <w:spacing w:after="0"/>
              <w:rPr>
                <w:sz w:val="22"/>
                <w:szCs w:val="22"/>
                <w:color w:val="auto"/>
              </w:rPr>
            </w:pPr>
          </w:p>
        </w:tc>
        <w:tc>
          <w:tcPr>
            <w:tcW w:w="1480" w:type="dxa"/>
            <w:vAlign w:val="bottom"/>
            <w:tcBorders>
              <w:bottom w:val="single" w:sz="8" w:color="auto"/>
            </w:tcBorders>
          </w:tcPr>
          <w:p>
            <w:pPr>
              <w:ind w:left="500"/>
              <w:spacing w:after="0"/>
              <w:rPr>
                <w:sz w:val="20"/>
                <w:szCs w:val="20"/>
                <w:color w:val="auto"/>
              </w:rPr>
            </w:pPr>
            <w:r>
              <w:rPr>
                <w:rFonts w:ascii="Arial" w:cs="Arial" w:eastAsia="Arial" w:hAnsi="Arial"/>
                <w:sz w:val="16"/>
                <w:szCs w:val="16"/>
                <w:color w:val="auto"/>
              </w:rPr>
              <w:t>$130 to $210</w:t>
            </w:r>
          </w:p>
        </w:tc>
      </w:tr>
      <w:tr>
        <w:trPr>
          <w:trHeight w:val="237"/>
        </w:trPr>
        <w:tc>
          <w:tcPr>
            <w:tcW w:w="66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6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$160 to $240</w:t>
            </w:r>
          </w:p>
        </w:tc>
        <w:tc>
          <w:tcPr>
            <w:tcW w:w="15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$140 to $160</w:t>
            </w:r>
          </w:p>
        </w:tc>
        <w:tc>
          <w:tcPr>
            <w:tcW w:w="1480" w:type="dxa"/>
            <w:vAlign w:val="bottom"/>
            <w:shd w:val="clear" w:color="auto" w:fill="CCEEFF"/>
          </w:tcPr>
          <w:p>
            <w:pPr>
              <w:ind w:left="500"/>
              <w:spacing w:after="0"/>
              <w:rPr>
                <w:sz w:val="20"/>
                <w:szCs w:val="20"/>
                <w:color w:val="auto"/>
              </w:rPr>
            </w:pPr>
            <w:r>
              <w:rPr>
                <w:rFonts w:ascii="Arial" w:cs="Arial" w:eastAsia="Arial" w:hAnsi="Arial"/>
                <w:sz w:val="16"/>
                <w:szCs w:val="16"/>
                <w:color w:val="auto"/>
              </w:rPr>
              <w:t>$300 to $400</w:t>
            </w:r>
          </w:p>
        </w:tc>
      </w:tr>
      <w:tr>
        <w:trPr>
          <w:trHeight w:val="20"/>
        </w:trPr>
        <w:tc>
          <w:tcPr>
            <w:tcW w:w="66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r>
    </w:tbl>
    <w:p>
      <w:pPr>
        <w:spacing w:after="0" w:line="193" w:lineRule="exact"/>
        <w:rPr>
          <w:sz w:val="20"/>
          <w:szCs w:val="20"/>
          <w:color w:val="auto"/>
        </w:rPr>
      </w:pPr>
    </w:p>
    <w:p>
      <w:pPr>
        <w:ind w:right="280"/>
        <w:spacing w:after="0" w:line="292" w:lineRule="auto"/>
        <w:rPr>
          <w:sz w:val="20"/>
          <w:szCs w:val="20"/>
          <w:color w:val="auto"/>
        </w:rPr>
      </w:pPr>
      <w:r>
        <w:rPr>
          <w:rFonts w:ascii="Arial" w:cs="Arial" w:eastAsia="Arial" w:hAnsi="Arial"/>
          <w:sz w:val="18"/>
          <w:szCs w:val="18"/>
          <w:i w:val="1"/>
          <w:iCs w:val="1"/>
          <w:color w:val="auto"/>
        </w:rPr>
        <w:t xml:space="preserve">Credit Facility. </w:t>
      </w:r>
      <w:r>
        <w:rPr>
          <w:rFonts w:ascii="Arial" w:cs="Arial" w:eastAsia="Arial" w:hAnsi="Arial"/>
          <w:sz w:val="18"/>
          <w:szCs w:val="18"/>
          <w:color w:val="auto"/>
        </w:rPr>
        <w:t>Refer to Notes to Consolidated Financial Statements, Note 7, “Debt,” for a detailed discussion of our Credit Facility. In August</w:t>
      </w:r>
      <w:r>
        <w:rPr>
          <w:rFonts w:ascii="Arial" w:cs="Arial" w:eastAsia="Arial" w:hAnsi="Arial"/>
          <w:sz w:val="18"/>
          <w:szCs w:val="18"/>
          <w:i w:val="1"/>
          <w:iCs w:val="1"/>
          <w:color w:val="auto"/>
        </w:rPr>
        <w:t xml:space="preserve"> </w:t>
      </w:r>
      <w:r>
        <w:rPr>
          <w:rFonts w:ascii="Arial" w:cs="Arial" w:eastAsia="Arial" w:hAnsi="Arial"/>
          <w:sz w:val="18"/>
          <w:szCs w:val="18"/>
          <w:color w:val="auto"/>
        </w:rPr>
        <w:t>2017, we drew against the Credit Facility in the amount of $300 million.</w:t>
      </w:r>
    </w:p>
    <w:p>
      <w:pPr>
        <w:spacing w:after="0" w:line="145" w:lineRule="exact"/>
        <w:rPr>
          <w:sz w:val="20"/>
          <w:szCs w:val="20"/>
          <w:color w:val="auto"/>
        </w:rPr>
      </w:pPr>
    </w:p>
    <w:p>
      <w:pPr>
        <w:ind w:right="20"/>
        <w:spacing w:after="0" w:line="271" w:lineRule="auto"/>
        <w:rPr>
          <w:sz w:val="20"/>
          <w:szCs w:val="20"/>
          <w:color w:val="auto"/>
        </w:rPr>
      </w:pPr>
      <w:r>
        <w:rPr>
          <w:rFonts w:ascii="Arial" w:cs="Arial" w:eastAsia="Arial" w:hAnsi="Arial"/>
          <w:sz w:val="18"/>
          <w:szCs w:val="18"/>
          <w:i w:val="1"/>
          <w:iCs w:val="1"/>
          <w:color w:val="auto"/>
        </w:rPr>
        <w:t xml:space="preserve">4.875% Notes. </w:t>
      </w:r>
      <w:r>
        <w:rPr>
          <w:rFonts w:ascii="Arial" w:cs="Arial" w:eastAsia="Arial" w:hAnsi="Arial"/>
          <w:sz w:val="18"/>
          <w:szCs w:val="18"/>
          <w:color w:val="auto"/>
        </w:rPr>
        <w:t>The 4.875% Notes contain a limitation on the use of proceeds which required us to deposit the net proceeds from their issuance</w:t>
      </w:r>
      <w:r>
        <w:rPr>
          <w:rFonts w:ascii="Arial" w:cs="Arial" w:eastAsia="Arial" w:hAnsi="Arial"/>
          <w:sz w:val="18"/>
          <w:szCs w:val="18"/>
          <w:i w:val="1"/>
          <w:iCs w:val="1"/>
          <w:color w:val="auto"/>
        </w:rPr>
        <w:t xml:space="preserve"> </w:t>
      </w:r>
      <w:r>
        <w:rPr>
          <w:rFonts w:ascii="Arial" w:cs="Arial" w:eastAsia="Arial" w:hAnsi="Arial"/>
          <w:sz w:val="18"/>
          <w:szCs w:val="18"/>
          <w:color w:val="auto"/>
        </w:rPr>
        <w:t>into a segregated deposit account, a current asset reported as “Restricted investments” in our consolidated balance sheets. See further discussion in Notes to Consolidated Financial Statements, Note 7, “Debt.”</w:t>
      </w:r>
    </w:p>
    <w:p>
      <w:pPr>
        <w:spacing w:after="0" w:line="29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Molina Healthcare, Inc. 2017 Form 10-Q | 59</w:t>
      </w:r>
    </w:p>
    <w:p>
      <w:pPr>
        <w:sectPr>
          <w:pgSz w:w="11900" w:h="16838" w:orient="portrait"/>
          <w:cols w:equalWidth="0" w:num="1">
            <w:col w:w="11420"/>
          </w:cols>
          <w:pgMar w:left="240" w:top="116" w:right="239" w:bottom="1440" w:gutter="0" w:footer="0" w:header="0"/>
        </w:sectPr>
      </w:pPr>
    </w:p>
    <w:bookmarkStart w:id="59" w:name="page60"/>
    <w:bookmarkEnd w:id="5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61" w:lineRule="exact"/>
        <w:rPr>
          <w:sz w:val="20"/>
          <w:szCs w:val="20"/>
          <w:color w:val="auto"/>
        </w:rPr>
      </w:pPr>
    </w:p>
    <w:p>
      <w:pPr>
        <w:ind w:right="60"/>
        <w:spacing w:after="0" w:line="260" w:lineRule="auto"/>
        <w:rPr>
          <w:sz w:val="20"/>
          <w:szCs w:val="20"/>
          <w:color w:val="auto"/>
        </w:rPr>
      </w:pPr>
      <w:r>
        <w:rPr>
          <w:rFonts w:ascii="Arial" w:cs="Arial" w:eastAsia="Arial" w:hAnsi="Arial"/>
          <w:sz w:val="18"/>
          <w:szCs w:val="18"/>
          <w:i w:val="1"/>
          <w:iCs w:val="1"/>
          <w:color w:val="auto"/>
        </w:rPr>
        <w:t xml:space="preserve">Shelf Registration Statement. </w:t>
      </w:r>
      <w:r>
        <w:rPr>
          <w:rFonts w:ascii="Arial" w:cs="Arial" w:eastAsia="Arial" w:hAnsi="Arial"/>
          <w:sz w:val="18"/>
          <w:szCs w:val="18"/>
          <w:color w:val="auto"/>
        </w:rPr>
        <w:t>We have a shelf registration statement on file with the Securities and Exchange Commission to register an</w:t>
      </w:r>
      <w:r>
        <w:rPr>
          <w:rFonts w:ascii="Arial" w:cs="Arial" w:eastAsia="Arial" w:hAnsi="Arial"/>
          <w:sz w:val="18"/>
          <w:szCs w:val="18"/>
          <w:i w:val="1"/>
          <w:iCs w:val="1"/>
          <w:color w:val="auto"/>
        </w:rPr>
        <w:t xml:space="preserve"> </w:t>
      </w:r>
      <w:r>
        <w:rPr>
          <w:rFonts w:ascii="Arial" w:cs="Arial" w:eastAsia="Arial" w:hAnsi="Arial"/>
          <w:sz w:val="18"/>
          <w:szCs w:val="18"/>
          <w:color w:val="auto"/>
        </w:rPr>
        <w:t>unlimited amount of any combination of debt or equity securities in one or more offerings. Specific information regarding the terms and securities being offered will be provided at the time of an offering. Proceeds from future offerings are expected to be used for general corporate purposes, including, but not limited to, the repayment of debt, investments in or extensions of credit to our subsidiaries and the financing of possible acquisitions or business expansion.</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Uses</w:t>
      </w:r>
    </w:p>
    <w:p>
      <w:pPr>
        <w:spacing w:after="0" w:line="225" w:lineRule="exact"/>
        <w:rPr>
          <w:sz w:val="20"/>
          <w:szCs w:val="20"/>
          <w:color w:val="auto"/>
        </w:rPr>
      </w:pPr>
    </w:p>
    <w:p>
      <w:pPr>
        <w:ind w:right="60"/>
        <w:spacing w:after="0" w:line="260" w:lineRule="auto"/>
        <w:rPr>
          <w:sz w:val="20"/>
          <w:szCs w:val="20"/>
          <w:color w:val="auto"/>
        </w:rPr>
      </w:pPr>
      <w:r>
        <w:rPr>
          <w:rFonts w:ascii="Arial" w:cs="Arial" w:eastAsia="Arial" w:hAnsi="Arial"/>
          <w:sz w:val="18"/>
          <w:szCs w:val="18"/>
          <w:i w:val="1"/>
          <w:iCs w:val="1"/>
          <w:color w:val="auto"/>
        </w:rPr>
        <w:t xml:space="preserve">Restructuring. </w:t>
      </w:r>
      <w:r>
        <w:rPr>
          <w:rFonts w:ascii="Arial" w:cs="Arial" w:eastAsia="Arial" w:hAnsi="Arial"/>
          <w:sz w:val="18"/>
          <w:szCs w:val="18"/>
          <w:color w:val="auto"/>
        </w:rPr>
        <w:t>We recorded $118 million of restructuring costs in the third quarter of 2017. Restructuring costs incurred to date consist primarily</w:t>
      </w:r>
      <w:r>
        <w:rPr>
          <w:rFonts w:ascii="Arial" w:cs="Arial" w:eastAsia="Arial" w:hAnsi="Arial"/>
          <w:sz w:val="18"/>
          <w:szCs w:val="18"/>
          <w:i w:val="1"/>
          <w:iCs w:val="1"/>
          <w:color w:val="auto"/>
        </w:rPr>
        <w:t xml:space="preserve"> </w:t>
      </w:r>
      <w:r>
        <w:rPr>
          <w:rFonts w:ascii="Arial" w:cs="Arial" w:eastAsia="Arial" w:hAnsi="Arial"/>
          <w:sz w:val="18"/>
          <w:szCs w:val="18"/>
          <w:color w:val="auto"/>
        </w:rPr>
        <w:t>of termination benefits, write-offs of capitalized software due to the re-design of our core operating processes, restructuring of our direct delivery operations, and consulting fees. Under the restructuring plan, and also including separation costs to former executives, we have made cash payments of $24 million in the nine months ended September 30, 2017, and have accrued a liability of $65 million for future payments as of September 30, 2017.</w:t>
      </w:r>
    </w:p>
    <w:p>
      <w:pPr>
        <w:spacing w:after="0" w:line="175"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We estimate that total pre-tax costs associated with the restructuring plan will be approximately $70 million to $90 million in the fourth quarter of 2017, with an additional $ 20 million to $40 million to be incurred in 2018. We currently estimate that a majority of the costs we expect to incur in the fourth quarter of 2017 will be settled in cash. The costs we incur associated with the restructuring plan are reported in “Restructuring and separation costs” in our consolidated statements of operations.</w:t>
      </w:r>
    </w:p>
    <w:p>
      <w:pPr>
        <w:spacing w:after="0" w:line="335"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5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60" w:type="dxa"/>
            <w:vAlign w:val="bottom"/>
            <w:gridSpan w:val="3"/>
          </w:tcPr>
          <w:p>
            <w:pPr>
              <w:jc w:val="center"/>
              <w:ind w:right="520"/>
              <w:spacing w:after="0"/>
              <w:rPr>
                <w:sz w:val="20"/>
                <w:szCs w:val="20"/>
                <w:color w:val="auto"/>
              </w:rPr>
            </w:pPr>
            <w:r>
              <w:rPr>
                <w:rFonts w:ascii="Arial" w:cs="Arial" w:eastAsia="Arial" w:hAnsi="Arial"/>
                <w:sz w:val="16"/>
                <w:szCs w:val="16"/>
                <w:b w:val="1"/>
                <w:bCs w:val="1"/>
                <w:color w:val="auto"/>
              </w:rPr>
              <w:t>Molina Medicaid</w:t>
            </w: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60" w:type="dxa"/>
            <w:vAlign w:val="bottom"/>
          </w:tcPr>
          <w:p>
            <w:pPr>
              <w:spacing w:after="0"/>
              <w:rPr>
                <w:sz w:val="16"/>
                <w:szCs w:val="16"/>
                <w:color w:val="auto"/>
              </w:rPr>
            </w:pPr>
          </w:p>
        </w:tc>
      </w:tr>
      <w:tr>
        <w:trPr>
          <w:trHeight w:val="232"/>
        </w:trPr>
        <w:tc>
          <w:tcPr>
            <w:tcW w:w="5620" w:type="dxa"/>
            <w:vAlign w:val="bottom"/>
            <w:gridSpan w:val="2"/>
          </w:tcPr>
          <w:p>
            <w:pPr>
              <w:ind w:left="40"/>
              <w:spacing w:after="0"/>
              <w:rPr>
                <w:sz w:val="20"/>
                <w:szCs w:val="20"/>
                <w:color w:val="auto"/>
              </w:rPr>
            </w:pPr>
            <w:r>
              <w:rPr>
                <w:rFonts w:ascii="Arial" w:cs="Arial" w:eastAsia="Arial" w:hAnsi="Arial"/>
                <w:sz w:val="16"/>
                <w:szCs w:val="16"/>
                <w:b w:val="1"/>
                <w:bCs w:val="1"/>
                <w:color w:val="auto"/>
              </w:rPr>
              <w:t>Estimated Costs Expected to be Incurred by Reportable Segment</w:t>
            </w:r>
          </w:p>
        </w:tc>
        <w:tc>
          <w:tcPr>
            <w:tcW w:w="1500" w:type="dxa"/>
            <w:vAlign w:val="bottom"/>
            <w:gridSpan w:val="2"/>
          </w:tcPr>
          <w:p>
            <w:pPr>
              <w:ind w:left="200"/>
              <w:spacing w:after="0"/>
              <w:rPr>
                <w:sz w:val="20"/>
                <w:szCs w:val="20"/>
                <w:color w:val="auto"/>
              </w:rPr>
            </w:pPr>
            <w:r>
              <w:rPr>
                <w:rFonts w:ascii="Arial" w:cs="Arial" w:eastAsia="Arial" w:hAnsi="Arial"/>
                <w:sz w:val="16"/>
                <w:szCs w:val="16"/>
                <w:b w:val="1"/>
                <w:bCs w:val="1"/>
                <w:color w:val="auto"/>
              </w:rPr>
              <w:t>Health Plans</w:t>
            </w:r>
          </w:p>
        </w:tc>
        <w:tc>
          <w:tcPr>
            <w:tcW w:w="1860" w:type="dxa"/>
            <w:vAlign w:val="bottom"/>
            <w:gridSpan w:val="3"/>
          </w:tcPr>
          <w:p>
            <w:pPr>
              <w:jc w:val="center"/>
              <w:ind w:right="520"/>
              <w:spacing w:after="0"/>
              <w:rPr>
                <w:sz w:val="20"/>
                <w:szCs w:val="20"/>
                <w:color w:val="auto"/>
              </w:rPr>
            </w:pPr>
            <w:r>
              <w:rPr>
                <w:rFonts w:ascii="Arial" w:cs="Arial" w:eastAsia="Arial" w:hAnsi="Arial"/>
                <w:sz w:val="16"/>
                <w:szCs w:val="16"/>
                <w:b w:val="1"/>
                <w:bCs w:val="1"/>
                <w:color w:val="auto"/>
              </w:rPr>
              <w:t>Solutions</w:t>
            </w:r>
          </w:p>
        </w:tc>
        <w:tc>
          <w:tcPr>
            <w:tcW w:w="1080" w:type="dxa"/>
            <w:vAlign w:val="bottom"/>
            <w:gridSpan w:val="2"/>
          </w:tcPr>
          <w:p>
            <w:pPr>
              <w:ind w:left="60"/>
              <w:spacing w:after="0"/>
              <w:rPr>
                <w:sz w:val="20"/>
                <w:szCs w:val="20"/>
                <w:color w:val="auto"/>
              </w:rPr>
            </w:pPr>
            <w:r>
              <w:rPr>
                <w:rFonts w:ascii="Arial" w:cs="Arial" w:eastAsia="Arial" w:hAnsi="Arial"/>
                <w:sz w:val="16"/>
                <w:szCs w:val="16"/>
                <w:b w:val="1"/>
                <w:bCs w:val="1"/>
                <w:color w:val="auto"/>
              </w:rPr>
              <w:t>Other</w:t>
            </w:r>
          </w:p>
        </w:tc>
        <w:tc>
          <w:tcPr>
            <w:tcW w:w="1360" w:type="dxa"/>
            <w:vAlign w:val="bottom"/>
          </w:tcPr>
          <w:p>
            <w:pPr>
              <w:jc w:val="right"/>
              <w:ind w:right="419"/>
              <w:spacing w:after="0"/>
              <w:rPr>
                <w:sz w:val="20"/>
                <w:szCs w:val="20"/>
                <w:color w:val="auto"/>
              </w:rPr>
            </w:pPr>
            <w:r>
              <w:rPr>
                <w:rFonts w:ascii="Arial" w:cs="Arial" w:eastAsia="Arial" w:hAnsi="Arial"/>
                <w:sz w:val="16"/>
                <w:szCs w:val="16"/>
                <w:b w:val="1"/>
                <w:bCs w:val="1"/>
                <w:color w:val="auto"/>
              </w:rPr>
              <w:t>Total</w:t>
            </w:r>
          </w:p>
        </w:tc>
      </w:tr>
      <w:tr>
        <w:trPr>
          <w:trHeight w:val="264"/>
        </w:trPr>
        <w:tc>
          <w:tcPr>
            <w:tcW w:w="550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380" w:type="dxa"/>
            <w:vAlign w:val="bottom"/>
            <w:tcBorders>
              <w:top w:val="single" w:sz="8" w:color="auto"/>
            </w:tcBorders>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1860" w:type="dxa"/>
            <w:vAlign w:val="bottom"/>
            <w:tcBorders>
              <w:top w:val="single" w:sz="8" w:color="auto"/>
            </w:tcBorders>
            <w:gridSpan w:val="3"/>
          </w:tcPr>
          <w:p>
            <w:pPr>
              <w:ind w:left="940"/>
              <w:spacing w:after="0"/>
              <w:rPr>
                <w:sz w:val="20"/>
                <w:szCs w:val="20"/>
                <w:color w:val="auto"/>
              </w:rPr>
            </w:pPr>
            <w:r>
              <w:rPr>
                <w:rFonts w:ascii="Arial" w:cs="Arial" w:eastAsia="Arial" w:hAnsi="Arial"/>
                <w:sz w:val="16"/>
                <w:szCs w:val="16"/>
                <w:b w:val="1"/>
                <w:bCs w:val="1"/>
                <w:color w:val="auto"/>
              </w:rPr>
              <w:t>(In millions)</w:t>
            </w:r>
          </w:p>
        </w:tc>
        <w:tc>
          <w:tcPr>
            <w:tcW w:w="960" w:type="dxa"/>
            <w:vAlign w:val="bottom"/>
            <w:tcBorders>
              <w:top w:val="single" w:sz="8" w:color="auto"/>
            </w:tcBorders>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1360" w:type="dxa"/>
            <w:vAlign w:val="bottom"/>
            <w:tcBorders>
              <w:top w:val="single" w:sz="8" w:color="auto"/>
            </w:tcBorders>
          </w:tcPr>
          <w:p>
            <w:pPr>
              <w:spacing w:after="0"/>
              <w:rPr>
                <w:sz w:val="22"/>
                <w:szCs w:val="22"/>
                <w:color w:val="auto"/>
              </w:rPr>
            </w:pPr>
          </w:p>
        </w:tc>
      </w:tr>
      <w:tr>
        <w:trPr>
          <w:trHeight w:val="274"/>
        </w:trPr>
        <w:tc>
          <w:tcPr>
            <w:tcW w:w="562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Termination benefits</w:t>
            </w:r>
          </w:p>
        </w:tc>
        <w:tc>
          <w:tcPr>
            <w:tcW w:w="1500" w:type="dxa"/>
            <w:vAlign w:val="bottom"/>
            <w:gridSpan w:val="2"/>
            <w:shd w:val="clear" w:color="auto" w:fill="CCEEFF"/>
          </w:tcPr>
          <w:p>
            <w:pPr>
              <w:ind w:left="580"/>
              <w:spacing w:after="0"/>
              <w:rPr>
                <w:sz w:val="20"/>
                <w:szCs w:val="20"/>
                <w:color w:val="auto"/>
              </w:rPr>
            </w:pPr>
            <w:r>
              <w:rPr>
                <w:rFonts w:ascii="Arial" w:cs="Arial" w:eastAsia="Arial" w:hAnsi="Arial"/>
                <w:sz w:val="16"/>
                <w:szCs w:val="16"/>
                <w:color w:val="auto"/>
              </w:rPr>
              <w:t>$30 to $35</w:t>
            </w:r>
          </w:p>
        </w:tc>
        <w:tc>
          <w:tcPr>
            <w:tcW w:w="1860" w:type="dxa"/>
            <w:vAlign w:val="bottom"/>
            <w:gridSpan w:val="3"/>
            <w:shd w:val="clear" w:color="auto" w:fill="CCEEFF"/>
          </w:tcPr>
          <w:p>
            <w:pPr>
              <w:ind w:left="1080"/>
              <w:spacing w:after="0"/>
              <w:rPr>
                <w:sz w:val="20"/>
                <w:szCs w:val="20"/>
                <w:color w:val="auto"/>
              </w:rPr>
            </w:pPr>
            <w:r>
              <w:rPr>
                <w:rFonts w:ascii="Arial" w:cs="Arial" w:eastAsia="Arial" w:hAnsi="Arial"/>
                <w:sz w:val="16"/>
                <w:szCs w:val="16"/>
                <w:color w:val="auto"/>
              </w:rPr>
              <w:t>—</w:t>
            </w: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$30 to $35</w:t>
            </w: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 to $70</w:t>
            </w:r>
          </w:p>
        </w:tc>
      </w:tr>
      <w:tr>
        <w:trPr>
          <w:trHeight w:val="264"/>
        </w:trPr>
        <w:tc>
          <w:tcPr>
            <w:tcW w:w="5620" w:type="dxa"/>
            <w:vAlign w:val="bottom"/>
            <w:tcBorders>
              <w:bottom w:val="single" w:sz="8" w:color="CCEEFF"/>
            </w:tcBorders>
            <w:gridSpan w:val="2"/>
          </w:tcPr>
          <w:p>
            <w:pPr>
              <w:ind w:left="40"/>
              <w:spacing w:after="0"/>
              <w:rPr>
                <w:sz w:val="20"/>
                <w:szCs w:val="20"/>
                <w:color w:val="auto"/>
              </w:rPr>
            </w:pPr>
            <w:r>
              <w:rPr>
                <w:rFonts w:ascii="Arial" w:cs="Arial" w:eastAsia="Arial" w:hAnsi="Arial"/>
                <w:sz w:val="16"/>
                <w:szCs w:val="16"/>
                <w:color w:val="auto"/>
              </w:rPr>
              <w:t>Other restructuring costs</w:t>
            </w:r>
          </w:p>
        </w:tc>
        <w:tc>
          <w:tcPr>
            <w:tcW w:w="1380" w:type="dxa"/>
            <w:vAlign w:val="bottom"/>
            <w:tcBorders>
              <w:bottom w:val="single" w:sz="8" w:color="auto"/>
            </w:tcBorders>
          </w:tcPr>
          <w:p>
            <w:pPr>
              <w:ind w:left="580"/>
              <w:spacing w:after="0"/>
              <w:rPr>
                <w:sz w:val="20"/>
                <w:szCs w:val="20"/>
                <w:color w:val="auto"/>
              </w:rPr>
            </w:pPr>
            <w:r>
              <w:rPr>
                <w:rFonts w:ascii="Arial" w:cs="Arial" w:eastAsia="Arial" w:hAnsi="Arial"/>
                <w:sz w:val="16"/>
                <w:szCs w:val="16"/>
                <w:color w:val="auto"/>
              </w:rPr>
              <w:t>$40 to $45</w:t>
            </w:r>
          </w:p>
        </w:tc>
        <w:tc>
          <w:tcPr>
            <w:tcW w:w="120" w:type="dxa"/>
            <w:vAlign w:val="bottom"/>
            <w:tcBorders>
              <w:bottom w:val="single" w:sz="8" w:color="CCEEFF"/>
            </w:tcBorders>
          </w:tcPr>
          <w:p>
            <w:pPr>
              <w:spacing w:after="0"/>
              <w:rPr>
                <w:sz w:val="22"/>
                <w:szCs w:val="22"/>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w:t>
            </w:r>
          </w:p>
        </w:tc>
        <w:tc>
          <w:tcPr>
            <w:tcW w:w="10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98"/>
              </w:rPr>
              <w:t>$110 to $115</w:t>
            </w:r>
          </w:p>
        </w:tc>
        <w:tc>
          <w:tcPr>
            <w:tcW w:w="120" w:type="dxa"/>
            <w:vAlign w:val="bottom"/>
            <w:tcBorders>
              <w:bottom w:val="single" w:sz="8" w:color="CCEEFF"/>
            </w:tcBorders>
          </w:tcPr>
          <w:p>
            <w:pPr>
              <w:spacing w:after="0"/>
              <w:rPr>
                <w:sz w:val="22"/>
                <w:szCs w:val="22"/>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$160 to $170</w:t>
            </w:r>
          </w:p>
        </w:tc>
      </w:tr>
      <w:tr>
        <w:trPr>
          <w:trHeight w:val="237"/>
        </w:trPr>
        <w:tc>
          <w:tcPr>
            <w:tcW w:w="55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500" w:type="dxa"/>
            <w:vAlign w:val="bottom"/>
            <w:gridSpan w:val="2"/>
            <w:shd w:val="clear" w:color="auto" w:fill="CCEEFF"/>
          </w:tcPr>
          <w:p>
            <w:pPr>
              <w:ind w:left="580"/>
              <w:spacing w:after="0"/>
              <w:rPr>
                <w:sz w:val="20"/>
                <w:szCs w:val="20"/>
                <w:color w:val="auto"/>
              </w:rPr>
            </w:pPr>
            <w:r>
              <w:rPr>
                <w:rFonts w:ascii="Arial" w:cs="Arial" w:eastAsia="Arial" w:hAnsi="Arial"/>
                <w:sz w:val="16"/>
                <w:szCs w:val="16"/>
                <w:color w:val="auto"/>
              </w:rPr>
              <w:t>$70 to $80</w:t>
            </w: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w:t>
            </w:r>
          </w:p>
        </w:tc>
        <w:tc>
          <w:tcPr>
            <w:tcW w:w="10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w w:val="98"/>
              </w:rPr>
              <w:t>$140 to $150</w:t>
            </w: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$220 to $240</w:t>
            </w:r>
          </w:p>
        </w:tc>
      </w:tr>
      <w:tr>
        <w:trPr>
          <w:trHeight w:val="20"/>
        </w:trPr>
        <w:tc>
          <w:tcPr>
            <w:tcW w:w="55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r>
    </w:tbl>
    <w:p>
      <w:pPr>
        <w:spacing w:after="0" w:line="193" w:lineRule="exact"/>
        <w:rPr>
          <w:sz w:val="20"/>
          <w:szCs w:val="20"/>
          <w:color w:val="auto"/>
        </w:rPr>
      </w:pPr>
    </w:p>
    <w:p>
      <w:pPr>
        <w:ind w:right="740"/>
        <w:spacing w:after="0" w:line="292" w:lineRule="auto"/>
        <w:rPr>
          <w:sz w:val="20"/>
          <w:szCs w:val="20"/>
          <w:color w:val="auto"/>
        </w:rPr>
      </w:pPr>
      <w:r>
        <w:rPr>
          <w:rFonts w:ascii="Arial" w:cs="Arial" w:eastAsia="Arial" w:hAnsi="Arial"/>
          <w:sz w:val="18"/>
          <w:szCs w:val="18"/>
          <w:i w:val="1"/>
          <w:iCs w:val="1"/>
          <w:color w:val="auto"/>
        </w:rPr>
        <w:t xml:space="preserve">Regulatory Capital Requirements and Dividend Restrictions. </w:t>
      </w:r>
      <w:r>
        <w:rPr>
          <w:rFonts w:ascii="Arial" w:cs="Arial" w:eastAsia="Arial" w:hAnsi="Arial"/>
          <w:sz w:val="18"/>
          <w:szCs w:val="18"/>
          <w:color w:val="auto"/>
        </w:rPr>
        <w:t>For more information on our regulatory capital requirements and dividend</w:t>
      </w:r>
      <w:r>
        <w:rPr>
          <w:rFonts w:ascii="Arial" w:cs="Arial" w:eastAsia="Arial" w:hAnsi="Arial"/>
          <w:sz w:val="18"/>
          <w:szCs w:val="18"/>
          <w:i w:val="1"/>
          <w:iCs w:val="1"/>
          <w:color w:val="auto"/>
        </w:rPr>
        <w:t xml:space="preserve"> </w:t>
      </w:r>
      <w:r>
        <w:rPr>
          <w:rFonts w:ascii="Arial" w:cs="Arial" w:eastAsia="Arial" w:hAnsi="Arial"/>
          <w:sz w:val="18"/>
          <w:szCs w:val="18"/>
          <w:color w:val="auto"/>
        </w:rPr>
        <w:t>restrictions, refer to Notes to Consolidated Financial Statements, Note 13, “Commitments and Contingencies.”</w:t>
      </w:r>
    </w:p>
    <w:p>
      <w:pPr>
        <w:spacing w:after="0" w:line="145" w:lineRule="exact"/>
        <w:rPr>
          <w:sz w:val="20"/>
          <w:szCs w:val="20"/>
          <w:color w:val="auto"/>
        </w:rPr>
      </w:pPr>
    </w:p>
    <w:p>
      <w:pPr>
        <w:spacing w:after="0" w:line="260" w:lineRule="auto"/>
        <w:rPr>
          <w:sz w:val="20"/>
          <w:szCs w:val="20"/>
          <w:color w:val="auto"/>
        </w:rPr>
      </w:pPr>
      <w:r>
        <w:rPr>
          <w:rFonts w:ascii="Arial" w:cs="Arial" w:eastAsia="Arial" w:hAnsi="Arial"/>
          <w:sz w:val="18"/>
          <w:szCs w:val="18"/>
          <w:i w:val="1"/>
          <w:iCs w:val="1"/>
          <w:color w:val="auto"/>
        </w:rPr>
        <w:t xml:space="preserve">States’ Budgets. </w:t>
      </w:r>
      <w:r>
        <w:rPr>
          <w:rFonts w:ascii="Arial" w:cs="Arial" w:eastAsia="Arial" w:hAnsi="Arial"/>
          <w:sz w:val="18"/>
          <w:szCs w:val="18"/>
          <w:color w:val="auto"/>
        </w:rPr>
        <w:t>From time to time, the states in which our health plans operate may experience financial difficulties, which could lead to delays</w:t>
      </w:r>
      <w:r>
        <w:rPr>
          <w:rFonts w:ascii="Arial" w:cs="Arial" w:eastAsia="Arial" w:hAnsi="Arial"/>
          <w:sz w:val="18"/>
          <w:szCs w:val="18"/>
          <w:i w:val="1"/>
          <w:iCs w:val="1"/>
          <w:color w:val="auto"/>
        </w:rPr>
        <w:t xml:space="preserve"> </w:t>
      </w:r>
      <w:r>
        <w:rPr>
          <w:rFonts w:ascii="Arial" w:cs="Arial" w:eastAsia="Arial" w:hAnsi="Arial"/>
          <w:sz w:val="18"/>
          <w:szCs w:val="18"/>
          <w:color w:val="auto"/>
        </w:rPr>
        <w:t>in premium payments. Until July 4, 2017, the state of Illinois operated without a budget for its current fiscal year. As of September 30, 2017, our Illinois health plan served approximately 163,000 members, and recognized premium revenue of approximately $447 million in the nine months ended September 30, 2017. As of October 27, 2017, the state of Illinois owed us approximately $220 million for certain March through September 2017 premiums.</w:t>
      </w:r>
    </w:p>
    <w:p>
      <w:pPr>
        <w:spacing w:after="0" w:line="175"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On May 3, 2017, Puerto Rico’s financial oversight board filed for a form of bankruptcy in the U.S. District Court in Puerto Rico under Title III of PROMESA. The Title III provision allows for a court debt restructuring process similar to U.S. bankruptcy protection. To the extent such bankruptcy results in our failure to receive payment of amounts due under our Medicaid contract with the Commonwealth or the inability of the Commonwealth to extend our Medicaid contract at the end of its current term, such bankruptcy could have a material adverse effect on our business, financial condition, cash flows, or results of operations. As of September 30, 2017, the plan served approximately 306,000 members and recorded premium revenue of approximately $553 million in the nine months ended September 30, 2017. As of October 27, 2017, the Commonwealth was current with its premium payments.</w:t>
      </w:r>
    </w:p>
    <w:p>
      <w:pPr>
        <w:spacing w:after="0" w:line="177"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i w:val="1"/>
          <w:iCs w:val="1"/>
          <w:color w:val="auto"/>
        </w:rPr>
        <w:t xml:space="preserve">Convertible Notes. </w:t>
      </w:r>
      <w:r>
        <w:rPr>
          <w:rFonts w:ascii="Arial" w:cs="Arial" w:eastAsia="Arial" w:hAnsi="Arial"/>
          <w:sz w:val="18"/>
          <w:szCs w:val="18"/>
          <w:color w:val="auto"/>
        </w:rPr>
        <w:t>We have outstanding $550 million aggregate principal amount of 1.125% cash convertible senior notes due January 15,</w:t>
      </w:r>
      <w:r>
        <w:rPr>
          <w:rFonts w:ascii="Arial" w:cs="Arial" w:eastAsia="Arial" w:hAnsi="Arial"/>
          <w:sz w:val="18"/>
          <w:szCs w:val="18"/>
          <w:i w:val="1"/>
          <w:iCs w:val="1"/>
          <w:color w:val="auto"/>
        </w:rPr>
        <w:t xml:space="preserve"> </w:t>
      </w:r>
      <w:r>
        <w:rPr>
          <w:rFonts w:ascii="Arial" w:cs="Arial" w:eastAsia="Arial" w:hAnsi="Arial"/>
          <w:sz w:val="18"/>
          <w:szCs w:val="18"/>
          <w:color w:val="auto"/>
        </w:rPr>
        <w:t>2020, unless earlier repurchased or converted. We refer to these notes as our 1.125% Convertible Notes. We also have outstanding $302 million aggregate principal amount of 1.625% convertible senior notes due August 14, 2044, unless earlier repurchased, redeemed, or converted. We refer to these notes as our 1.625% Convertible Notes. We refer to the 1.125% Convertible Notes and 1.625% Convertible Notes collectively as the Convertible Notes. The 1.125% Convertible Notes are convertible entirely into cash, and the 1.625% Convertible Notes are convertible partially into cash, each prior to their respective maturity dates under certain circumstances, one of which relates to the closing price of our common stock over a specified period. We refer to this conversion trigger as the stock price trigger.</w:t>
      </w:r>
    </w:p>
    <w:p>
      <w:pPr>
        <w:spacing w:after="0" w:line="31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Molina Healthcare, Inc. 2017 Form 10-Q | 60</w:t>
      </w:r>
    </w:p>
    <w:p>
      <w:pPr>
        <w:sectPr>
          <w:pgSz w:w="11900" w:h="16838" w:orient="portrait"/>
          <w:cols w:equalWidth="0" w:num="1">
            <w:col w:w="11420"/>
          </w:cols>
          <w:pgMar w:left="240" w:top="116" w:right="239" w:bottom="1440" w:gutter="0" w:footer="0" w:header="0"/>
        </w:sectPr>
      </w:pPr>
    </w:p>
    <w:bookmarkStart w:id="60" w:name="page61"/>
    <w:bookmarkEnd w:id="6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3" w:lineRule="exact"/>
        <w:rPr>
          <w:sz w:val="20"/>
          <w:szCs w:val="20"/>
          <w:color w:val="auto"/>
        </w:rPr>
      </w:pPr>
    </w:p>
    <w:p>
      <w:pPr>
        <w:ind w:right="100"/>
        <w:spacing w:after="0" w:line="271" w:lineRule="auto"/>
        <w:rPr>
          <w:sz w:val="20"/>
          <w:szCs w:val="20"/>
          <w:color w:val="auto"/>
        </w:rPr>
      </w:pPr>
      <w:r>
        <w:rPr>
          <w:rFonts w:ascii="Arial" w:cs="Arial" w:eastAsia="Arial" w:hAnsi="Arial"/>
          <w:sz w:val="18"/>
          <w:szCs w:val="18"/>
          <w:color w:val="auto"/>
        </w:rPr>
        <w:t>The stock price trigger for the 1.125% Convertible Notes is $53.00 per share. The 1.125% Convertible Notes met this trigger in the quarter ended September 30, 2017; therefore, they are convertible into cash and are reported in current portion of long-term debt as of September 30, 2017.</w:t>
      </w:r>
    </w:p>
    <w:p>
      <w:pPr>
        <w:spacing w:after="0" w:line="55"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The stock price trigger for the 1.625% Convertible Notes is $75.51 per share. The 1.625% Convertible Notes did not meet this stock price trigger in the quarter ended September 30, 2017. However, on contractually specified dates beginning in 2018, holders of the 1.625% Convertible Notes may require us to repurchase some or all of such notes. In addition, beginning May 15, 2018 until August 19, 2018, holders may convert some or all of the 1.625% Convertible Notes. Because of these put and conversion features, the 1.625% Convertible Notes are reported in current portion of long-term debt as of September 30, 2017. As noted above, because the proceeds from the 4.875% Notes are initially restricted to payments upon conversion or redemption of the 1.625% Convertible Notes, such restricted investments are also classified as current in the accompanying consolidated balance sheets.</w:t>
      </w:r>
    </w:p>
    <w:p>
      <w:pPr>
        <w:spacing w:after="0" w:line="69" w:lineRule="exact"/>
        <w:rPr>
          <w:sz w:val="20"/>
          <w:szCs w:val="20"/>
          <w:color w:val="auto"/>
        </w:rPr>
      </w:pPr>
    </w:p>
    <w:p>
      <w:pPr>
        <w:ind w:right="20"/>
        <w:spacing w:after="0" w:line="260" w:lineRule="auto"/>
        <w:rPr>
          <w:sz w:val="20"/>
          <w:szCs w:val="20"/>
          <w:color w:val="auto"/>
        </w:rPr>
      </w:pPr>
      <w:r>
        <w:rPr>
          <w:rFonts w:ascii="Arial" w:cs="Arial" w:eastAsia="Arial" w:hAnsi="Arial"/>
          <w:sz w:val="18"/>
          <w:szCs w:val="18"/>
          <w:color w:val="auto"/>
        </w:rPr>
        <w:t>For economic reasons related to the trading market for our Convertible Notes, we believe that the amount of the notes that may be converted over the next twelve months, if any, will not be significant. However, if the trading market for our Convertible Notes becomes closed or restricted due to market turmoil or other reasons such that the notes cannot be traded, or if the trading price of our Convertible Notes, which normally trade at a marginal premium to the underlying composite stock-and-interest economic value, no longer includes that marginal premium, holders of our Convertible Notes may elect to convert the notes to cash.</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We currently have sufficient available cash, combined with borrowing capacity available under our Credit Facility, to fund such conversions.</w:t>
      </w:r>
    </w:p>
    <w:p>
      <w:pPr>
        <w:spacing w:after="0" w:line="102" w:lineRule="exact"/>
        <w:rPr>
          <w:sz w:val="20"/>
          <w:szCs w:val="20"/>
          <w:color w:val="auto"/>
        </w:rPr>
      </w:pPr>
    </w:p>
    <w:p>
      <w:pPr>
        <w:spacing w:after="0"/>
        <w:rPr>
          <w:sz w:val="20"/>
          <w:szCs w:val="20"/>
          <w:color w:val="auto"/>
        </w:rPr>
      </w:pPr>
      <w:r>
        <w:rPr>
          <w:rFonts w:ascii="Arial" w:cs="Arial" w:eastAsia="Arial" w:hAnsi="Arial"/>
          <w:sz w:val="36"/>
          <w:szCs w:val="36"/>
          <w:b w:val="1"/>
          <w:bCs w:val="1"/>
          <w:color w:val="0F7C7F"/>
        </w:rPr>
        <w:t>CONTRACTUAL OBLIGATIONS</w:t>
      </w:r>
    </w:p>
    <w:p>
      <w:pPr>
        <w:spacing w:after="0" w:line="142" w:lineRule="exact"/>
        <w:rPr>
          <w:sz w:val="20"/>
          <w:szCs w:val="20"/>
          <w:color w:val="auto"/>
        </w:rPr>
      </w:pPr>
    </w:p>
    <w:p>
      <w:pPr>
        <w:ind w:right="320"/>
        <w:spacing w:after="0" w:line="292" w:lineRule="auto"/>
        <w:rPr>
          <w:sz w:val="20"/>
          <w:szCs w:val="20"/>
          <w:color w:val="auto"/>
        </w:rPr>
      </w:pPr>
      <w:r>
        <w:rPr>
          <w:rFonts w:ascii="Arial" w:cs="Arial" w:eastAsia="Arial" w:hAnsi="Arial"/>
          <w:sz w:val="18"/>
          <w:szCs w:val="18"/>
          <w:color w:val="auto"/>
        </w:rPr>
        <w:t>A summary of future obligations under our various contractual obligations and commitments as of December 31, 2016, was disclosed in our 2016 Annual Report on Form 10-K.</w:t>
      </w:r>
    </w:p>
    <w:p>
      <w:pPr>
        <w:spacing w:after="0" w:line="37" w:lineRule="exact"/>
        <w:rPr>
          <w:sz w:val="20"/>
          <w:szCs w:val="20"/>
          <w:color w:val="auto"/>
        </w:rPr>
      </w:pPr>
    </w:p>
    <w:p>
      <w:pPr>
        <w:ind w:right="240"/>
        <w:spacing w:after="0" w:line="271" w:lineRule="auto"/>
        <w:rPr>
          <w:sz w:val="20"/>
          <w:szCs w:val="20"/>
          <w:color w:val="auto"/>
        </w:rPr>
      </w:pPr>
      <w:r>
        <w:rPr>
          <w:rFonts w:ascii="Arial" w:cs="Arial" w:eastAsia="Arial" w:hAnsi="Arial"/>
          <w:sz w:val="18"/>
          <w:szCs w:val="18"/>
          <w:color w:val="auto"/>
        </w:rPr>
        <w:t>As described further in the Notes to Consolidated Financial Statements, Note 7 “Debt,” on June 6, 2017, we completed the private offering of $330 million aggregate principal amount of senior notes (4.875% Notes) due June 15, 2025. In addition, in the third quarter of 2017, we borrowed $300 million under our Credit Facility.</w:t>
      </w:r>
    </w:p>
    <w:p>
      <w:pPr>
        <w:spacing w:after="0" w:line="55" w:lineRule="exact"/>
        <w:rPr>
          <w:sz w:val="20"/>
          <w:szCs w:val="20"/>
          <w:color w:val="auto"/>
        </w:rPr>
      </w:pPr>
    </w:p>
    <w:p>
      <w:pPr>
        <w:ind w:right="120"/>
        <w:spacing w:after="0" w:line="292" w:lineRule="auto"/>
        <w:rPr>
          <w:sz w:val="20"/>
          <w:szCs w:val="20"/>
          <w:color w:val="auto"/>
        </w:rPr>
      </w:pPr>
      <w:r>
        <w:rPr>
          <w:rFonts w:ascii="Arial" w:cs="Arial" w:eastAsia="Arial" w:hAnsi="Arial"/>
          <w:sz w:val="18"/>
          <w:szCs w:val="18"/>
          <w:color w:val="auto"/>
        </w:rPr>
        <w:t>Other than the transactions described above, there were no material changes to this previously filed information outside the ordinary course of business during the nine months ended September 30, 2017.</w:t>
      </w:r>
    </w:p>
    <w:p>
      <w:pPr>
        <w:spacing w:after="0" w:line="129" w:lineRule="exact"/>
        <w:rPr>
          <w:sz w:val="20"/>
          <w:szCs w:val="20"/>
          <w:color w:val="auto"/>
        </w:rPr>
      </w:pPr>
    </w:p>
    <w:p>
      <w:pPr>
        <w:spacing w:after="0"/>
        <w:rPr>
          <w:sz w:val="20"/>
          <w:szCs w:val="20"/>
          <w:color w:val="auto"/>
        </w:rPr>
      </w:pPr>
      <w:r>
        <w:rPr>
          <w:rFonts w:ascii="Arial" w:cs="Arial" w:eastAsia="Arial" w:hAnsi="Arial"/>
          <w:sz w:val="36"/>
          <w:szCs w:val="36"/>
          <w:b w:val="1"/>
          <w:bCs w:val="1"/>
          <w:color w:val="0F7C7F"/>
        </w:rPr>
        <w:t>CRITICAL ACCOUNTING ESTIMATES</w:t>
      </w:r>
    </w:p>
    <w:p>
      <w:pPr>
        <w:spacing w:after="0" w:line="250" w:lineRule="exact"/>
        <w:rPr>
          <w:sz w:val="20"/>
          <w:szCs w:val="20"/>
          <w:color w:val="auto"/>
        </w:rPr>
      </w:pPr>
    </w:p>
    <w:p>
      <w:pPr>
        <w:ind w:right="40"/>
        <w:spacing w:after="0" w:line="292" w:lineRule="auto"/>
        <w:rPr>
          <w:sz w:val="20"/>
          <w:szCs w:val="20"/>
          <w:color w:val="auto"/>
        </w:rPr>
      </w:pPr>
      <w:r>
        <w:rPr>
          <w:rFonts w:ascii="Arial" w:cs="Arial" w:eastAsia="Arial" w:hAnsi="Arial"/>
          <w:sz w:val="18"/>
          <w:szCs w:val="18"/>
          <w:color w:val="auto"/>
        </w:rPr>
        <w:t>When we prepare our consolidated financial statements, we use estimates and assumptions that may affect reported amounts and disclosures; actual results could differ from these estimates. Our critical accounting estimates relate to:</w:t>
      </w:r>
    </w:p>
    <w:p>
      <w:pPr>
        <w:spacing w:after="0" w:line="145" w:lineRule="exact"/>
        <w:rPr>
          <w:sz w:val="20"/>
          <w:szCs w:val="20"/>
          <w:color w:val="auto"/>
        </w:rPr>
      </w:pPr>
    </w:p>
    <w:p>
      <w:pPr>
        <w:ind w:left="660" w:right="120" w:hanging="328"/>
        <w:spacing w:after="0" w:line="258" w:lineRule="auto"/>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i w:val="1"/>
          <w:iCs w:val="1"/>
          <w:color w:val="auto"/>
        </w:rPr>
        <w:t>Health Plans segment medical claims and benefits payable</w:t>
      </w:r>
      <w:r>
        <w:rPr>
          <w:rFonts w:ascii="Arial" w:cs="Arial" w:eastAsia="Arial" w:hAnsi="Arial"/>
          <w:sz w:val="18"/>
          <w:szCs w:val="18"/>
          <w:color w:val="auto"/>
        </w:rPr>
        <w:t>. Refer to Notes to Consolidated Financial Statements, Note 6, “Medical</w:t>
      </w:r>
      <w:r>
        <w:rPr>
          <w:rFonts w:ascii="Arial" w:cs="Arial" w:eastAsia="Arial" w:hAnsi="Arial"/>
          <w:sz w:val="18"/>
          <w:szCs w:val="18"/>
          <w:i w:val="1"/>
          <w:iCs w:val="1"/>
          <w:color w:val="auto"/>
        </w:rPr>
        <w:t xml:space="preserve"> </w:t>
      </w:r>
      <w:r>
        <w:rPr>
          <w:rFonts w:ascii="Arial" w:cs="Arial" w:eastAsia="Arial" w:hAnsi="Arial"/>
          <w:sz w:val="18"/>
          <w:szCs w:val="18"/>
          <w:color w:val="auto"/>
        </w:rPr>
        <w:t>Claims and Benefits Payable,” for a table that presents the components of the change in medical claims and benefits payable, and for additional information regarding the factors used to determine our changes in estimates for all periods presented in the accompanying consolidated financial statements. Other than the discussion as noted above, there have been no significant changes during the nine months ended September 30, 2017, to our disclosure reported in “Critical Accounting Estimates” in our Annual Report on Form 10-K for the year ended December 31, 2016.</w:t>
      </w:r>
    </w:p>
    <w:p>
      <w:pPr>
        <w:spacing w:after="0" w:line="177" w:lineRule="exact"/>
        <w:rPr>
          <w:rFonts w:ascii="Arial" w:cs="Arial" w:eastAsia="Arial" w:hAnsi="Arial"/>
          <w:sz w:val="18"/>
          <w:szCs w:val="18"/>
          <w:color w:val="auto"/>
        </w:rPr>
      </w:pPr>
    </w:p>
    <w:p>
      <w:pPr>
        <w:jc w:val="both"/>
        <w:ind w:left="660" w:right="60" w:hanging="328"/>
        <w:spacing w:after="0" w:line="271" w:lineRule="auto"/>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i w:val="1"/>
          <w:iCs w:val="1"/>
          <w:color w:val="auto"/>
        </w:rPr>
        <w:t>Health Plans segment contractual provisions that may adjust or limit revenue or profit</w:t>
      </w:r>
      <w:r>
        <w:rPr>
          <w:rFonts w:ascii="Arial" w:cs="Arial" w:eastAsia="Arial" w:hAnsi="Arial"/>
          <w:sz w:val="18"/>
          <w:szCs w:val="18"/>
          <w:color w:val="auto"/>
        </w:rPr>
        <w:t>. For a discussion of this topic, including amounts</w:t>
      </w:r>
      <w:r>
        <w:rPr>
          <w:rFonts w:ascii="Arial" w:cs="Arial" w:eastAsia="Arial" w:hAnsi="Arial"/>
          <w:sz w:val="18"/>
          <w:szCs w:val="18"/>
          <w:i w:val="1"/>
          <w:iCs w:val="1"/>
          <w:color w:val="auto"/>
        </w:rPr>
        <w:t xml:space="preserve"> </w:t>
      </w:r>
      <w:r>
        <w:rPr>
          <w:rFonts w:ascii="Arial" w:cs="Arial" w:eastAsia="Arial" w:hAnsi="Arial"/>
          <w:sz w:val="18"/>
          <w:szCs w:val="18"/>
          <w:color w:val="auto"/>
        </w:rPr>
        <w:t>recorded in our consolidated financial statements, refer to Notes to Consolidated Financial Statements, Note 2, “Significant Accounting Policies.”</w:t>
      </w:r>
    </w:p>
    <w:p>
      <w:pPr>
        <w:spacing w:after="0" w:line="163" w:lineRule="exact"/>
        <w:rPr>
          <w:rFonts w:ascii="Arial" w:cs="Arial" w:eastAsia="Arial" w:hAnsi="Arial"/>
          <w:sz w:val="18"/>
          <w:szCs w:val="18"/>
          <w:color w:val="auto"/>
        </w:rPr>
      </w:pPr>
    </w:p>
    <w:p>
      <w:pPr>
        <w:ind w:left="660" w:right="620" w:hanging="328"/>
        <w:spacing w:after="0" w:line="292" w:lineRule="auto"/>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i w:val="1"/>
          <w:iCs w:val="1"/>
          <w:color w:val="auto"/>
        </w:rPr>
        <w:t>Health Plans segment quality incentives</w:t>
      </w:r>
      <w:r>
        <w:rPr>
          <w:rFonts w:ascii="Arial" w:cs="Arial" w:eastAsia="Arial" w:hAnsi="Arial"/>
          <w:sz w:val="18"/>
          <w:szCs w:val="18"/>
          <w:color w:val="auto"/>
        </w:rPr>
        <w:t>. For a discussion of this topic, including amounts recorded in our consolidated financial</w:t>
      </w:r>
      <w:r>
        <w:rPr>
          <w:rFonts w:ascii="Arial" w:cs="Arial" w:eastAsia="Arial" w:hAnsi="Arial"/>
          <w:sz w:val="18"/>
          <w:szCs w:val="18"/>
          <w:i w:val="1"/>
          <w:iCs w:val="1"/>
          <w:color w:val="auto"/>
        </w:rPr>
        <w:t xml:space="preserve"> </w:t>
      </w:r>
      <w:r>
        <w:rPr>
          <w:rFonts w:ascii="Arial" w:cs="Arial" w:eastAsia="Arial" w:hAnsi="Arial"/>
          <w:sz w:val="18"/>
          <w:szCs w:val="18"/>
          <w:color w:val="auto"/>
        </w:rPr>
        <w:t>statements, refer to Notes to Consolidated Financial Statements, Note 2, “Significant Accounting Policies.”</w:t>
      </w:r>
    </w:p>
    <w:p>
      <w:pPr>
        <w:spacing w:after="0" w:line="144" w:lineRule="exact"/>
        <w:rPr>
          <w:rFonts w:ascii="Arial" w:cs="Arial" w:eastAsia="Arial" w:hAnsi="Arial"/>
          <w:sz w:val="18"/>
          <w:szCs w:val="18"/>
          <w:color w:val="auto"/>
        </w:rPr>
      </w:pPr>
    </w:p>
    <w:p>
      <w:pPr>
        <w:jc w:val="both"/>
        <w:ind w:left="660" w:right="340" w:hanging="328"/>
        <w:spacing w:after="0" w:line="271" w:lineRule="auto"/>
        <w:tabs>
          <w:tab w:leader="none" w:pos="660" w:val="left"/>
        </w:tabs>
        <w:numPr>
          <w:ilvl w:val="0"/>
          <w:numId w:val="20"/>
        </w:numPr>
        <w:rPr>
          <w:rFonts w:ascii="Arial" w:cs="Arial" w:eastAsia="Arial" w:hAnsi="Arial"/>
          <w:sz w:val="18"/>
          <w:szCs w:val="18"/>
          <w:i w:val="1"/>
          <w:iCs w:val="1"/>
          <w:color w:val="auto"/>
        </w:rPr>
      </w:pPr>
      <w:r>
        <w:rPr>
          <w:rFonts w:ascii="Arial" w:cs="Arial" w:eastAsia="Arial" w:hAnsi="Arial"/>
          <w:sz w:val="18"/>
          <w:szCs w:val="18"/>
          <w:i w:val="1"/>
          <w:iCs w:val="1"/>
          <w:color w:val="auto"/>
        </w:rPr>
        <w:t>Molina Medicaid Solutions segment revenue and cost recognition</w:t>
      </w:r>
      <w:r>
        <w:rPr>
          <w:rFonts w:ascii="Arial" w:cs="Arial" w:eastAsia="Arial" w:hAnsi="Arial"/>
          <w:sz w:val="18"/>
          <w:szCs w:val="18"/>
          <w:color w:val="auto"/>
        </w:rPr>
        <w:t>. There have been no significant changes during the nine months</w:t>
      </w:r>
      <w:r>
        <w:rPr>
          <w:rFonts w:ascii="Arial" w:cs="Arial" w:eastAsia="Arial" w:hAnsi="Arial"/>
          <w:sz w:val="18"/>
          <w:szCs w:val="18"/>
          <w:i w:val="1"/>
          <w:iCs w:val="1"/>
          <w:color w:val="auto"/>
        </w:rPr>
        <w:t xml:space="preserve"> </w:t>
      </w:r>
      <w:r>
        <w:rPr>
          <w:rFonts w:ascii="Arial" w:cs="Arial" w:eastAsia="Arial" w:hAnsi="Arial"/>
          <w:sz w:val="18"/>
          <w:szCs w:val="18"/>
          <w:color w:val="auto"/>
        </w:rPr>
        <w:t>ended September 30, 2017, to our disclosure reported in “Critical Accounting Estimates” in our Annual Report on Form 10-K for the year ended December 31, 2016.</w:t>
      </w:r>
    </w:p>
    <w:p>
      <w:pPr>
        <w:spacing w:after="0" w:line="163" w:lineRule="exact"/>
        <w:rPr>
          <w:rFonts w:ascii="Arial" w:cs="Arial" w:eastAsia="Arial" w:hAnsi="Arial"/>
          <w:sz w:val="18"/>
          <w:szCs w:val="18"/>
          <w:i w:val="1"/>
          <w:iCs w:val="1"/>
          <w:color w:val="auto"/>
        </w:rPr>
      </w:pPr>
    </w:p>
    <w:p>
      <w:pPr>
        <w:ind w:left="660" w:right="260" w:hanging="328"/>
        <w:spacing w:after="0" w:line="271" w:lineRule="auto"/>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i w:val="1"/>
          <w:iCs w:val="1"/>
          <w:color w:val="auto"/>
        </w:rPr>
        <w:t xml:space="preserve">Goodwill and intangible assets, net. </w:t>
      </w:r>
      <w:r>
        <w:rPr>
          <w:rFonts w:ascii="Arial" w:cs="Arial" w:eastAsia="Arial" w:hAnsi="Arial"/>
          <w:sz w:val="18"/>
          <w:szCs w:val="18"/>
          <w:color w:val="auto"/>
        </w:rPr>
        <w:t>Please refer to Notes to Consolidated Financial Statements, Note 2, “Significant Accounting</w:t>
      </w:r>
      <w:r>
        <w:rPr>
          <w:rFonts w:ascii="Arial" w:cs="Arial" w:eastAsia="Arial" w:hAnsi="Arial"/>
          <w:sz w:val="18"/>
          <w:szCs w:val="18"/>
          <w:i w:val="1"/>
          <w:iCs w:val="1"/>
          <w:color w:val="auto"/>
        </w:rPr>
        <w:t xml:space="preserve"> </w:t>
      </w:r>
      <w:r>
        <w:rPr>
          <w:rFonts w:ascii="Arial" w:cs="Arial" w:eastAsia="Arial" w:hAnsi="Arial"/>
          <w:sz w:val="18"/>
          <w:szCs w:val="18"/>
          <w:color w:val="auto"/>
        </w:rPr>
        <w:t>Policies,” regarding our adoption of Accounting Standards Update No. 2017-04 as of June 30, 2017, which has simplified the test for goodwill impairment. In the third quarter of 2017, we</w:t>
      </w:r>
    </w:p>
    <w:p>
      <w:pPr>
        <w:spacing w:after="0" w:line="29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Molina Healthcare, Inc. 2017 Form 10-Q | 61</w:t>
      </w:r>
    </w:p>
    <w:p>
      <w:pPr>
        <w:sectPr>
          <w:pgSz w:w="11900" w:h="16838" w:orient="portrait"/>
          <w:cols w:equalWidth="0" w:num="1">
            <w:col w:w="11420"/>
          </w:cols>
          <w:pgMar w:left="240" w:top="116" w:right="239" w:bottom="1440" w:gutter="0" w:footer="0" w:header="0"/>
        </w:sectPr>
      </w:pPr>
    </w:p>
    <w:bookmarkStart w:id="61" w:name="page62"/>
    <w:bookmarkEnd w:id="6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88" w:lineRule="exact"/>
        <w:rPr>
          <w:sz w:val="20"/>
          <w:szCs w:val="20"/>
          <w:color w:val="auto"/>
        </w:rPr>
      </w:pPr>
    </w:p>
    <w:p>
      <w:pPr>
        <w:ind w:left="660" w:right="120"/>
        <w:spacing w:after="0" w:line="302" w:lineRule="auto"/>
        <w:rPr>
          <w:sz w:val="20"/>
          <w:szCs w:val="20"/>
          <w:color w:val="auto"/>
        </w:rPr>
      </w:pPr>
      <w:r>
        <w:rPr>
          <w:rFonts w:ascii="Arial" w:cs="Arial" w:eastAsia="Arial" w:hAnsi="Arial"/>
          <w:sz w:val="18"/>
          <w:szCs w:val="18"/>
          <w:color w:val="auto"/>
        </w:rPr>
        <w:t>recorded impairment charges of $129 million for goodwill, and in the second quarter of 2017, we recorded impairment charges of $61 million for goodwill and $11 million for intangible assets, or $72 million in the aggregate. Such charges are reported in the accompanying consolidated statements of operations as “Impairment losses.” At September 30, 2017, goodwill and intangible assets, net, represented approximately 6% of total assets and 37% of total stockholders’ equity, compared with 10% and 46%, respectively, at December 31, 2016. Refer to Notes to Consolidated Financial Statements, Note 10, “</w:t>
      </w:r>
      <w:r>
        <w:rPr>
          <w:rFonts w:ascii="Arial" w:cs="Arial" w:eastAsia="Arial" w:hAnsi="Arial"/>
          <w:sz w:val="21"/>
          <w:szCs w:val="21"/>
          <w:color w:val="auto"/>
        </w:rPr>
        <w:t>Impairment Losses</w:t>
      </w:r>
      <w:r>
        <w:rPr>
          <w:rFonts w:ascii="Arial" w:cs="Arial" w:eastAsia="Arial" w:hAnsi="Arial"/>
          <w:sz w:val="18"/>
          <w:szCs w:val="18"/>
          <w:color w:val="auto"/>
        </w:rPr>
        <w:t>.”</w:t>
      </w:r>
    </w:p>
    <w:p>
      <w:pPr>
        <w:spacing w:after="0" w:line="125" w:lineRule="exact"/>
        <w:rPr>
          <w:sz w:val="20"/>
          <w:szCs w:val="20"/>
          <w:color w:val="auto"/>
        </w:rPr>
      </w:pPr>
    </w:p>
    <w:p>
      <w:pPr>
        <w:spacing w:after="0"/>
        <w:rPr>
          <w:sz w:val="20"/>
          <w:szCs w:val="20"/>
          <w:color w:val="auto"/>
        </w:rPr>
      </w:pPr>
      <w:r>
        <w:rPr>
          <w:rFonts w:ascii="Arial" w:cs="Arial" w:eastAsia="Arial" w:hAnsi="Arial"/>
          <w:sz w:val="36"/>
          <w:szCs w:val="36"/>
          <w:b w:val="1"/>
          <w:bCs w:val="1"/>
          <w:color w:val="0F7C7F"/>
        </w:rPr>
        <w:t>SUPPLEMENTAL INFORMATION</w:t>
      </w:r>
    </w:p>
    <w:p>
      <w:pPr>
        <w:spacing w:after="0" w:line="230" w:lineRule="exact"/>
        <w:rPr>
          <w:sz w:val="20"/>
          <w:szCs w:val="20"/>
          <w:color w:val="auto"/>
        </w:rPr>
      </w:pPr>
    </w:p>
    <w:p>
      <w:pPr>
        <w:ind w:right="800"/>
        <w:spacing w:after="0" w:line="306" w:lineRule="auto"/>
        <w:rPr>
          <w:sz w:val="20"/>
          <w:szCs w:val="20"/>
          <w:color w:val="auto"/>
        </w:rPr>
      </w:pPr>
      <w:r>
        <w:rPr>
          <w:rFonts w:ascii="Arial" w:cs="Arial" w:eastAsia="Arial" w:hAnsi="Arial"/>
          <w:sz w:val="32"/>
          <w:szCs w:val="32"/>
          <w:b w:val="1"/>
          <w:bCs w:val="1"/>
          <w:color w:val="ACACAC"/>
        </w:rPr>
        <w:t>FINANCIAL MEASURES THAT SUPPLEMENT U.S. GAAP (NON-GAAP FINANCIAL MEASURES)</w:t>
      </w:r>
    </w:p>
    <w:p>
      <w:pPr>
        <w:spacing w:after="0" w:line="53" w:lineRule="exact"/>
        <w:rPr>
          <w:sz w:val="20"/>
          <w:szCs w:val="20"/>
          <w:color w:val="auto"/>
        </w:rPr>
      </w:pPr>
    </w:p>
    <w:p>
      <w:pPr>
        <w:jc w:val="both"/>
        <w:ind w:right="160"/>
        <w:spacing w:after="0" w:line="271" w:lineRule="auto"/>
        <w:rPr>
          <w:sz w:val="20"/>
          <w:szCs w:val="20"/>
          <w:color w:val="auto"/>
        </w:rPr>
      </w:pPr>
      <w:r>
        <w:rPr>
          <w:rFonts w:ascii="Arial" w:cs="Arial" w:eastAsia="Arial" w:hAnsi="Arial"/>
          <w:sz w:val="18"/>
          <w:szCs w:val="18"/>
          <w:color w:val="auto"/>
        </w:rPr>
        <w:t>We use these non-GAAP financial measures as supplemental metrics in evaluating our financial performance, making financing and business decisions, and forecasting and planning for future periods. For these reasons, management believes such measures are useful supplemental measures to investors in comparing our performance to the performance of other public companies in the health care industry.</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EBITDA*</w:t>
      </w:r>
    </w:p>
    <w:p>
      <w:pPr>
        <w:spacing w:after="0" w:line="227" w:lineRule="exact"/>
        <w:rPr>
          <w:sz w:val="20"/>
          <w:szCs w:val="20"/>
          <w:color w:val="auto"/>
        </w:rPr>
      </w:pPr>
    </w:p>
    <w:p>
      <w:pPr>
        <w:ind w:right="340"/>
        <w:spacing w:after="0" w:line="292" w:lineRule="auto"/>
        <w:rPr>
          <w:sz w:val="20"/>
          <w:szCs w:val="20"/>
          <w:color w:val="auto"/>
        </w:rPr>
      </w:pPr>
      <w:r>
        <w:rPr>
          <w:rFonts w:ascii="Arial" w:cs="Arial" w:eastAsia="Arial" w:hAnsi="Arial"/>
          <w:sz w:val="18"/>
          <w:szCs w:val="18"/>
          <w:color w:val="auto"/>
        </w:rPr>
        <w:t>We believe that earnings before interest, taxes, depreciation and amortization (EBITDA*) is helpful in assessing our ability to meet the cash demands of our operating units.</w:t>
      </w:r>
    </w:p>
    <w:p>
      <w:pPr>
        <w:spacing w:after="0" w:line="368"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700" w:type="dxa"/>
            <w:vAlign w:val="bottom"/>
          </w:tcPr>
          <w:p>
            <w:pPr>
              <w:spacing w:after="0"/>
              <w:rPr>
                <w:sz w:val="17"/>
                <w:szCs w:val="17"/>
                <w:color w:val="auto"/>
              </w:rPr>
            </w:pPr>
          </w:p>
        </w:tc>
        <w:tc>
          <w:tcPr>
            <w:tcW w:w="292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Three Months Ended September 30,</w:t>
            </w:r>
          </w:p>
        </w:tc>
        <w:tc>
          <w:tcPr>
            <w:tcW w:w="40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2880" w:type="dxa"/>
            <w:vAlign w:val="bottom"/>
            <w:tcBorders>
              <w:bottom w:val="single" w:sz="8" w:color="auto"/>
            </w:tcBorders>
            <w:gridSpan w:val="4"/>
          </w:tcPr>
          <w:p>
            <w:pPr>
              <w:jc w:val="right"/>
              <w:ind w:right="380"/>
              <w:spacing w:after="0"/>
              <w:rPr>
                <w:sz w:val="20"/>
                <w:szCs w:val="20"/>
                <w:color w:val="auto"/>
              </w:rPr>
            </w:pPr>
            <w:r>
              <w:rPr>
                <w:rFonts w:ascii="Arial" w:cs="Arial" w:eastAsia="Arial" w:hAnsi="Arial"/>
                <w:sz w:val="14"/>
                <w:szCs w:val="14"/>
                <w:b w:val="1"/>
                <w:bCs w:val="1"/>
                <w:color w:val="auto"/>
              </w:rPr>
              <w:t>Nine Months Ended September 30,</w:t>
            </w:r>
          </w:p>
        </w:tc>
      </w:tr>
      <w:tr>
        <w:trPr>
          <w:trHeight w:val="264"/>
        </w:trPr>
        <w:tc>
          <w:tcPr>
            <w:tcW w:w="4700" w:type="dxa"/>
            <w:vAlign w:val="bottom"/>
          </w:tcPr>
          <w:p>
            <w:pPr>
              <w:spacing w:after="0"/>
              <w:rPr>
                <w:sz w:val="22"/>
                <w:szCs w:val="22"/>
                <w:color w:val="auto"/>
              </w:rPr>
            </w:pPr>
          </w:p>
        </w:tc>
        <w:tc>
          <w:tcPr>
            <w:tcW w:w="1100" w:type="dxa"/>
            <w:vAlign w:val="bottom"/>
            <w:tcBorders>
              <w:bottom w:val="single" w:sz="8" w:color="auto"/>
            </w:tcBorders>
          </w:tcPr>
          <w:p>
            <w:pPr>
              <w:jc w:val="right"/>
              <w:ind w:right="83"/>
              <w:spacing w:after="0"/>
              <w:rPr>
                <w:sz w:val="20"/>
                <w:szCs w:val="20"/>
                <w:color w:val="auto"/>
              </w:rPr>
            </w:pPr>
            <w:r>
              <w:rPr>
                <w:rFonts w:ascii="Arial" w:cs="Arial" w:eastAsia="Arial" w:hAnsi="Arial"/>
                <w:sz w:val="14"/>
                <w:szCs w:val="14"/>
                <w:b w:val="1"/>
                <w:bCs w:val="1"/>
                <w:color w:val="auto"/>
              </w:rPr>
              <w:t>2017</w:t>
            </w:r>
          </w:p>
        </w:tc>
        <w:tc>
          <w:tcPr>
            <w:tcW w:w="52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182"/>
              <w:spacing w:after="0"/>
              <w:rPr>
                <w:sz w:val="20"/>
                <w:szCs w:val="20"/>
                <w:color w:val="auto"/>
              </w:rPr>
            </w:pPr>
            <w:r>
              <w:rPr>
                <w:rFonts w:ascii="Arial" w:cs="Arial" w:eastAsia="Arial" w:hAnsi="Arial"/>
                <w:sz w:val="14"/>
                <w:szCs w:val="14"/>
                <w:b w:val="1"/>
                <w:bCs w:val="1"/>
                <w:color w:val="auto"/>
              </w:rPr>
              <w:t>2016</w:t>
            </w:r>
          </w:p>
        </w:tc>
        <w:tc>
          <w:tcPr>
            <w:tcW w:w="40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582"/>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auto"/>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580"/>
              <w:spacing w:after="0"/>
              <w:rPr>
                <w:sz w:val="20"/>
                <w:szCs w:val="20"/>
                <w:color w:val="auto"/>
              </w:rPr>
            </w:pPr>
            <w:r>
              <w:rPr>
                <w:rFonts w:ascii="Arial" w:cs="Arial" w:eastAsia="Arial" w:hAnsi="Arial"/>
                <w:sz w:val="14"/>
                <w:szCs w:val="14"/>
                <w:b w:val="1"/>
                <w:bCs w:val="1"/>
                <w:color w:val="auto"/>
              </w:rPr>
              <w:t>2016</w:t>
            </w:r>
          </w:p>
        </w:tc>
      </w:tr>
      <w:tr>
        <w:trPr>
          <w:trHeight w:val="250"/>
        </w:trPr>
        <w:tc>
          <w:tcPr>
            <w:tcW w:w="470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92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millions)</w:t>
            </w: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spacing w:after="0"/>
              <w:rPr>
                <w:sz w:val="21"/>
                <w:szCs w:val="21"/>
                <w:color w:val="auto"/>
              </w:rPr>
            </w:pPr>
          </w:p>
        </w:tc>
      </w:tr>
      <w:tr>
        <w:trPr>
          <w:trHeight w:val="271"/>
        </w:trPr>
        <w:tc>
          <w:tcPr>
            <w:tcW w:w="4700" w:type="dxa"/>
            <w:vAlign w:val="bottom"/>
            <w:shd w:val="clear" w:color="auto" w:fill="CCEEFF"/>
          </w:tcPr>
          <w:p>
            <w:pPr>
              <w:ind w:left="40"/>
              <w:spacing w:after="0"/>
              <w:rPr>
                <w:sz w:val="20"/>
                <w:szCs w:val="20"/>
                <w:color w:val="auto"/>
              </w:rPr>
            </w:pPr>
            <w:r>
              <w:rPr>
                <w:rFonts w:ascii="Arial" w:cs="Arial" w:eastAsia="Arial" w:hAnsi="Arial"/>
                <w:sz w:val="16"/>
                <w:szCs w:val="16"/>
                <w:color w:val="auto"/>
              </w:rPr>
              <w:t>Net (loss) income</w:t>
            </w:r>
          </w:p>
        </w:tc>
        <w:tc>
          <w:tcPr>
            <w:tcW w:w="1100" w:type="dxa"/>
            <w:vAlign w:val="bottom"/>
            <w:shd w:val="clear" w:color="auto" w:fill="CCEEFF"/>
          </w:tcPr>
          <w:p>
            <w:pPr>
              <w:jc w:val="right"/>
              <w:ind w:right="903"/>
              <w:spacing w:after="0"/>
              <w:rPr>
                <w:sz w:val="20"/>
                <w:szCs w:val="20"/>
                <w:color w:val="auto"/>
              </w:rPr>
            </w:pPr>
            <w:r>
              <w:rPr>
                <w:rFonts w:ascii="Arial" w:cs="Arial" w:eastAsia="Arial" w:hAnsi="Arial"/>
                <w:sz w:val="16"/>
                <w:szCs w:val="16"/>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(97)</w:t>
            </w:r>
          </w:p>
        </w:tc>
        <w:tc>
          <w:tcPr>
            <w:tcW w:w="100" w:type="dxa"/>
            <w:vAlign w:val="bottom"/>
            <w:shd w:val="clear" w:color="auto" w:fill="CCEEFF"/>
          </w:tcPr>
          <w:p>
            <w:pPr>
              <w:spacing w:after="0"/>
              <w:rPr>
                <w:sz w:val="23"/>
                <w:szCs w:val="23"/>
                <w:color w:val="auto"/>
              </w:rPr>
            </w:pPr>
          </w:p>
        </w:tc>
        <w:tc>
          <w:tcPr>
            <w:tcW w:w="1200" w:type="dxa"/>
            <w:vAlign w:val="bottom"/>
            <w:shd w:val="clear" w:color="auto" w:fill="CCEEFF"/>
          </w:tcPr>
          <w:p>
            <w:pPr>
              <w:jc w:val="right"/>
              <w:ind w:right="1002"/>
              <w:spacing w:after="0"/>
              <w:rPr>
                <w:sz w:val="20"/>
                <w:szCs w:val="20"/>
                <w:color w:val="auto"/>
              </w:rPr>
            </w:pPr>
            <w:r>
              <w:rPr>
                <w:rFonts w:ascii="Arial" w:cs="Arial" w:eastAsia="Arial" w:hAnsi="Arial"/>
                <w:sz w:val="16"/>
                <w:szCs w:val="16"/>
                <w:color w:val="auto"/>
              </w:rPr>
              <w:t>$</w:t>
            </w:r>
          </w:p>
        </w:tc>
        <w:tc>
          <w:tcPr>
            <w:tcW w:w="40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42</w:t>
            </w:r>
          </w:p>
        </w:tc>
        <w:tc>
          <w:tcPr>
            <w:tcW w:w="100" w:type="dxa"/>
            <w:vAlign w:val="bottom"/>
            <w:shd w:val="clear" w:color="auto" w:fill="CCEEFF"/>
          </w:tcPr>
          <w:p>
            <w:pPr>
              <w:spacing w:after="0"/>
              <w:rPr>
                <w:sz w:val="23"/>
                <w:szCs w:val="23"/>
                <w:color w:val="auto"/>
              </w:rPr>
            </w:pPr>
          </w:p>
        </w:tc>
        <w:tc>
          <w:tcPr>
            <w:tcW w:w="420" w:type="dxa"/>
            <w:vAlign w:val="bottom"/>
            <w:shd w:val="clear" w:color="auto" w:fill="CCEEFF"/>
          </w:tcPr>
          <w:p>
            <w:pPr>
              <w:jc w:val="right"/>
              <w:ind w:right="219"/>
              <w:spacing w:after="0"/>
              <w:rPr>
                <w:sz w:val="20"/>
                <w:szCs w:val="20"/>
                <w:color w:val="auto"/>
              </w:rPr>
            </w:pPr>
            <w:r>
              <w:rPr>
                <w:rFonts w:ascii="Arial" w:cs="Arial" w:eastAsia="Arial" w:hAnsi="Arial"/>
                <w:sz w:val="16"/>
                <w:szCs w:val="16"/>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(250)</w:t>
            </w:r>
          </w:p>
        </w:tc>
        <w:tc>
          <w:tcPr>
            <w:tcW w:w="100" w:type="dxa"/>
            <w:vAlign w:val="bottom"/>
            <w:shd w:val="clear" w:color="auto" w:fill="CCEEFF"/>
          </w:tcPr>
          <w:p>
            <w:pPr>
              <w:spacing w:after="0"/>
              <w:rPr>
                <w:sz w:val="23"/>
                <w:szCs w:val="23"/>
                <w:color w:val="auto"/>
              </w:rPr>
            </w:pPr>
          </w:p>
        </w:tc>
        <w:tc>
          <w:tcPr>
            <w:tcW w:w="38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22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99</w:t>
            </w:r>
          </w:p>
        </w:tc>
      </w:tr>
      <w:tr>
        <w:trPr>
          <w:trHeight w:val="262"/>
        </w:trPr>
        <w:tc>
          <w:tcPr>
            <w:tcW w:w="4700" w:type="dxa"/>
            <w:vAlign w:val="bottom"/>
          </w:tcPr>
          <w:p>
            <w:pPr>
              <w:ind w:left="40"/>
              <w:spacing w:after="0"/>
              <w:rPr>
                <w:sz w:val="20"/>
                <w:szCs w:val="20"/>
                <w:color w:val="auto"/>
              </w:rPr>
            </w:pPr>
            <w:r>
              <w:rPr>
                <w:rFonts w:ascii="Arial" w:cs="Arial" w:eastAsia="Arial" w:hAnsi="Arial"/>
                <w:sz w:val="16"/>
                <w:szCs w:val="16"/>
                <w:color w:val="auto"/>
              </w:rPr>
              <w:t>Adjustments:</w:t>
            </w:r>
          </w:p>
        </w:tc>
        <w:tc>
          <w:tcPr>
            <w:tcW w:w="110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20" w:type="dxa"/>
            <w:vAlign w:val="bottom"/>
          </w:tcPr>
          <w:p>
            <w:pPr>
              <w:spacing w:after="0"/>
              <w:rPr>
                <w:sz w:val="22"/>
                <w:szCs w:val="22"/>
                <w:color w:val="auto"/>
              </w:rPr>
            </w:pPr>
          </w:p>
        </w:tc>
      </w:tr>
      <w:tr>
        <w:trPr>
          <w:trHeight w:val="206"/>
        </w:trPr>
        <w:tc>
          <w:tcPr>
            <w:tcW w:w="4700" w:type="dxa"/>
            <w:vAlign w:val="bottom"/>
            <w:shd w:val="clear" w:color="auto" w:fill="CCEEFF"/>
          </w:tcPr>
          <w:p>
            <w:pPr>
              <w:ind w:left="180"/>
              <w:spacing w:after="0"/>
              <w:rPr>
                <w:sz w:val="20"/>
                <w:szCs w:val="20"/>
                <w:color w:val="auto"/>
              </w:rPr>
            </w:pPr>
            <w:r>
              <w:rPr>
                <w:rFonts w:ascii="Arial" w:cs="Arial" w:eastAsia="Arial" w:hAnsi="Arial"/>
                <w:sz w:val="16"/>
                <w:szCs w:val="16"/>
                <w:color w:val="auto"/>
              </w:rPr>
              <w:t>Depreciation, and amortization of intangible assets and</w:t>
            </w:r>
          </w:p>
        </w:tc>
        <w:tc>
          <w:tcPr>
            <w:tcW w:w="11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r>
      <w:tr>
        <w:trPr>
          <w:trHeight w:val="234"/>
        </w:trPr>
        <w:tc>
          <w:tcPr>
            <w:tcW w:w="4700" w:type="dxa"/>
            <w:vAlign w:val="bottom"/>
            <w:shd w:val="clear" w:color="auto" w:fill="CCEEFF"/>
          </w:tcPr>
          <w:p>
            <w:pPr>
              <w:ind w:left="340"/>
              <w:spacing w:after="0"/>
              <w:rPr>
                <w:sz w:val="20"/>
                <w:szCs w:val="20"/>
                <w:color w:val="auto"/>
              </w:rPr>
            </w:pPr>
            <w:r>
              <w:rPr>
                <w:rFonts w:ascii="Arial" w:cs="Arial" w:eastAsia="Arial" w:hAnsi="Arial"/>
                <w:sz w:val="16"/>
                <w:szCs w:val="16"/>
                <w:color w:val="auto"/>
              </w:rPr>
              <w:t>capitalized software</w:t>
            </w:r>
          </w:p>
        </w:tc>
        <w:tc>
          <w:tcPr>
            <w:tcW w:w="1100" w:type="dxa"/>
            <w:vAlign w:val="bottom"/>
            <w:shd w:val="clear" w:color="auto" w:fill="CCEEFF"/>
          </w:tcPr>
          <w:p>
            <w:pPr>
              <w:spacing w:after="0"/>
              <w:rPr>
                <w:sz w:val="20"/>
                <w:szCs w:val="20"/>
                <w:color w:val="auto"/>
              </w:rPr>
            </w:pPr>
          </w:p>
        </w:tc>
        <w:tc>
          <w:tcPr>
            <w:tcW w:w="5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39</w:t>
            </w:r>
          </w:p>
        </w:tc>
        <w:tc>
          <w:tcPr>
            <w:tcW w:w="10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40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42</w:t>
            </w:r>
          </w:p>
        </w:tc>
        <w:tc>
          <w:tcPr>
            <w:tcW w:w="10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118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129</w:t>
            </w:r>
          </w:p>
        </w:tc>
        <w:tc>
          <w:tcPr>
            <w:tcW w:w="10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22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118</w:t>
            </w:r>
          </w:p>
        </w:tc>
      </w:tr>
      <w:tr>
        <w:trPr>
          <w:trHeight w:val="262"/>
        </w:trPr>
        <w:tc>
          <w:tcPr>
            <w:tcW w:w="4700" w:type="dxa"/>
            <w:vAlign w:val="bottom"/>
          </w:tcPr>
          <w:p>
            <w:pPr>
              <w:ind w:left="180"/>
              <w:spacing w:after="0"/>
              <w:rPr>
                <w:sz w:val="20"/>
                <w:szCs w:val="20"/>
                <w:color w:val="auto"/>
              </w:rPr>
            </w:pPr>
            <w:r>
              <w:rPr>
                <w:rFonts w:ascii="Arial" w:cs="Arial" w:eastAsia="Arial" w:hAnsi="Arial"/>
                <w:sz w:val="16"/>
                <w:szCs w:val="16"/>
                <w:color w:val="auto"/>
              </w:rPr>
              <w:t>Interest expense</w:t>
            </w:r>
          </w:p>
        </w:tc>
        <w:tc>
          <w:tcPr>
            <w:tcW w:w="1100" w:type="dxa"/>
            <w:vAlign w:val="bottom"/>
          </w:tcPr>
          <w:p>
            <w:pPr>
              <w:spacing w:after="0"/>
              <w:rPr>
                <w:sz w:val="22"/>
                <w:szCs w:val="22"/>
                <w:color w:val="auto"/>
              </w:rPr>
            </w:pPr>
          </w:p>
        </w:tc>
        <w:tc>
          <w:tcPr>
            <w:tcW w:w="520" w:type="dxa"/>
            <w:vAlign w:val="bottom"/>
          </w:tcPr>
          <w:p>
            <w:pPr>
              <w:jc w:val="right"/>
              <w:ind w:right="39"/>
              <w:spacing w:after="0"/>
              <w:rPr>
                <w:sz w:val="20"/>
                <w:szCs w:val="20"/>
                <w:color w:val="auto"/>
              </w:rPr>
            </w:pPr>
            <w:r>
              <w:rPr>
                <w:rFonts w:ascii="Arial" w:cs="Arial" w:eastAsia="Arial" w:hAnsi="Arial"/>
                <w:sz w:val="16"/>
                <w:szCs w:val="16"/>
                <w:color w:val="auto"/>
              </w:rPr>
              <w:t>32</w:t>
            </w:r>
          </w:p>
        </w:tc>
        <w:tc>
          <w:tcPr>
            <w:tcW w:w="10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400" w:type="dxa"/>
            <w:vAlign w:val="bottom"/>
          </w:tcPr>
          <w:p>
            <w:pPr>
              <w:jc w:val="right"/>
              <w:ind w:right="40"/>
              <w:spacing w:after="0"/>
              <w:rPr>
                <w:sz w:val="20"/>
                <w:szCs w:val="20"/>
                <w:color w:val="auto"/>
              </w:rPr>
            </w:pPr>
            <w:r>
              <w:rPr>
                <w:rFonts w:ascii="Arial" w:cs="Arial" w:eastAsia="Arial" w:hAnsi="Arial"/>
                <w:sz w:val="16"/>
                <w:szCs w:val="16"/>
                <w:color w:val="auto"/>
              </w:rPr>
              <w:t>26</w:t>
            </w:r>
          </w:p>
        </w:tc>
        <w:tc>
          <w:tcPr>
            <w:tcW w:w="1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180" w:type="dxa"/>
            <w:vAlign w:val="bottom"/>
          </w:tcPr>
          <w:p>
            <w:pPr>
              <w:jc w:val="right"/>
              <w:ind w:right="22"/>
              <w:spacing w:after="0"/>
              <w:rPr>
                <w:sz w:val="20"/>
                <w:szCs w:val="20"/>
                <w:color w:val="auto"/>
              </w:rPr>
            </w:pPr>
            <w:r>
              <w:rPr>
                <w:rFonts w:ascii="Arial" w:cs="Arial" w:eastAsia="Arial" w:hAnsi="Arial"/>
                <w:sz w:val="16"/>
                <w:szCs w:val="16"/>
                <w:color w:val="auto"/>
              </w:rPr>
              <w:t>85</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20" w:type="dxa"/>
            <w:vAlign w:val="bottom"/>
          </w:tcPr>
          <w:p>
            <w:pPr>
              <w:jc w:val="right"/>
              <w:ind w:right="20"/>
              <w:spacing w:after="0"/>
              <w:rPr>
                <w:sz w:val="20"/>
                <w:szCs w:val="20"/>
                <w:color w:val="auto"/>
              </w:rPr>
            </w:pPr>
            <w:r>
              <w:rPr>
                <w:rFonts w:ascii="Arial" w:cs="Arial" w:eastAsia="Arial" w:hAnsi="Arial"/>
                <w:sz w:val="16"/>
                <w:szCs w:val="16"/>
                <w:color w:val="auto"/>
              </w:rPr>
              <w:t>76</w:t>
            </w:r>
          </w:p>
        </w:tc>
      </w:tr>
      <w:tr>
        <w:trPr>
          <w:trHeight w:val="271"/>
        </w:trPr>
        <w:tc>
          <w:tcPr>
            <w:tcW w:w="4700" w:type="dxa"/>
            <w:vAlign w:val="bottom"/>
            <w:shd w:val="clear" w:color="auto" w:fill="CCEEFF"/>
          </w:tcPr>
          <w:p>
            <w:pPr>
              <w:ind w:left="180"/>
              <w:spacing w:after="0"/>
              <w:rPr>
                <w:sz w:val="20"/>
                <w:szCs w:val="20"/>
                <w:color w:val="auto"/>
              </w:rPr>
            </w:pPr>
            <w:r>
              <w:rPr>
                <w:rFonts w:ascii="Arial" w:cs="Arial" w:eastAsia="Arial" w:hAnsi="Arial"/>
                <w:sz w:val="16"/>
                <w:szCs w:val="16"/>
                <w:color w:val="auto"/>
              </w:rPr>
              <w:t>Income tax (benefit) expense</w:t>
            </w:r>
          </w:p>
        </w:tc>
        <w:tc>
          <w:tcPr>
            <w:tcW w:w="1100" w:type="dxa"/>
            <w:vAlign w:val="bottom"/>
            <w:tcBorders>
              <w:bottom w:val="single" w:sz="8" w:color="auto"/>
            </w:tcBorders>
            <w:shd w:val="clear" w:color="auto" w:fill="CCEEFF"/>
          </w:tcPr>
          <w:p>
            <w:pPr>
              <w:spacing w:after="0"/>
              <w:rPr>
                <w:sz w:val="23"/>
                <w:szCs w:val="23"/>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w:t>
            </w:r>
          </w:p>
        </w:tc>
        <w:tc>
          <w:tcPr>
            <w:tcW w:w="100" w:type="dxa"/>
            <w:vAlign w:val="bottom"/>
            <w:shd w:val="clear" w:color="auto" w:fill="CCEEFF"/>
          </w:tcPr>
          <w:p>
            <w:pPr>
              <w:spacing w:after="0"/>
              <w:rPr>
                <w:sz w:val="23"/>
                <w:szCs w:val="23"/>
                <w:color w:val="auto"/>
              </w:rPr>
            </w:pPr>
          </w:p>
        </w:tc>
        <w:tc>
          <w:tcPr>
            <w:tcW w:w="1200" w:type="dxa"/>
            <w:vAlign w:val="bottom"/>
            <w:tcBorders>
              <w:bottom w:val="single" w:sz="8" w:color="auto"/>
            </w:tcBorders>
            <w:shd w:val="clear" w:color="auto" w:fill="CCEEFF"/>
          </w:tcPr>
          <w:p>
            <w:pPr>
              <w:spacing w:after="0"/>
              <w:rPr>
                <w:sz w:val="23"/>
                <w:szCs w:val="23"/>
                <w:color w:val="auto"/>
              </w:rPr>
            </w:pPr>
          </w:p>
        </w:tc>
        <w:tc>
          <w:tcPr>
            <w:tcW w:w="40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50</w:t>
            </w:r>
          </w:p>
        </w:tc>
        <w:tc>
          <w:tcPr>
            <w:tcW w:w="100" w:type="dxa"/>
            <w:vAlign w:val="bottom"/>
            <w:shd w:val="clear" w:color="auto" w:fill="CCEEFF"/>
          </w:tcPr>
          <w:p>
            <w:pPr>
              <w:spacing w:after="0"/>
              <w:rPr>
                <w:sz w:val="23"/>
                <w:szCs w:val="23"/>
                <w:color w:val="auto"/>
              </w:rPr>
            </w:pPr>
          </w:p>
        </w:tc>
        <w:tc>
          <w:tcPr>
            <w:tcW w:w="420" w:type="dxa"/>
            <w:vAlign w:val="bottom"/>
            <w:tcBorders>
              <w:bottom w:val="single" w:sz="8" w:color="auto"/>
            </w:tcBorders>
            <w:shd w:val="clear" w:color="auto" w:fill="CCEEFF"/>
          </w:tcPr>
          <w:p>
            <w:pPr>
              <w:spacing w:after="0"/>
              <w:rPr>
                <w:sz w:val="23"/>
                <w:szCs w:val="23"/>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(46)</w:t>
            </w:r>
          </w:p>
        </w:tc>
        <w:tc>
          <w:tcPr>
            <w:tcW w:w="100" w:type="dxa"/>
            <w:vAlign w:val="bottom"/>
            <w:shd w:val="clear" w:color="auto" w:fill="CCEEFF"/>
          </w:tcPr>
          <w:p>
            <w:pPr>
              <w:spacing w:after="0"/>
              <w:rPr>
                <w:sz w:val="23"/>
                <w:szCs w:val="23"/>
                <w:color w:val="auto"/>
              </w:rPr>
            </w:pPr>
          </w:p>
        </w:tc>
        <w:tc>
          <w:tcPr>
            <w:tcW w:w="380" w:type="dxa"/>
            <w:vAlign w:val="bottom"/>
            <w:tcBorders>
              <w:bottom w:val="single" w:sz="8" w:color="auto"/>
            </w:tcBorders>
            <w:shd w:val="clear" w:color="auto" w:fill="CCEEFF"/>
          </w:tcPr>
          <w:p>
            <w:pPr>
              <w:spacing w:after="0"/>
              <w:rPr>
                <w:sz w:val="23"/>
                <w:szCs w:val="23"/>
                <w:color w:val="auto"/>
              </w:rPr>
            </w:pPr>
          </w:p>
        </w:tc>
        <w:tc>
          <w:tcPr>
            <w:tcW w:w="122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137</w:t>
            </w:r>
          </w:p>
        </w:tc>
      </w:tr>
      <w:tr>
        <w:trPr>
          <w:trHeight w:val="242"/>
        </w:trPr>
        <w:tc>
          <w:tcPr>
            <w:tcW w:w="4700" w:type="dxa"/>
            <w:vAlign w:val="bottom"/>
          </w:tcPr>
          <w:p>
            <w:pPr>
              <w:ind w:left="40"/>
              <w:spacing w:after="0"/>
              <w:rPr>
                <w:sz w:val="20"/>
                <w:szCs w:val="20"/>
                <w:color w:val="auto"/>
              </w:rPr>
            </w:pPr>
            <w:r>
              <w:rPr>
                <w:rFonts w:ascii="Arial" w:cs="Arial" w:eastAsia="Arial" w:hAnsi="Arial"/>
                <w:sz w:val="16"/>
                <w:szCs w:val="16"/>
                <w:color w:val="auto"/>
              </w:rPr>
              <w:t>EBITDA*</w:t>
            </w:r>
          </w:p>
        </w:tc>
        <w:tc>
          <w:tcPr>
            <w:tcW w:w="1100" w:type="dxa"/>
            <w:vAlign w:val="bottom"/>
            <w:tcBorders>
              <w:bottom w:val="single" w:sz="8" w:color="auto"/>
            </w:tcBorders>
          </w:tcPr>
          <w:p>
            <w:pPr>
              <w:jc w:val="right"/>
              <w:ind w:right="903"/>
              <w:spacing w:after="0"/>
              <w:rPr>
                <w:sz w:val="20"/>
                <w:szCs w:val="20"/>
                <w:color w:val="auto"/>
              </w:rPr>
            </w:pPr>
            <w:r>
              <w:rPr>
                <w:rFonts w:ascii="Arial" w:cs="Arial" w:eastAsia="Arial" w:hAnsi="Arial"/>
                <w:sz w:val="16"/>
                <w:szCs w:val="16"/>
                <w:color w:val="auto"/>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(42)</w:t>
            </w:r>
          </w:p>
        </w:tc>
        <w:tc>
          <w:tcPr>
            <w:tcW w:w="100" w:type="dxa"/>
            <w:vAlign w:val="bottom"/>
          </w:tcPr>
          <w:p>
            <w:pPr>
              <w:spacing w:after="0"/>
              <w:rPr>
                <w:sz w:val="21"/>
                <w:szCs w:val="21"/>
                <w:color w:val="auto"/>
              </w:rPr>
            </w:pPr>
          </w:p>
        </w:tc>
        <w:tc>
          <w:tcPr>
            <w:tcW w:w="1200" w:type="dxa"/>
            <w:vAlign w:val="bottom"/>
            <w:tcBorders>
              <w:bottom w:val="single" w:sz="8" w:color="auto"/>
            </w:tcBorders>
          </w:tcPr>
          <w:p>
            <w:pPr>
              <w:jc w:val="right"/>
              <w:ind w:right="1002"/>
              <w:spacing w:after="0"/>
              <w:rPr>
                <w:sz w:val="20"/>
                <w:szCs w:val="20"/>
                <w:color w:val="auto"/>
              </w:rPr>
            </w:pPr>
            <w:r>
              <w:rPr>
                <w:rFonts w:ascii="Arial" w:cs="Arial" w:eastAsia="Arial" w:hAnsi="Arial"/>
                <w:sz w:val="16"/>
                <w:szCs w:val="16"/>
                <w:color w:val="auto"/>
              </w:rPr>
              <w:t>$</w:t>
            </w:r>
          </w:p>
        </w:tc>
        <w:tc>
          <w:tcPr>
            <w:tcW w:w="40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w w:val="97"/>
              </w:rPr>
              <w:t>160</w:t>
            </w:r>
          </w:p>
        </w:tc>
        <w:tc>
          <w:tcPr>
            <w:tcW w:w="100" w:type="dxa"/>
            <w:vAlign w:val="bottom"/>
          </w:tcPr>
          <w:p>
            <w:pPr>
              <w:spacing w:after="0"/>
              <w:rPr>
                <w:sz w:val="21"/>
                <w:szCs w:val="21"/>
                <w:color w:val="auto"/>
              </w:rPr>
            </w:pPr>
          </w:p>
        </w:tc>
        <w:tc>
          <w:tcPr>
            <w:tcW w:w="42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(82)</w:t>
            </w:r>
          </w:p>
        </w:tc>
        <w:tc>
          <w:tcPr>
            <w:tcW w:w="100" w:type="dxa"/>
            <w:vAlign w:val="bottom"/>
          </w:tcPr>
          <w:p>
            <w:pPr>
              <w:spacing w:after="0"/>
              <w:rPr>
                <w:sz w:val="21"/>
                <w:szCs w:val="21"/>
                <w:color w:val="auto"/>
              </w:rPr>
            </w:pPr>
          </w:p>
        </w:tc>
        <w:tc>
          <w:tcPr>
            <w:tcW w:w="38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430</w:t>
            </w:r>
          </w:p>
        </w:tc>
      </w:tr>
      <w:tr>
        <w:trPr>
          <w:trHeight w:val="20"/>
        </w:trPr>
        <w:tc>
          <w:tcPr>
            <w:tcW w:w="470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ADJUSTED NET (LOSS) INCOME* AND ADJUSTED NET (LOSS) INCOME PER SHARE*</w:t>
      </w:r>
    </w:p>
    <w:p>
      <w:pPr>
        <w:spacing w:after="0" w:line="227" w:lineRule="exact"/>
        <w:rPr>
          <w:sz w:val="20"/>
          <w:szCs w:val="20"/>
          <w:color w:val="auto"/>
        </w:rPr>
      </w:pPr>
    </w:p>
    <w:p>
      <w:pPr>
        <w:ind w:right="260"/>
        <w:spacing w:after="0" w:line="271" w:lineRule="auto"/>
        <w:rPr>
          <w:sz w:val="20"/>
          <w:szCs w:val="20"/>
          <w:color w:val="auto"/>
        </w:rPr>
      </w:pPr>
      <w:r>
        <w:rPr>
          <w:rFonts w:ascii="Arial" w:cs="Arial" w:eastAsia="Arial" w:hAnsi="Arial"/>
          <w:sz w:val="18"/>
          <w:szCs w:val="18"/>
          <w:color w:val="auto"/>
        </w:rPr>
        <w:t>We believe that adjusted net (loss) income* and adjusted net (loss) income per diluted share* are helpful in assessing our financial performance exclusive of the non-cash impact of the amortization of purchased intangibles. The following table reconciles net income, which we believe to be the most comparable GAAP measure, to adjusted net (loss) income*.</w:t>
      </w: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34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3020" w:type="dxa"/>
            <w:vAlign w:val="bottom"/>
            <w:tcBorders>
              <w:bottom w:val="single" w:sz="8" w:color="auto"/>
            </w:tcBorders>
            <w:gridSpan w:val="10"/>
          </w:tcPr>
          <w:p>
            <w:pPr>
              <w:jc w:val="right"/>
              <w:ind w:right="140"/>
              <w:spacing w:after="0"/>
              <w:rPr>
                <w:sz w:val="20"/>
                <w:szCs w:val="20"/>
                <w:color w:val="auto"/>
              </w:rPr>
            </w:pPr>
            <w:r>
              <w:rPr>
                <w:rFonts w:ascii="Arial" w:cs="Arial" w:eastAsia="Arial" w:hAnsi="Arial"/>
                <w:sz w:val="14"/>
                <w:szCs w:val="14"/>
                <w:b w:val="1"/>
                <w:bCs w:val="1"/>
                <w:color w:val="auto"/>
              </w:rPr>
              <w:t>Three Months Ended September 30,</w:t>
            </w:r>
          </w:p>
        </w:tc>
        <w:tc>
          <w:tcPr>
            <w:tcW w:w="62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3060" w:type="dxa"/>
            <w:vAlign w:val="bottom"/>
            <w:tcBorders>
              <w:bottom w:val="single" w:sz="8" w:color="auto"/>
            </w:tcBorders>
            <w:gridSpan w:val="10"/>
          </w:tcPr>
          <w:p>
            <w:pPr>
              <w:jc w:val="right"/>
              <w:ind w:right="160"/>
              <w:spacing w:after="0"/>
              <w:rPr>
                <w:sz w:val="20"/>
                <w:szCs w:val="20"/>
                <w:color w:val="auto"/>
              </w:rPr>
            </w:pPr>
            <w:r>
              <w:rPr>
                <w:rFonts w:ascii="Arial" w:cs="Arial" w:eastAsia="Arial" w:hAnsi="Arial"/>
                <w:sz w:val="14"/>
                <w:szCs w:val="14"/>
                <w:b w:val="1"/>
                <w:bCs w:val="1"/>
                <w:color w:val="auto"/>
              </w:rPr>
              <w:t>Nine Months Ended September 30,</w:t>
            </w:r>
          </w:p>
        </w:tc>
        <w:tc>
          <w:tcPr>
            <w:tcW w:w="640" w:type="dxa"/>
            <w:vAlign w:val="bottom"/>
            <w:tcBorders>
              <w:bottom w:val="single" w:sz="8" w:color="auto"/>
            </w:tcBorders>
          </w:tcPr>
          <w:p>
            <w:pPr>
              <w:spacing w:after="0"/>
              <w:rPr>
                <w:sz w:val="17"/>
                <w:szCs w:val="17"/>
                <w:color w:val="auto"/>
              </w:rPr>
            </w:pPr>
          </w:p>
        </w:tc>
      </w:tr>
      <w:tr>
        <w:trPr>
          <w:trHeight w:val="264"/>
        </w:trPr>
        <w:tc>
          <w:tcPr>
            <w:tcW w:w="334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gridSpan w:val="3"/>
          </w:tcPr>
          <w:p>
            <w:pPr>
              <w:jc w:val="right"/>
              <w:ind w:right="99"/>
              <w:spacing w:after="0"/>
              <w:rPr>
                <w:sz w:val="20"/>
                <w:szCs w:val="20"/>
                <w:color w:val="auto"/>
              </w:rPr>
            </w:pPr>
            <w:r>
              <w:rPr>
                <w:rFonts w:ascii="Arial" w:cs="Arial" w:eastAsia="Arial" w:hAnsi="Arial"/>
                <w:sz w:val="14"/>
                <w:szCs w:val="14"/>
                <w:b w:val="1"/>
                <w:bCs w:val="1"/>
                <w:color w:val="auto"/>
              </w:rPr>
              <w:t>2017</w:t>
            </w:r>
          </w:p>
        </w:tc>
        <w:tc>
          <w:tcPr>
            <w:tcW w:w="62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540" w:type="dxa"/>
            <w:vAlign w:val="bottom"/>
            <w:tcBorders>
              <w:bottom w:val="single" w:sz="8" w:color="auto"/>
            </w:tcBorders>
          </w:tcPr>
          <w:p>
            <w:pPr>
              <w:spacing w:after="0"/>
              <w:rPr>
                <w:sz w:val="22"/>
                <w:szCs w:val="22"/>
                <w:color w:val="auto"/>
              </w:rPr>
            </w:pPr>
          </w:p>
        </w:tc>
        <w:tc>
          <w:tcPr>
            <w:tcW w:w="500" w:type="dxa"/>
            <w:vAlign w:val="bottom"/>
            <w:tcBorders>
              <w:bottom w:val="single" w:sz="8" w:color="auto"/>
            </w:tcBorders>
            <w:gridSpan w:val="3"/>
          </w:tcPr>
          <w:p>
            <w:pPr>
              <w:jc w:val="right"/>
              <w:ind w:right="180"/>
              <w:spacing w:after="0"/>
              <w:rPr>
                <w:sz w:val="20"/>
                <w:szCs w:val="20"/>
                <w:color w:val="auto"/>
              </w:rPr>
            </w:pPr>
            <w:r>
              <w:rPr>
                <w:rFonts w:ascii="Arial" w:cs="Arial" w:eastAsia="Arial" w:hAnsi="Arial"/>
                <w:sz w:val="14"/>
                <w:szCs w:val="14"/>
                <w:b w:val="1"/>
                <w:bCs w:val="1"/>
                <w:color w:val="auto"/>
                <w:w w:val="96"/>
              </w:rPr>
              <w:t>2016</w:t>
            </w:r>
          </w:p>
        </w:tc>
        <w:tc>
          <w:tcPr>
            <w:tcW w:w="62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gridSpan w:val="3"/>
          </w:tcPr>
          <w:p>
            <w:pPr>
              <w:jc w:val="right"/>
              <w:ind w:right="77"/>
              <w:spacing w:after="0"/>
              <w:rPr>
                <w:sz w:val="20"/>
                <w:szCs w:val="20"/>
                <w:color w:val="auto"/>
              </w:rPr>
            </w:pPr>
            <w:r>
              <w:rPr>
                <w:rFonts w:ascii="Arial" w:cs="Arial" w:eastAsia="Arial" w:hAnsi="Arial"/>
                <w:sz w:val="14"/>
                <w:szCs w:val="14"/>
                <w:b w:val="1"/>
                <w:bCs w:val="1"/>
                <w:color w:val="auto"/>
              </w:rPr>
              <w:t>2017</w:t>
            </w:r>
          </w:p>
        </w:tc>
        <w:tc>
          <w:tcPr>
            <w:tcW w:w="64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480" w:type="dxa"/>
            <w:vAlign w:val="bottom"/>
            <w:tcBorders>
              <w:bottom w:val="single" w:sz="8" w:color="auto"/>
            </w:tcBorders>
            <w:gridSpan w:val="3"/>
          </w:tcPr>
          <w:p>
            <w:pPr>
              <w:jc w:val="right"/>
              <w:ind w:right="160"/>
              <w:spacing w:after="0"/>
              <w:rPr>
                <w:sz w:val="20"/>
                <w:szCs w:val="20"/>
                <w:color w:val="auto"/>
              </w:rPr>
            </w:pPr>
            <w:r>
              <w:rPr>
                <w:rFonts w:ascii="Arial" w:cs="Arial" w:eastAsia="Arial" w:hAnsi="Arial"/>
                <w:sz w:val="14"/>
                <w:szCs w:val="14"/>
                <w:b w:val="1"/>
                <w:bCs w:val="1"/>
                <w:color w:val="auto"/>
                <w:w w:val="96"/>
              </w:rPr>
              <w:t>2016</w:t>
            </w:r>
          </w:p>
        </w:tc>
        <w:tc>
          <w:tcPr>
            <w:tcW w:w="640" w:type="dxa"/>
            <w:vAlign w:val="bottom"/>
            <w:tcBorders>
              <w:bottom w:val="single" w:sz="8" w:color="auto"/>
            </w:tcBorders>
          </w:tcPr>
          <w:p>
            <w:pPr>
              <w:spacing w:after="0"/>
              <w:rPr>
                <w:sz w:val="22"/>
                <w:szCs w:val="22"/>
                <w:color w:val="auto"/>
              </w:rPr>
            </w:pPr>
          </w:p>
        </w:tc>
      </w:tr>
      <w:tr>
        <w:trPr>
          <w:trHeight w:val="250"/>
        </w:trPr>
        <w:tc>
          <w:tcPr>
            <w:tcW w:w="33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3820" w:type="dxa"/>
            <w:vAlign w:val="bottom"/>
            <w:gridSpan w:val="12"/>
          </w:tcPr>
          <w:p>
            <w:pPr>
              <w:ind w:left="140"/>
              <w:spacing w:after="0"/>
              <w:rPr>
                <w:sz w:val="20"/>
                <w:szCs w:val="20"/>
                <w:color w:val="auto"/>
              </w:rPr>
            </w:pPr>
            <w:r>
              <w:rPr>
                <w:rFonts w:ascii="Arial" w:cs="Arial" w:eastAsia="Arial" w:hAnsi="Arial"/>
                <w:sz w:val="14"/>
                <w:szCs w:val="14"/>
                <w:b w:val="1"/>
                <w:bCs w:val="1"/>
                <w:color w:val="auto"/>
              </w:rPr>
              <w:t>(In millions, except diluted per-share amounts)</w:t>
            </w:r>
          </w:p>
        </w:tc>
        <w:tc>
          <w:tcPr>
            <w:tcW w:w="3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40" w:type="dxa"/>
            <w:vAlign w:val="bottom"/>
          </w:tcPr>
          <w:p>
            <w:pPr>
              <w:spacing w:after="0"/>
              <w:rPr>
                <w:sz w:val="21"/>
                <w:szCs w:val="21"/>
                <w:color w:val="auto"/>
              </w:rPr>
            </w:pPr>
          </w:p>
        </w:tc>
      </w:tr>
      <w:tr>
        <w:trPr>
          <w:trHeight w:val="271"/>
        </w:trPr>
        <w:tc>
          <w:tcPr>
            <w:tcW w:w="3340" w:type="dxa"/>
            <w:vAlign w:val="bottom"/>
            <w:shd w:val="clear" w:color="auto" w:fill="CCEEFF"/>
          </w:tcPr>
          <w:p>
            <w:pPr>
              <w:ind w:left="40"/>
              <w:spacing w:after="0"/>
              <w:rPr>
                <w:sz w:val="20"/>
                <w:szCs w:val="20"/>
                <w:color w:val="auto"/>
              </w:rPr>
            </w:pPr>
            <w:r>
              <w:rPr>
                <w:rFonts w:ascii="Arial" w:cs="Arial" w:eastAsia="Arial" w:hAnsi="Arial"/>
                <w:sz w:val="16"/>
                <w:szCs w:val="16"/>
                <w:color w:val="auto"/>
              </w:rPr>
              <w:t>Net (loss) income</w:t>
            </w:r>
          </w:p>
        </w:tc>
        <w:tc>
          <w:tcPr>
            <w:tcW w:w="3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60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(97)</w:t>
            </w: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(1.70)</w:t>
            </w:r>
          </w:p>
        </w:tc>
        <w:tc>
          <w:tcPr>
            <w:tcW w:w="120" w:type="dxa"/>
            <w:vAlign w:val="bottom"/>
            <w:shd w:val="clear" w:color="auto" w:fill="CCEEFF"/>
          </w:tcPr>
          <w:p>
            <w:pPr>
              <w:spacing w:after="0"/>
              <w:rPr>
                <w:sz w:val="23"/>
                <w:szCs w:val="23"/>
                <w:color w:val="auto"/>
              </w:rPr>
            </w:pPr>
          </w:p>
        </w:tc>
        <w:tc>
          <w:tcPr>
            <w:tcW w:w="2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w:t>
            </w:r>
          </w:p>
        </w:tc>
        <w:tc>
          <w:tcPr>
            <w:tcW w:w="500" w:type="dxa"/>
            <w:vAlign w:val="bottom"/>
            <w:gridSpan w:val="3"/>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6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0.76</w:t>
            </w: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jc w:val="right"/>
              <w:ind w:right="97"/>
              <w:spacing w:after="0"/>
              <w:rPr>
                <w:sz w:val="20"/>
                <w:szCs w:val="20"/>
                <w:color w:val="auto"/>
              </w:rPr>
            </w:pPr>
            <w:r>
              <w:rPr>
                <w:rFonts w:ascii="Arial" w:cs="Arial" w:eastAsia="Arial" w:hAnsi="Arial"/>
                <w:sz w:val="17"/>
                <w:szCs w:val="17"/>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(250)</w:t>
            </w: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jc w:val="right"/>
              <w:ind w:right="57"/>
              <w:spacing w:after="0"/>
              <w:rPr>
                <w:sz w:val="20"/>
                <w:szCs w:val="20"/>
                <w:color w:val="auto"/>
              </w:rPr>
            </w:pPr>
            <w:r>
              <w:rPr>
                <w:rFonts w:ascii="Arial" w:cs="Arial" w:eastAsia="Arial" w:hAnsi="Arial"/>
                <w:sz w:val="17"/>
                <w:szCs w:val="17"/>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(4.44)</w:t>
            </w:r>
          </w:p>
        </w:tc>
        <w:tc>
          <w:tcPr>
            <w:tcW w:w="120" w:type="dxa"/>
            <w:vAlign w:val="bottom"/>
            <w:shd w:val="clear" w:color="auto" w:fill="CCEEFF"/>
          </w:tcPr>
          <w:p>
            <w:pPr>
              <w:spacing w:after="0"/>
              <w:rPr>
                <w:sz w:val="23"/>
                <w:szCs w:val="23"/>
                <w:color w:val="auto"/>
              </w:rPr>
            </w:pPr>
          </w:p>
        </w:tc>
        <w:tc>
          <w:tcPr>
            <w:tcW w:w="340" w:type="dxa"/>
            <w:vAlign w:val="bottom"/>
            <w:shd w:val="clear" w:color="auto" w:fill="CCEEFF"/>
          </w:tcPr>
          <w:p>
            <w:pPr>
              <w:jc w:val="right"/>
              <w:ind w:right="137"/>
              <w:spacing w:after="0"/>
              <w:rPr>
                <w:sz w:val="20"/>
                <w:szCs w:val="20"/>
                <w:color w:val="auto"/>
              </w:rPr>
            </w:pPr>
            <w:r>
              <w:rPr>
                <w:rFonts w:ascii="Arial" w:cs="Arial" w:eastAsia="Arial" w:hAnsi="Arial"/>
                <w:sz w:val="17"/>
                <w:szCs w:val="17"/>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99</w:t>
            </w:r>
          </w:p>
        </w:tc>
        <w:tc>
          <w:tcPr>
            <w:tcW w:w="480" w:type="dxa"/>
            <w:vAlign w:val="bottom"/>
            <w:gridSpan w:val="3"/>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640" w:type="dxa"/>
            <w:vAlign w:val="bottom"/>
            <w:shd w:val="clear" w:color="auto" w:fill="CCEEFF"/>
          </w:tcPr>
          <w:p>
            <w:pPr>
              <w:jc w:val="right"/>
              <w:ind w:right="17"/>
              <w:spacing w:after="0"/>
              <w:rPr>
                <w:sz w:val="20"/>
                <w:szCs w:val="20"/>
                <w:color w:val="auto"/>
              </w:rPr>
            </w:pPr>
            <w:r>
              <w:rPr>
                <w:rFonts w:ascii="Arial" w:cs="Arial" w:eastAsia="Arial" w:hAnsi="Arial"/>
                <w:sz w:val="17"/>
                <w:szCs w:val="17"/>
                <w:color w:val="auto"/>
              </w:rPr>
              <w:t>1.77</w:t>
            </w:r>
          </w:p>
        </w:tc>
      </w:tr>
      <w:tr>
        <w:trPr>
          <w:trHeight w:val="262"/>
        </w:trPr>
        <w:tc>
          <w:tcPr>
            <w:tcW w:w="3340" w:type="dxa"/>
            <w:vAlign w:val="bottom"/>
          </w:tcPr>
          <w:p>
            <w:pPr>
              <w:ind w:left="40"/>
              <w:spacing w:after="0"/>
              <w:rPr>
                <w:sz w:val="20"/>
                <w:szCs w:val="20"/>
                <w:color w:val="auto"/>
              </w:rPr>
            </w:pPr>
            <w:r>
              <w:rPr>
                <w:rFonts w:ascii="Arial" w:cs="Arial" w:eastAsia="Arial" w:hAnsi="Arial"/>
                <w:sz w:val="16"/>
                <w:szCs w:val="16"/>
                <w:color w:val="auto"/>
              </w:rPr>
              <w:t>Adjustment:</w:t>
            </w:r>
          </w:p>
        </w:tc>
        <w:tc>
          <w:tcPr>
            <w:tcW w:w="34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640" w:type="dxa"/>
            <w:vAlign w:val="bottom"/>
          </w:tcPr>
          <w:p>
            <w:pPr>
              <w:spacing w:after="0"/>
              <w:rPr>
                <w:sz w:val="22"/>
                <w:szCs w:val="22"/>
                <w:color w:val="auto"/>
              </w:rPr>
            </w:pPr>
          </w:p>
        </w:tc>
      </w:tr>
      <w:tr>
        <w:trPr>
          <w:trHeight w:val="278"/>
        </w:trPr>
        <w:tc>
          <w:tcPr>
            <w:tcW w:w="3340" w:type="dxa"/>
            <w:vAlign w:val="bottom"/>
            <w:shd w:val="clear" w:color="auto" w:fill="CCEEFF"/>
          </w:tcPr>
          <w:p>
            <w:pPr>
              <w:ind w:left="180"/>
              <w:spacing w:after="0"/>
              <w:rPr>
                <w:sz w:val="20"/>
                <w:szCs w:val="20"/>
                <w:color w:val="auto"/>
              </w:rPr>
            </w:pPr>
            <w:r>
              <w:rPr>
                <w:rFonts w:ascii="Arial" w:cs="Arial" w:eastAsia="Arial" w:hAnsi="Arial"/>
                <w:sz w:val="16"/>
                <w:szCs w:val="16"/>
                <w:color w:val="auto"/>
              </w:rPr>
              <w:t>Amortization of intangible assets</w:t>
            </w:r>
          </w:p>
        </w:tc>
        <w:tc>
          <w:tcPr>
            <w:tcW w:w="340" w:type="dxa"/>
            <w:vAlign w:val="bottom"/>
            <w:shd w:val="clear" w:color="auto" w:fill="CCEEFF"/>
          </w:tcPr>
          <w:p>
            <w:pPr>
              <w:spacing w:after="0"/>
              <w:rPr>
                <w:sz w:val="24"/>
                <w:szCs w:val="24"/>
                <w:color w:val="auto"/>
              </w:rPr>
            </w:pPr>
          </w:p>
        </w:tc>
        <w:tc>
          <w:tcPr>
            <w:tcW w:w="60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7</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6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0.13</w:t>
            </w: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w:t>
            </w: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6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0.15</w:t>
            </w: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620" w:type="dxa"/>
            <w:vAlign w:val="bottom"/>
            <w:shd w:val="clear" w:color="auto" w:fill="CCEEFF"/>
          </w:tcPr>
          <w:p>
            <w:pPr>
              <w:jc w:val="right"/>
              <w:ind w:right="20"/>
              <w:spacing w:after="0"/>
              <w:rPr>
                <w:sz w:val="20"/>
                <w:szCs w:val="20"/>
                <w:color w:val="auto"/>
              </w:rPr>
            </w:pPr>
            <w:r>
              <w:rPr>
                <w:rFonts w:ascii="Arial" w:cs="Arial" w:eastAsia="Arial" w:hAnsi="Arial"/>
                <w:sz w:val="17"/>
                <w:szCs w:val="17"/>
                <w:color w:val="auto"/>
              </w:rPr>
              <w:t>24</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640" w:type="dxa"/>
            <w:vAlign w:val="bottom"/>
            <w:shd w:val="clear" w:color="auto" w:fill="CCEEFF"/>
          </w:tcPr>
          <w:p>
            <w:pPr>
              <w:jc w:val="right"/>
              <w:ind w:right="17"/>
              <w:spacing w:after="0"/>
              <w:rPr>
                <w:sz w:val="20"/>
                <w:szCs w:val="20"/>
                <w:color w:val="auto"/>
              </w:rPr>
            </w:pPr>
            <w:r>
              <w:rPr>
                <w:rFonts w:ascii="Arial" w:cs="Arial" w:eastAsia="Arial" w:hAnsi="Arial"/>
                <w:sz w:val="17"/>
                <w:szCs w:val="17"/>
                <w:color w:val="auto"/>
              </w:rPr>
              <w:t>0.43</w:t>
            </w: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w:t>
            </w: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640" w:type="dxa"/>
            <w:vAlign w:val="bottom"/>
            <w:shd w:val="clear" w:color="auto" w:fill="CCEEFF"/>
          </w:tcPr>
          <w:p>
            <w:pPr>
              <w:jc w:val="right"/>
              <w:ind w:right="17"/>
              <w:spacing w:after="0"/>
              <w:rPr>
                <w:sz w:val="20"/>
                <w:szCs w:val="20"/>
                <w:color w:val="auto"/>
              </w:rPr>
            </w:pPr>
            <w:r>
              <w:rPr>
                <w:rFonts w:ascii="Arial" w:cs="Arial" w:eastAsia="Arial" w:hAnsi="Arial"/>
                <w:sz w:val="17"/>
                <w:szCs w:val="17"/>
                <w:color w:val="auto"/>
              </w:rPr>
              <w:t>0.42</w:t>
            </w:r>
          </w:p>
        </w:tc>
      </w:tr>
      <w:tr>
        <w:trPr>
          <w:trHeight w:val="270"/>
        </w:trPr>
        <w:tc>
          <w:tcPr>
            <w:tcW w:w="3340" w:type="dxa"/>
            <w:vAlign w:val="bottom"/>
            <w:tcBorders>
              <w:bottom w:val="single" w:sz="8" w:color="CCEEFF"/>
            </w:tcBorders>
          </w:tcPr>
          <w:p>
            <w:pPr>
              <w:ind w:left="180"/>
              <w:spacing w:after="0"/>
              <w:rPr>
                <w:sz w:val="20"/>
                <w:szCs w:val="20"/>
                <w:color w:val="auto"/>
              </w:rPr>
            </w:pPr>
            <w:r>
              <w:rPr>
                <w:rFonts w:ascii="Arial" w:cs="Arial" w:eastAsia="Arial" w:hAnsi="Arial"/>
                <w:sz w:val="16"/>
                <w:szCs w:val="16"/>
                <w:color w:val="auto"/>
              </w:rPr>
              <w:t xml:space="preserve">Income tax effect </w:t>
            </w:r>
            <w:r>
              <w:rPr>
                <w:rFonts w:ascii="Arial" w:cs="Arial" w:eastAsia="Arial" w:hAnsi="Arial"/>
                <w:sz w:val="21"/>
                <w:szCs w:val="21"/>
                <w:color w:val="auto"/>
                <w:vertAlign w:val="superscript"/>
              </w:rPr>
              <w:t>(1)</w:t>
            </w:r>
          </w:p>
        </w:tc>
        <w:tc>
          <w:tcPr>
            <w:tcW w:w="340" w:type="dxa"/>
            <w:vAlign w:val="bottom"/>
            <w:tcBorders>
              <w:bottom w:val="single" w:sz="8" w:color="auto"/>
            </w:tcBorders>
          </w:tcPr>
          <w:p>
            <w:pPr>
              <w:spacing w:after="0"/>
              <w:rPr>
                <w:sz w:val="23"/>
                <w:szCs w:val="23"/>
                <w:color w:val="auto"/>
              </w:rPr>
            </w:pPr>
          </w:p>
        </w:tc>
        <w:tc>
          <w:tcPr>
            <w:tcW w:w="60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(3)</w:t>
            </w:r>
          </w:p>
        </w:tc>
        <w:tc>
          <w:tcPr>
            <w:tcW w:w="100" w:type="dxa"/>
            <w:vAlign w:val="bottom"/>
            <w:tcBorders>
              <w:bottom w:val="single" w:sz="8" w:color="CCEEFF"/>
            </w:tcBorders>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(0.05)</w:t>
            </w:r>
          </w:p>
        </w:tc>
        <w:tc>
          <w:tcPr>
            <w:tcW w:w="120" w:type="dxa"/>
            <w:vAlign w:val="bottom"/>
            <w:tcBorders>
              <w:bottom w:val="single" w:sz="8" w:color="CCEEFF"/>
            </w:tcBorders>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64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color w:val="auto"/>
              </w:rPr>
              <w:t>(4)</w:t>
            </w:r>
          </w:p>
        </w:tc>
        <w:tc>
          <w:tcPr>
            <w:tcW w:w="100" w:type="dxa"/>
            <w:vAlign w:val="bottom"/>
            <w:tcBorders>
              <w:bottom w:val="single" w:sz="8" w:color="CCEEFF"/>
            </w:tcBorders>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(0.06)</w:t>
            </w:r>
          </w:p>
        </w:tc>
        <w:tc>
          <w:tcPr>
            <w:tcW w:w="100" w:type="dxa"/>
            <w:vAlign w:val="bottom"/>
            <w:tcBorders>
              <w:bottom w:val="single" w:sz="8" w:color="CCEEFF"/>
            </w:tcBorders>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w:t>
            </w:r>
          </w:p>
        </w:tc>
        <w:tc>
          <w:tcPr>
            <w:tcW w:w="100" w:type="dxa"/>
            <w:vAlign w:val="bottom"/>
            <w:tcBorders>
              <w:bottom w:val="single" w:sz="8" w:color="CCEEFF"/>
            </w:tcBorders>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(0.16)</w:t>
            </w:r>
          </w:p>
        </w:tc>
        <w:tc>
          <w:tcPr>
            <w:tcW w:w="120" w:type="dxa"/>
            <w:vAlign w:val="bottom"/>
            <w:tcBorders>
              <w:bottom w:val="single" w:sz="8" w:color="CCEEFF"/>
            </w:tcBorders>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58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color w:val="auto"/>
              </w:rPr>
              <w:t>(9)</w:t>
            </w:r>
          </w:p>
        </w:tc>
        <w:tc>
          <w:tcPr>
            <w:tcW w:w="100" w:type="dxa"/>
            <w:vAlign w:val="bottom"/>
            <w:tcBorders>
              <w:bottom w:val="single" w:sz="8" w:color="CCEEFF"/>
            </w:tcBorders>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(0.16)</w:t>
            </w:r>
          </w:p>
        </w:tc>
      </w:tr>
      <w:tr>
        <w:trPr>
          <w:trHeight w:val="178"/>
        </w:trPr>
        <w:tc>
          <w:tcPr>
            <w:tcW w:w="3340" w:type="dxa"/>
            <w:vAlign w:val="bottom"/>
            <w:shd w:val="clear" w:color="auto" w:fill="CCEEFF"/>
          </w:tcPr>
          <w:p>
            <w:pPr>
              <w:ind w:left="40"/>
              <w:spacing w:after="0" w:line="178" w:lineRule="exact"/>
              <w:rPr>
                <w:sz w:val="20"/>
                <w:szCs w:val="20"/>
                <w:color w:val="auto"/>
              </w:rPr>
            </w:pPr>
            <w:r>
              <w:rPr>
                <w:rFonts w:ascii="Arial" w:cs="Arial" w:eastAsia="Arial" w:hAnsi="Arial"/>
                <w:sz w:val="16"/>
                <w:szCs w:val="16"/>
                <w:color w:val="auto"/>
              </w:rPr>
              <w:t>Amortization of intangible assets, net of tax</w:t>
            </w:r>
          </w:p>
        </w:tc>
        <w:tc>
          <w:tcPr>
            <w:tcW w:w="34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r>
      <w:tr>
        <w:trPr>
          <w:trHeight w:val="228"/>
        </w:trPr>
        <w:tc>
          <w:tcPr>
            <w:tcW w:w="3340" w:type="dxa"/>
            <w:vAlign w:val="bottom"/>
            <w:shd w:val="clear" w:color="auto" w:fill="CCEEFF"/>
          </w:tcPr>
          <w:p>
            <w:pPr>
              <w:ind w:left="200"/>
              <w:spacing w:after="0"/>
              <w:rPr>
                <w:sz w:val="20"/>
                <w:szCs w:val="20"/>
                <w:color w:val="auto"/>
              </w:rPr>
            </w:pPr>
            <w:r>
              <w:rPr>
                <w:rFonts w:ascii="Arial" w:cs="Arial" w:eastAsia="Arial" w:hAnsi="Arial"/>
                <w:sz w:val="16"/>
                <w:szCs w:val="16"/>
                <w:color w:val="auto"/>
              </w:rPr>
              <w:t>effect</w:t>
            </w:r>
          </w:p>
        </w:tc>
        <w:tc>
          <w:tcPr>
            <w:tcW w:w="34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ind w:right="42"/>
              <w:spacing w:after="0"/>
              <w:rPr>
                <w:sz w:val="20"/>
                <w:szCs w:val="20"/>
                <w:color w:val="auto"/>
              </w:rPr>
            </w:pPr>
            <w:r>
              <w:rPr>
                <w:rFonts w:ascii="Arial" w:cs="Arial" w:eastAsia="Arial" w:hAnsi="Arial"/>
                <w:sz w:val="16"/>
                <w:szCs w:val="16"/>
                <w:color w:val="auto"/>
              </w:rPr>
              <w:t>4</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0.08</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w:t>
            </w:r>
          </w:p>
        </w:tc>
        <w:tc>
          <w:tcPr>
            <w:tcW w:w="10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0.09</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15</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6"/>
                <w:szCs w:val="16"/>
                <w:color w:val="auto"/>
              </w:rPr>
              <w:t>0.27</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w:t>
            </w:r>
          </w:p>
        </w:tc>
        <w:tc>
          <w:tcPr>
            <w:tcW w:w="10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6"/>
                <w:szCs w:val="16"/>
                <w:color w:val="auto"/>
              </w:rPr>
              <w:t>0.26</w:t>
            </w:r>
          </w:p>
        </w:tc>
      </w:tr>
      <w:tr>
        <w:trPr>
          <w:trHeight w:val="242"/>
        </w:trPr>
        <w:tc>
          <w:tcPr>
            <w:tcW w:w="3340" w:type="dxa"/>
            <w:vAlign w:val="bottom"/>
          </w:tcPr>
          <w:p>
            <w:pPr>
              <w:ind w:left="40"/>
              <w:spacing w:after="0"/>
              <w:rPr>
                <w:sz w:val="20"/>
                <w:szCs w:val="20"/>
                <w:color w:val="auto"/>
              </w:rPr>
            </w:pPr>
            <w:r>
              <w:rPr>
                <w:rFonts w:ascii="Arial" w:cs="Arial" w:eastAsia="Arial" w:hAnsi="Arial"/>
                <w:sz w:val="16"/>
                <w:szCs w:val="16"/>
                <w:color w:val="auto"/>
              </w:rPr>
              <w:t>Adjusted net (loss) income*</w:t>
            </w: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600" w:type="dxa"/>
            <w:vAlign w:val="bottom"/>
          </w:tcPr>
          <w:p>
            <w:pPr>
              <w:jc w:val="right"/>
              <w:ind w:right="2"/>
              <w:spacing w:after="0"/>
              <w:rPr>
                <w:sz w:val="20"/>
                <w:szCs w:val="20"/>
                <w:color w:val="auto"/>
              </w:rPr>
            </w:pPr>
            <w:r>
              <w:rPr>
                <w:rFonts w:ascii="Arial" w:cs="Arial" w:eastAsia="Arial" w:hAnsi="Arial"/>
                <w:sz w:val="16"/>
                <w:szCs w:val="16"/>
                <w:color w:val="auto"/>
              </w:rPr>
              <w:t>(93)</w:t>
            </w:r>
          </w:p>
        </w:tc>
        <w:tc>
          <w:tcPr>
            <w:tcW w:w="100" w:type="dxa"/>
            <w:vAlign w:val="bottom"/>
          </w:tcPr>
          <w:p>
            <w:pPr>
              <w:spacing w:after="0"/>
              <w:rPr>
                <w:sz w:val="21"/>
                <w:szCs w:val="21"/>
                <w:color w:val="auto"/>
              </w:rPr>
            </w:pPr>
          </w:p>
        </w:tc>
        <w:tc>
          <w:tcPr>
            <w:tcW w:w="2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620" w:type="dxa"/>
            <w:vAlign w:val="bottom"/>
          </w:tcPr>
          <w:p>
            <w:pPr>
              <w:jc w:val="right"/>
              <w:spacing w:after="0"/>
              <w:rPr>
                <w:sz w:val="20"/>
                <w:szCs w:val="20"/>
                <w:color w:val="auto"/>
              </w:rPr>
            </w:pPr>
            <w:r>
              <w:rPr>
                <w:rFonts w:ascii="Arial" w:cs="Arial" w:eastAsia="Arial" w:hAnsi="Arial"/>
                <w:sz w:val="16"/>
                <w:szCs w:val="16"/>
                <w:color w:val="auto"/>
              </w:rPr>
              <w:t>(1.62)</w:t>
            </w:r>
          </w:p>
        </w:tc>
        <w:tc>
          <w:tcPr>
            <w:tcW w:w="120" w:type="dxa"/>
            <w:vAlign w:val="bottom"/>
          </w:tcPr>
          <w:p>
            <w:pPr>
              <w:spacing w:after="0"/>
              <w:rPr>
                <w:sz w:val="21"/>
                <w:szCs w:val="21"/>
                <w:color w:val="auto"/>
              </w:rPr>
            </w:pPr>
          </w:p>
        </w:tc>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540" w:type="dxa"/>
            <w:vAlign w:val="bottom"/>
          </w:tcPr>
          <w:p>
            <w:pPr>
              <w:jc w:val="right"/>
              <w:spacing w:after="0"/>
              <w:rPr>
                <w:sz w:val="20"/>
                <w:szCs w:val="20"/>
                <w:color w:val="auto"/>
              </w:rPr>
            </w:pPr>
            <w:r>
              <w:rPr>
                <w:rFonts w:ascii="Arial" w:cs="Arial" w:eastAsia="Arial" w:hAnsi="Arial"/>
                <w:sz w:val="16"/>
                <w:szCs w:val="16"/>
                <w:color w:val="auto"/>
              </w:rPr>
              <w:t>47</w:t>
            </w:r>
          </w:p>
        </w:tc>
        <w:tc>
          <w:tcPr>
            <w:tcW w:w="500" w:type="dxa"/>
            <w:vAlign w:val="bottom"/>
            <w:gridSpan w:val="3"/>
          </w:tcPr>
          <w:p>
            <w:pPr>
              <w:jc w:val="right"/>
              <w:ind w:right="180"/>
              <w:spacing w:after="0"/>
              <w:rPr>
                <w:sz w:val="20"/>
                <w:szCs w:val="20"/>
                <w:color w:val="auto"/>
              </w:rPr>
            </w:pPr>
            <w:r>
              <w:rPr>
                <w:rFonts w:ascii="Arial" w:cs="Arial" w:eastAsia="Arial" w:hAnsi="Arial"/>
                <w:sz w:val="16"/>
                <w:szCs w:val="16"/>
                <w:color w:val="auto"/>
              </w:rPr>
              <w:t>$</w:t>
            </w:r>
          </w:p>
        </w:tc>
        <w:tc>
          <w:tcPr>
            <w:tcW w:w="620" w:type="dxa"/>
            <w:vAlign w:val="bottom"/>
          </w:tcPr>
          <w:p>
            <w:pPr>
              <w:jc w:val="right"/>
              <w:ind w:right="39"/>
              <w:spacing w:after="0"/>
              <w:rPr>
                <w:sz w:val="20"/>
                <w:szCs w:val="20"/>
                <w:color w:val="auto"/>
              </w:rPr>
            </w:pPr>
            <w:r>
              <w:rPr>
                <w:rFonts w:ascii="Arial" w:cs="Arial" w:eastAsia="Arial" w:hAnsi="Arial"/>
                <w:sz w:val="16"/>
                <w:szCs w:val="16"/>
                <w:color w:val="auto"/>
              </w:rPr>
              <w:t>0.85</w:t>
            </w:r>
          </w:p>
        </w:tc>
        <w:tc>
          <w:tcPr>
            <w:tcW w:w="100" w:type="dxa"/>
            <w:vAlign w:val="bottom"/>
          </w:tcPr>
          <w:p>
            <w:pPr>
              <w:spacing w:after="0"/>
              <w:rPr>
                <w:sz w:val="21"/>
                <w:szCs w:val="21"/>
                <w:color w:val="auto"/>
              </w:rPr>
            </w:pPr>
          </w:p>
        </w:tc>
        <w:tc>
          <w:tcPr>
            <w:tcW w:w="300" w:type="dxa"/>
            <w:vAlign w:val="bottom"/>
          </w:tcPr>
          <w:p>
            <w:pPr>
              <w:jc w:val="right"/>
              <w:ind w:right="97"/>
              <w:spacing w:after="0"/>
              <w:rPr>
                <w:sz w:val="20"/>
                <w:szCs w:val="20"/>
                <w:color w:val="auto"/>
              </w:rPr>
            </w:pPr>
            <w:r>
              <w:rPr>
                <w:rFonts w:ascii="Arial" w:cs="Arial" w:eastAsia="Arial" w:hAnsi="Arial"/>
                <w:sz w:val="16"/>
                <w:szCs w:val="16"/>
                <w:color w:val="auto"/>
              </w:rPr>
              <w:t>$</w:t>
            </w:r>
          </w:p>
        </w:tc>
        <w:tc>
          <w:tcPr>
            <w:tcW w:w="620" w:type="dxa"/>
            <w:vAlign w:val="bottom"/>
          </w:tcPr>
          <w:p>
            <w:pPr>
              <w:jc w:val="right"/>
              <w:spacing w:after="0"/>
              <w:rPr>
                <w:sz w:val="20"/>
                <w:szCs w:val="20"/>
                <w:color w:val="auto"/>
              </w:rPr>
            </w:pPr>
            <w:r>
              <w:rPr>
                <w:rFonts w:ascii="Arial" w:cs="Arial" w:eastAsia="Arial" w:hAnsi="Arial"/>
                <w:sz w:val="16"/>
                <w:szCs w:val="16"/>
                <w:color w:val="auto"/>
              </w:rPr>
              <w:t>(235)</w:t>
            </w:r>
          </w:p>
        </w:tc>
        <w:tc>
          <w:tcPr>
            <w:tcW w:w="100" w:type="dxa"/>
            <w:vAlign w:val="bottom"/>
          </w:tcPr>
          <w:p>
            <w:pPr>
              <w:spacing w:after="0"/>
              <w:rPr>
                <w:sz w:val="21"/>
                <w:szCs w:val="21"/>
                <w:color w:val="auto"/>
              </w:rPr>
            </w:pPr>
          </w:p>
        </w:tc>
        <w:tc>
          <w:tcPr>
            <w:tcW w:w="280" w:type="dxa"/>
            <w:vAlign w:val="bottom"/>
          </w:tcPr>
          <w:p>
            <w:pPr>
              <w:jc w:val="right"/>
              <w:ind w:right="77"/>
              <w:spacing w:after="0"/>
              <w:rPr>
                <w:sz w:val="20"/>
                <w:szCs w:val="20"/>
                <w:color w:val="auto"/>
              </w:rPr>
            </w:pPr>
            <w:r>
              <w:rPr>
                <w:rFonts w:ascii="Arial" w:cs="Arial" w:eastAsia="Arial" w:hAnsi="Arial"/>
                <w:sz w:val="16"/>
                <w:szCs w:val="16"/>
                <w:color w:val="auto"/>
              </w:rPr>
              <w:t>$</w:t>
            </w:r>
          </w:p>
        </w:tc>
        <w:tc>
          <w:tcPr>
            <w:tcW w:w="640" w:type="dxa"/>
            <w:vAlign w:val="bottom"/>
          </w:tcPr>
          <w:p>
            <w:pPr>
              <w:jc w:val="right"/>
              <w:spacing w:after="0"/>
              <w:rPr>
                <w:sz w:val="20"/>
                <w:szCs w:val="20"/>
                <w:color w:val="auto"/>
              </w:rPr>
            </w:pPr>
            <w:r>
              <w:rPr>
                <w:rFonts w:ascii="Arial" w:cs="Arial" w:eastAsia="Arial" w:hAnsi="Arial"/>
                <w:sz w:val="16"/>
                <w:szCs w:val="16"/>
                <w:color w:val="auto"/>
              </w:rPr>
              <w:t>(4.17)</w:t>
            </w:r>
          </w:p>
        </w:tc>
        <w:tc>
          <w:tcPr>
            <w:tcW w:w="120" w:type="dxa"/>
            <w:vAlign w:val="bottom"/>
          </w:tcPr>
          <w:p>
            <w:pPr>
              <w:spacing w:after="0"/>
              <w:rPr>
                <w:sz w:val="21"/>
                <w:szCs w:val="21"/>
                <w:color w:val="auto"/>
              </w:rPr>
            </w:pPr>
          </w:p>
        </w:tc>
        <w:tc>
          <w:tcPr>
            <w:tcW w:w="340" w:type="dxa"/>
            <w:vAlign w:val="bottom"/>
          </w:tcPr>
          <w:p>
            <w:pPr>
              <w:jc w:val="right"/>
              <w:ind w:right="137"/>
              <w:spacing w:after="0"/>
              <w:rPr>
                <w:sz w:val="20"/>
                <w:szCs w:val="20"/>
                <w:color w:val="auto"/>
              </w:rPr>
            </w:pPr>
            <w:r>
              <w:rPr>
                <w:rFonts w:ascii="Arial" w:cs="Arial" w:eastAsia="Arial" w:hAnsi="Arial"/>
                <w:sz w:val="16"/>
                <w:szCs w:val="16"/>
                <w:color w:val="auto"/>
              </w:rPr>
              <w:t>$</w:t>
            </w:r>
          </w:p>
        </w:tc>
        <w:tc>
          <w:tcPr>
            <w:tcW w:w="480" w:type="dxa"/>
            <w:vAlign w:val="bottom"/>
          </w:tcPr>
          <w:p>
            <w:pPr>
              <w:jc w:val="right"/>
              <w:spacing w:after="0"/>
              <w:rPr>
                <w:sz w:val="20"/>
                <w:szCs w:val="20"/>
                <w:color w:val="auto"/>
              </w:rPr>
            </w:pPr>
            <w:r>
              <w:rPr>
                <w:rFonts w:ascii="Arial" w:cs="Arial" w:eastAsia="Arial" w:hAnsi="Arial"/>
                <w:sz w:val="16"/>
                <w:szCs w:val="16"/>
                <w:color w:val="auto"/>
              </w:rPr>
              <w:t>114</w:t>
            </w:r>
          </w:p>
        </w:tc>
        <w:tc>
          <w:tcPr>
            <w:tcW w:w="480" w:type="dxa"/>
            <w:vAlign w:val="bottom"/>
            <w:gridSpan w:val="3"/>
          </w:tcPr>
          <w:p>
            <w:pPr>
              <w:jc w:val="right"/>
              <w:ind w:right="160"/>
              <w:spacing w:after="0"/>
              <w:rPr>
                <w:sz w:val="20"/>
                <w:szCs w:val="20"/>
                <w:color w:val="auto"/>
              </w:rPr>
            </w:pPr>
            <w:r>
              <w:rPr>
                <w:rFonts w:ascii="Arial" w:cs="Arial" w:eastAsia="Arial" w:hAnsi="Arial"/>
                <w:sz w:val="16"/>
                <w:szCs w:val="16"/>
                <w:color w:val="auto"/>
              </w:rPr>
              <w:t>$</w:t>
            </w:r>
          </w:p>
        </w:tc>
        <w:tc>
          <w:tcPr>
            <w:tcW w:w="640" w:type="dxa"/>
            <w:vAlign w:val="bottom"/>
          </w:tcPr>
          <w:p>
            <w:pPr>
              <w:jc w:val="right"/>
              <w:ind w:right="17"/>
              <w:spacing w:after="0"/>
              <w:rPr>
                <w:sz w:val="20"/>
                <w:szCs w:val="20"/>
                <w:color w:val="auto"/>
              </w:rPr>
            </w:pPr>
            <w:r>
              <w:rPr>
                <w:rFonts w:ascii="Arial" w:cs="Arial" w:eastAsia="Arial" w:hAnsi="Arial"/>
                <w:sz w:val="16"/>
                <w:szCs w:val="16"/>
                <w:color w:val="auto"/>
              </w:rPr>
              <w:t>2.03</w:t>
            </w:r>
          </w:p>
        </w:tc>
      </w:tr>
      <w:tr>
        <w:trPr>
          <w:trHeight w:val="20"/>
        </w:trPr>
        <w:tc>
          <w:tcPr>
            <w:tcW w:w="334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r>
    </w:tbl>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__________________________</w:t>
      </w:r>
    </w:p>
    <w:p>
      <w:pPr>
        <w:spacing w:after="0" w:line="230" w:lineRule="exact"/>
        <w:rPr>
          <w:sz w:val="20"/>
          <w:szCs w:val="20"/>
          <w:color w:val="auto"/>
        </w:rPr>
      </w:pPr>
    </w:p>
    <w:p>
      <w:pPr>
        <w:spacing w:after="0"/>
        <w:rPr>
          <w:sz w:val="20"/>
          <w:szCs w:val="20"/>
          <w:color w:val="auto"/>
        </w:rPr>
      </w:pPr>
      <w:r>
        <w:rPr>
          <w:rFonts w:ascii="Arial" w:cs="Arial" w:eastAsia="Arial" w:hAnsi="Arial"/>
          <w:sz w:val="16"/>
          <w:szCs w:val="16"/>
          <w:color w:val="auto"/>
        </w:rPr>
        <w:t>(1)  Income tax effect of adjustments calculated at the blended federal and state statutory tax rate of 37%.</w:t>
      </w:r>
    </w:p>
    <w:p>
      <w:pPr>
        <w:sectPr>
          <w:pgSz w:w="11900" w:h="16838" w:orient="portrait"/>
          <w:cols w:equalWidth="0" w:num="1">
            <w:col w:w="11420"/>
          </w:cols>
          <w:pgMar w:left="240" w:top="116" w:right="239" w:bottom="1440" w:gutter="0" w:footer="0" w:header="0"/>
        </w:sectPr>
      </w:pPr>
    </w:p>
    <w:p>
      <w:pPr>
        <w:spacing w:after="0" w:line="200" w:lineRule="exact"/>
        <w:rPr>
          <w:sz w:val="20"/>
          <w:szCs w:val="20"/>
          <w:color w:val="auto"/>
        </w:rPr>
      </w:pPr>
    </w:p>
    <w:p>
      <w:pPr>
        <w:spacing w:after="0" w:line="368" w:lineRule="exact"/>
        <w:rPr>
          <w:sz w:val="20"/>
          <w:szCs w:val="20"/>
          <w:color w:val="auto"/>
        </w:rPr>
      </w:pPr>
    </w:p>
    <w:p>
      <w:pPr>
        <w:ind w:left="7860"/>
        <w:spacing w:after="0"/>
        <w:rPr>
          <w:sz w:val="20"/>
          <w:szCs w:val="20"/>
          <w:color w:val="auto"/>
        </w:rPr>
      </w:pPr>
      <w:r>
        <w:rPr>
          <w:rFonts w:ascii="Arial" w:cs="Arial" w:eastAsia="Arial" w:hAnsi="Arial"/>
          <w:sz w:val="18"/>
          <w:szCs w:val="18"/>
          <w:color w:val="auto"/>
        </w:rPr>
        <w:t>Molina Healthcare, Inc. 2017 Form 10-Q | 62</w:t>
      </w:r>
    </w:p>
    <w:p>
      <w:pPr>
        <w:sectPr>
          <w:pgSz w:w="11900" w:h="16838" w:orient="portrait"/>
          <w:cols w:equalWidth="0" w:num="1">
            <w:col w:w="11420"/>
          </w:cols>
          <w:pgMar w:left="240" w:top="116" w:right="239" w:bottom="1440" w:gutter="0" w:footer="0" w:header="0"/>
          <w:type w:val="continuous"/>
        </w:sectPr>
      </w:pPr>
    </w:p>
    <w:bookmarkStart w:id="62" w:name="page63"/>
    <w:bookmarkEnd w:id="6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46" w:lineRule="exact"/>
        <w:rPr>
          <w:sz w:val="20"/>
          <w:szCs w:val="20"/>
          <w:color w:val="auto"/>
        </w:rPr>
      </w:pPr>
    </w:p>
    <w:p>
      <w:pPr>
        <w:spacing w:after="0"/>
        <w:rPr>
          <w:sz w:val="20"/>
          <w:szCs w:val="20"/>
          <w:color w:val="auto"/>
        </w:rPr>
      </w:pPr>
      <w:r>
        <w:rPr>
          <w:rFonts w:ascii="Arial" w:cs="Arial" w:eastAsia="Arial" w:hAnsi="Arial"/>
          <w:sz w:val="36"/>
          <w:szCs w:val="36"/>
          <w:b w:val="1"/>
          <w:bCs w:val="1"/>
          <w:color w:val="0F7C7F"/>
        </w:rPr>
        <w:t>CONTROLS AND PROCEDURES</w:t>
      </w:r>
    </w:p>
    <w:p>
      <w:pPr>
        <w:spacing w:after="0" w:line="250" w:lineRule="exact"/>
        <w:rPr>
          <w:sz w:val="20"/>
          <w:szCs w:val="20"/>
          <w:color w:val="auto"/>
        </w:rPr>
      </w:pPr>
    </w:p>
    <w:p>
      <w:pPr>
        <w:spacing w:after="0" w:line="257" w:lineRule="auto"/>
        <w:rPr>
          <w:sz w:val="20"/>
          <w:szCs w:val="20"/>
          <w:color w:val="auto"/>
        </w:rPr>
      </w:pPr>
      <w:r>
        <w:rPr>
          <w:rFonts w:ascii="Arial" w:cs="Arial" w:eastAsia="Arial" w:hAnsi="Arial"/>
          <w:sz w:val="18"/>
          <w:szCs w:val="18"/>
          <w:i w:val="1"/>
          <w:iCs w:val="1"/>
          <w:color w:val="auto"/>
        </w:rPr>
        <w:t xml:space="preserve">Evaluation of Disclosure Controls and Procedures: </w:t>
      </w:r>
      <w:r>
        <w:rPr>
          <w:rFonts w:ascii="Arial" w:cs="Arial" w:eastAsia="Arial" w:hAnsi="Arial"/>
          <w:sz w:val="18"/>
          <w:szCs w:val="18"/>
          <w:color w:val="auto"/>
        </w:rPr>
        <w:t>Our management, with the participation of our interim chief executive officer and our chief</w:t>
      </w:r>
      <w:r>
        <w:rPr>
          <w:rFonts w:ascii="Arial" w:cs="Arial" w:eastAsia="Arial" w:hAnsi="Arial"/>
          <w:sz w:val="18"/>
          <w:szCs w:val="18"/>
          <w:i w:val="1"/>
          <w:iCs w:val="1"/>
          <w:color w:val="auto"/>
        </w:rPr>
        <w:t xml:space="preserve"> </w:t>
      </w:r>
      <w:r>
        <w:rPr>
          <w:rFonts w:ascii="Arial" w:cs="Arial" w:eastAsia="Arial" w:hAnsi="Arial"/>
          <w:sz w:val="18"/>
          <w:szCs w:val="18"/>
          <w:color w:val="auto"/>
        </w:rPr>
        <w:t>financial officer, has concluded, based upon its evaluation as of the end of the period covered by this report, that the Company’s “disclosure controls and procedures” (as defined in Rules 13a-15(e) and 15d-15(e) under the Securities Exchange Act of 1934, as amended (the “Exchange Act”)), were not effective at the reasonable assurance level because of the material weakness in our internal control over financial reporting described below. Notwithstanding the material weakness described below, management has concluded that our consolidated financial statements included in this interim report on Form 10 -Q are fairly stated in all material respects in accordance with U.S. generally accepted accounting principles (GAAP) for each of the periods presented herein.</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Existence of a Material Weakness in Internal Control as of September 30, 2017</w:t>
      </w:r>
    </w:p>
    <w:p>
      <w:pPr>
        <w:spacing w:after="0" w:line="144" w:lineRule="exact"/>
        <w:rPr>
          <w:sz w:val="20"/>
          <w:szCs w:val="20"/>
          <w:color w:val="auto"/>
        </w:rPr>
      </w:pPr>
    </w:p>
    <w:p>
      <w:pPr>
        <w:ind w:right="160"/>
        <w:spacing w:after="0" w:line="258" w:lineRule="auto"/>
        <w:rPr>
          <w:sz w:val="20"/>
          <w:szCs w:val="20"/>
          <w:color w:val="auto"/>
        </w:rPr>
      </w:pPr>
      <w:r>
        <w:rPr>
          <w:rFonts w:ascii="Arial" w:cs="Arial" w:eastAsia="Arial" w:hAnsi="Arial"/>
          <w:sz w:val="18"/>
          <w:szCs w:val="18"/>
          <w:color w:val="auto"/>
        </w:rPr>
        <w:t>During the quarter ended September 30, 2017, we determined that a material weakness existed in our internal control over financial reporting relating to the design and operating effectiveness of our internal control for our interim goodwill impairment tests for our Pathways subsidiary and Molina Medicaid Solutions segment. Specifically, spreadsheet formula errors in our valuation model, and errors made in the calculation of impairment losses recorded, were not detected in our review procedures. As a result, we initially miscalculated the goodwill impairment in the three and nine months ended September 30, 2017. The impairment calculation was corrected prior to the filing of our unaudited consolidated financial statements as of and for the three and nine months ended September 30, 2017.</w:t>
      </w:r>
    </w:p>
    <w:p>
      <w:pPr>
        <w:spacing w:after="0" w:line="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Remediation Plan for Material Weakness</w:t>
      </w:r>
    </w:p>
    <w:p>
      <w:pPr>
        <w:spacing w:after="0" w:line="144"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We will implement a remediation plan developed to address this material weakness as of September 30, 2017. The remediation efforts we intend to implement include the enhancement of the design of the controls relating to the computation and rigor of review of the goodwill impairment tests. The enhancement of the controls will include the engagement of additional subject matter experts to support the valuation calculations, key assumptions and review process. In addition, we intend to develop new review controls that operate at an appropriate level of precision to prevent or detect potential material errors within the valuation calculations. We believe these measures will remediate the material weakness identified above and will strengthen our internal control over financial reporting for the computation of reporting unit fair value and potential consequent goodwill impairment. We are currently targeting to complete the implementation of the control enhancements during the fourth quarter of 2017. We will test the operating effectiveness of the control enhancements subsequent to implementation. If the remedial measures described above are insufficient to address the material weakness described above, or are not implemented timely, or additional deficiencies arise in the future, material misstatements in our interim or annual financial statements may occur in the future and could have the effects described in “Risk Factors,” in our Annual Report on Form 10-K for the year ended December 31, 2016.</w:t>
      </w:r>
    </w:p>
    <w:p>
      <w:pPr>
        <w:spacing w:after="0" w:line="75" w:lineRule="exact"/>
        <w:rPr>
          <w:sz w:val="20"/>
          <w:szCs w:val="20"/>
          <w:color w:val="auto"/>
        </w:rPr>
      </w:pPr>
    </w:p>
    <w:p>
      <w:pPr>
        <w:ind w:right="440"/>
        <w:spacing w:after="0" w:line="271" w:lineRule="auto"/>
        <w:rPr>
          <w:sz w:val="20"/>
          <w:szCs w:val="20"/>
          <w:color w:val="auto"/>
        </w:rPr>
      </w:pPr>
      <w:r>
        <w:rPr>
          <w:rFonts w:ascii="Arial" w:cs="Arial" w:eastAsia="Arial" w:hAnsi="Arial"/>
          <w:sz w:val="18"/>
          <w:szCs w:val="18"/>
          <w:i w:val="1"/>
          <w:iCs w:val="1"/>
          <w:color w:val="auto"/>
        </w:rPr>
        <w:t xml:space="preserve">Changes in Internal Control Over Financial Reporting: </w:t>
      </w:r>
      <w:r>
        <w:rPr>
          <w:rFonts w:ascii="Arial" w:cs="Arial" w:eastAsia="Arial" w:hAnsi="Arial"/>
          <w:sz w:val="18"/>
          <w:szCs w:val="18"/>
          <w:color w:val="auto"/>
        </w:rPr>
        <w:t>Except as described above, management did not identify any change in our internal</w:t>
      </w:r>
      <w:r>
        <w:rPr>
          <w:rFonts w:ascii="Arial" w:cs="Arial" w:eastAsia="Arial" w:hAnsi="Arial"/>
          <w:sz w:val="18"/>
          <w:szCs w:val="18"/>
          <w:i w:val="1"/>
          <w:iCs w:val="1"/>
          <w:color w:val="auto"/>
        </w:rPr>
        <w:t xml:space="preserve"> </w:t>
      </w:r>
      <w:r>
        <w:rPr>
          <w:rFonts w:ascii="Arial" w:cs="Arial" w:eastAsia="Arial" w:hAnsi="Arial"/>
          <w:sz w:val="18"/>
          <w:szCs w:val="18"/>
          <w:color w:val="auto"/>
        </w:rPr>
        <w:t>control over financial reporting during the fiscal quarter ended September 30, 2017 that has materially affected, or is reasonably likely to materially affect, our internal controls over financial reporting.</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Existence of a Material Weakness in Internal Control as of December 31, 2016</w:t>
      </w:r>
    </w:p>
    <w:p>
      <w:pPr>
        <w:spacing w:after="0" w:line="225" w:lineRule="exact"/>
        <w:rPr>
          <w:sz w:val="20"/>
          <w:szCs w:val="20"/>
          <w:color w:val="auto"/>
        </w:rPr>
      </w:pPr>
    </w:p>
    <w:p>
      <w:pPr>
        <w:spacing w:after="0" w:line="260" w:lineRule="auto"/>
        <w:rPr>
          <w:sz w:val="20"/>
          <w:szCs w:val="20"/>
          <w:color w:val="auto"/>
        </w:rPr>
      </w:pPr>
      <w:r>
        <w:rPr>
          <w:rFonts w:ascii="Arial" w:cs="Arial" w:eastAsia="Arial" w:hAnsi="Arial"/>
          <w:sz w:val="18"/>
          <w:szCs w:val="18"/>
          <w:color w:val="auto"/>
        </w:rPr>
        <w:t xml:space="preserve">As disclosed in our Annual Report on Form 10-K for the year ended December 31, 2016, our management assessed the effectiveness of our internal control over financial reporting as of December 31, 2016, based on the framework set forth in </w:t>
      </w:r>
      <w:r>
        <w:rPr>
          <w:rFonts w:ascii="Arial" w:cs="Arial" w:eastAsia="Arial" w:hAnsi="Arial"/>
          <w:sz w:val="18"/>
          <w:szCs w:val="18"/>
          <w:i w:val="1"/>
          <w:iCs w:val="1"/>
          <w:color w:val="auto"/>
        </w:rPr>
        <w:t>Internal Control-Integrated Framework</w:t>
      </w:r>
      <w:r>
        <w:rPr>
          <w:rFonts w:ascii="Arial" w:cs="Arial" w:eastAsia="Arial" w:hAnsi="Arial"/>
          <w:sz w:val="18"/>
          <w:szCs w:val="18"/>
          <w:color w:val="auto"/>
        </w:rPr>
        <w:t xml:space="preserve"> (2013) issued by the Committee of Sponsoring Organizations of the Treadway Commission (COSO). A material weakness is a deficiency, or a combination of deficiencies, in internal control over financial reporting, such that there is a reasonable possibility that a material misstatement of the annual or interim financial statements will not be prevented or detected on a timely basis.</w:t>
      </w:r>
    </w:p>
    <w:p>
      <w:pPr>
        <w:spacing w:after="0" w:line="175" w:lineRule="exact"/>
        <w:rPr>
          <w:sz w:val="20"/>
          <w:szCs w:val="20"/>
          <w:color w:val="auto"/>
        </w:rPr>
      </w:pPr>
    </w:p>
    <w:p>
      <w:pPr>
        <w:ind w:right="40"/>
        <w:spacing w:after="0" w:line="258" w:lineRule="auto"/>
        <w:rPr>
          <w:sz w:val="20"/>
          <w:szCs w:val="20"/>
          <w:color w:val="auto"/>
        </w:rPr>
      </w:pPr>
      <w:r>
        <w:rPr>
          <w:rFonts w:ascii="Arial" w:cs="Arial" w:eastAsia="Arial" w:hAnsi="Arial"/>
          <w:sz w:val="18"/>
          <w:szCs w:val="18"/>
          <w:color w:val="auto"/>
        </w:rPr>
        <w:t>We determined that a material weakness existed in our internal control over financial reporting relating to the operation of an element of our process for calculating the amount owed to California by our California health plan. More specifically, a Medicaid Expansion contract amendment executed in the fourth quarter of 2016 changed the medical loss ratio corridor formula and such amendment was not initially considered in determining the liability. As a result, we understated net income by $44 million for the year ended December 31, 2016, which was material to our consolidated results for the year ended December 31, 2016. This amount was corrected prior to the issuance of our consolidated financial statements as of and for the year ended December 31, 2016.</w:t>
      </w:r>
    </w:p>
    <w:p>
      <w:pPr>
        <w:spacing w:after="0" w:line="31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Molina Healthcare, Inc. 2017 Form 10-Q | 63</w:t>
      </w:r>
    </w:p>
    <w:p>
      <w:pPr>
        <w:sectPr>
          <w:pgSz w:w="11900" w:h="16838" w:orient="portrait"/>
          <w:cols w:equalWidth="0" w:num="1">
            <w:col w:w="11420"/>
          </w:cols>
          <w:pgMar w:left="240" w:top="116" w:right="239" w:bottom="1440" w:gutter="0" w:footer="0" w:header="0"/>
        </w:sectPr>
      </w:pPr>
    </w:p>
    <w:bookmarkStart w:id="63" w:name="page64"/>
    <w:bookmarkEnd w:id="6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61" w:lineRule="exact"/>
        <w:rPr>
          <w:sz w:val="20"/>
          <w:szCs w:val="20"/>
          <w:color w:val="auto"/>
        </w:rPr>
      </w:pPr>
    </w:p>
    <w:p>
      <w:pPr>
        <w:ind w:right="400"/>
        <w:spacing w:after="0" w:line="292" w:lineRule="auto"/>
        <w:rPr>
          <w:sz w:val="20"/>
          <w:szCs w:val="20"/>
          <w:color w:val="auto"/>
        </w:rPr>
      </w:pPr>
      <w:r>
        <w:rPr>
          <w:rFonts w:ascii="Arial" w:cs="Arial" w:eastAsia="Arial" w:hAnsi="Arial"/>
          <w:sz w:val="18"/>
          <w:szCs w:val="18"/>
          <w:color w:val="auto"/>
        </w:rPr>
        <w:t xml:space="preserve">Because of this material weakness, management concluded that we did not maintain effective internal control over financial reporting as of December 31, 2016, based on criteria described in </w:t>
      </w:r>
      <w:r>
        <w:rPr>
          <w:rFonts w:ascii="Arial" w:cs="Arial" w:eastAsia="Arial" w:hAnsi="Arial"/>
          <w:sz w:val="18"/>
          <w:szCs w:val="18"/>
          <w:i w:val="1"/>
          <w:iCs w:val="1"/>
          <w:color w:val="auto"/>
        </w:rPr>
        <w:t>Internal Control - Integrated Framework</w:t>
      </w:r>
      <w:r>
        <w:rPr>
          <w:rFonts w:ascii="Arial" w:cs="Arial" w:eastAsia="Arial" w:hAnsi="Arial"/>
          <w:sz w:val="18"/>
          <w:szCs w:val="18"/>
          <w:color w:val="auto"/>
        </w:rPr>
        <w:t xml:space="preserve"> (2013) issued by COSO.</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Remediation Plan for Material Weakness</w:t>
      </w:r>
    </w:p>
    <w:p>
      <w:pPr>
        <w:spacing w:after="0" w:line="225"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We are executing the remediation plan developed to address the material weakness reported as of December 31, 2016. The remediation efforts we have implemented include the development of robust protocols to ensure that the control, relating to the review of a contractual amendment affecting the computation of the Medicaid Expansion medical loss ratio corridor for our California health plan, is operating as designed. We believe these measures will remediate the material weakness identified above and will strengthen our internal control over financial reporting for the computation of our California Medicaid Expansion medical loss ratio corridor. We currently are targeting to complete the implementation of the control enhancements during 2017. We will test the ongoing operating effectiveness of the control enhancements subsequent to implementation, and consider the material weakness remediated after the applicable remedial control enhancements operate effectively for a sufficient period of time. If the remedial measures described above are insufficient to address the material weakness described above, or are not implemented timely, or additional deficiencies arise in the future, material misstatements in our interim or annual financial statements may occur in the future and could have the effects described in “Risk Factors” in our Annual Report on Form 10-K for the year ended December 31, 2016.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Molina Healthcare, Inc. 2017 Form 10-Q | 64</w:t>
      </w:r>
    </w:p>
    <w:p>
      <w:pPr>
        <w:sectPr>
          <w:pgSz w:w="11900" w:h="16838" w:orient="portrait"/>
          <w:cols w:equalWidth="0" w:num="1">
            <w:col w:w="11420"/>
          </w:cols>
          <w:pgMar w:left="240" w:top="116" w:right="239" w:bottom="1440" w:gutter="0" w:footer="0" w:header="0"/>
        </w:sectPr>
      </w:pPr>
    </w:p>
    <w:bookmarkStart w:id="64" w:name="page65"/>
    <w:bookmarkEnd w:id="6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46" w:lineRule="exact"/>
        <w:rPr>
          <w:sz w:val="20"/>
          <w:szCs w:val="20"/>
          <w:color w:val="auto"/>
        </w:rPr>
      </w:pPr>
    </w:p>
    <w:p>
      <w:pPr>
        <w:spacing w:after="0"/>
        <w:rPr>
          <w:sz w:val="20"/>
          <w:szCs w:val="20"/>
          <w:color w:val="auto"/>
        </w:rPr>
      </w:pPr>
      <w:r>
        <w:rPr>
          <w:rFonts w:ascii="Arial" w:cs="Arial" w:eastAsia="Arial" w:hAnsi="Arial"/>
          <w:sz w:val="36"/>
          <w:szCs w:val="36"/>
          <w:b w:val="1"/>
          <w:bCs w:val="1"/>
          <w:color w:val="0F7C7F"/>
        </w:rPr>
        <w:t>LEGAL PROCEEDINGS</w:t>
      </w: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color w:val="auto"/>
        </w:rPr>
        <w:t>For information regarding legal proceedings, see Notes to Consolidated Financial Statements, Note 13, “Commitments and Contingencies.”</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Arial" w:cs="Arial" w:eastAsia="Arial" w:hAnsi="Arial"/>
          <w:sz w:val="36"/>
          <w:szCs w:val="36"/>
          <w:b w:val="1"/>
          <w:bCs w:val="1"/>
          <w:color w:val="0F7C7F"/>
        </w:rPr>
        <w:t>RISK FACTORS</w:t>
      </w:r>
    </w:p>
    <w:p>
      <w:pPr>
        <w:spacing w:after="0" w:line="250"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Certain risks may have a material adverse effect on our business, financial condition, cash flows, results of operations, or stock price, and you should carefully consider them before making an investment decision. In addition to the other information set forth in this report, you should carefully consider the risk factors discussed in “Risk Factors,” in our Annual Report on Form 10-K for the year ended December 31, 2016 and our Quarterly Reports on Form 10-Q for the quarters ended March 31, 2017 and June 30, 2017. The risk factors described in our 2016 Annual Report on Form 10-K and our Quarterly Reports on Form 10-Q for the quarters ended March 31, 2017 and June 30, 2017, are not the only risks that we face. Additional risks and uncertainties not currently known to us or that we currently deem to be immaterial may also materially adversely affect our business, financial condition, cash flows, results of operations, or stock price.</w:t>
      </w:r>
    </w:p>
    <w:p>
      <w:pPr>
        <w:spacing w:after="0" w:line="200" w:lineRule="exact"/>
        <w:rPr>
          <w:sz w:val="20"/>
          <w:szCs w:val="20"/>
          <w:color w:val="auto"/>
        </w:rPr>
      </w:pPr>
    </w:p>
    <w:p>
      <w:pPr>
        <w:spacing w:after="0" w:line="394" w:lineRule="exact"/>
        <w:rPr>
          <w:sz w:val="20"/>
          <w:szCs w:val="20"/>
          <w:color w:val="auto"/>
        </w:rPr>
      </w:pPr>
    </w:p>
    <w:p>
      <w:pPr>
        <w:ind w:right="640"/>
        <w:spacing w:after="0" w:line="306" w:lineRule="auto"/>
        <w:rPr>
          <w:sz w:val="20"/>
          <w:szCs w:val="20"/>
          <w:color w:val="auto"/>
        </w:rPr>
      </w:pPr>
      <w:r>
        <w:rPr>
          <w:rFonts w:ascii="Arial" w:cs="Arial" w:eastAsia="Arial" w:hAnsi="Arial"/>
          <w:sz w:val="36"/>
          <w:szCs w:val="36"/>
          <w:b w:val="1"/>
          <w:bCs w:val="1"/>
          <w:color w:val="0F7C7F"/>
        </w:rPr>
        <w:t>UNREGISTERED SALES OF EQUITY SECURITIES AND USE OF PROCEEDS</w:t>
      </w:r>
    </w:p>
    <w:p>
      <w:pPr>
        <w:spacing w:after="0" w:line="21" w:lineRule="exact"/>
        <w:rPr>
          <w:sz w:val="20"/>
          <w:szCs w:val="20"/>
          <w:color w:val="auto"/>
        </w:rPr>
      </w:pPr>
    </w:p>
    <w:p>
      <w:pPr>
        <w:spacing w:after="0"/>
        <w:rPr>
          <w:sz w:val="20"/>
          <w:szCs w:val="20"/>
          <w:color w:val="auto"/>
        </w:rPr>
      </w:pPr>
      <w:r>
        <w:rPr>
          <w:rFonts w:ascii="Arial" w:cs="Arial" w:eastAsia="Arial" w:hAnsi="Arial"/>
          <w:sz w:val="32"/>
          <w:szCs w:val="32"/>
          <w:b w:val="1"/>
          <w:bCs w:val="1"/>
          <w:color w:val="ACACAC"/>
        </w:rPr>
        <w:t>ISSUER PURCHASES OF EQUITY SECURITIES</w:t>
      </w:r>
    </w:p>
    <w:p>
      <w:pPr>
        <w:spacing w:after="0" w:line="246" w:lineRule="exact"/>
        <w:rPr>
          <w:sz w:val="20"/>
          <w:szCs w:val="20"/>
          <w:color w:val="auto"/>
        </w:rPr>
      </w:pPr>
    </w:p>
    <w:p>
      <w:pPr>
        <w:ind w:right="320"/>
        <w:spacing w:after="0" w:line="292" w:lineRule="auto"/>
        <w:rPr>
          <w:sz w:val="20"/>
          <w:szCs w:val="20"/>
          <w:color w:val="auto"/>
        </w:rPr>
      </w:pPr>
      <w:r>
        <w:rPr>
          <w:rFonts w:ascii="Arial" w:cs="Arial" w:eastAsia="Arial" w:hAnsi="Arial"/>
          <w:sz w:val="18"/>
          <w:szCs w:val="18"/>
          <w:color w:val="auto"/>
        </w:rPr>
        <w:t>Purchases of common stock made by us, or on our behalf during the quarter ended September 30, 2017, including shares withheld by us to satisfy our employees’ income tax obligations, are set forth below:</w:t>
      </w:r>
    </w:p>
    <w:p>
      <w:pPr>
        <w:spacing w:after="0" w:line="93"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86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00" w:type="dxa"/>
            <w:vAlign w:val="bottom"/>
          </w:tcPr>
          <w:p>
            <w:pPr>
              <w:jc w:val="center"/>
              <w:ind w:right="119"/>
              <w:spacing w:after="0"/>
              <w:rPr>
                <w:sz w:val="20"/>
                <w:szCs w:val="20"/>
                <w:color w:val="auto"/>
              </w:rPr>
            </w:pPr>
            <w:r>
              <w:rPr>
                <w:rFonts w:ascii="Arial" w:cs="Arial" w:eastAsia="Arial" w:hAnsi="Arial"/>
                <w:sz w:val="16"/>
                <w:szCs w:val="16"/>
                <w:b w:val="1"/>
                <w:bCs w:val="1"/>
                <w:color w:val="auto"/>
              </w:rPr>
              <w:t>Approximate</w:t>
            </w:r>
          </w:p>
        </w:tc>
      </w:tr>
      <w:tr>
        <w:trPr>
          <w:trHeight w:val="189"/>
        </w:trPr>
        <w:tc>
          <w:tcPr>
            <w:tcW w:w="486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80" w:type="dxa"/>
            <w:vAlign w:val="bottom"/>
          </w:tcPr>
          <w:p>
            <w:pPr>
              <w:ind w:left="40"/>
              <w:spacing w:after="0"/>
              <w:rPr>
                <w:sz w:val="20"/>
                <w:szCs w:val="20"/>
                <w:color w:val="auto"/>
              </w:rPr>
            </w:pPr>
            <w:r>
              <w:rPr>
                <w:rFonts w:ascii="Arial" w:cs="Arial" w:eastAsia="Arial" w:hAnsi="Arial"/>
                <w:sz w:val="16"/>
                <w:szCs w:val="16"/>
                <w:b w:val="1"/>
                <w:bCs w:val="1"/>
                <w:color w:val="auto"/>
              </w:rPr>
              <w:t>Total Number of Shares</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00" w:type="dxa"/>
            <w:vAlign w:val="bottom"/>
          </w:tcPr>
          <w:p>
            <w:pPr>
              <w:jc w:val="center"/>
              <w:ind w:right="79"/>
              <w:spacing w:after="0"/>
              <w:rPr>
                <w:sz w:val="20"/>
                <w:szCs w:val="20"/>
                <w:color w:val="auto"/>
              </w:rPr>
            </w:pPr>
            <w:r>
              <w:rPr>
                <w:rFonts w:ascii="Arial" w:cs="Arial" w:eastAsia="Arial" w:hAnsi="Arial"/>
                <w:sz w:val="16"/>
                <w:szCs w:val="16"/>
                <w:b w:val="1"/>
                <w:bCs w:val="1"/>
                <w:color w:val="auto"/>
              </w:rPr>
              <w:t>Dollar Value</w:t>
            </w:r>
          </w:p>
        </w:tc>
      </w:tr>
      <w:tr>
        <w:trPr>
          <w:trHeight w:val="189"/>
        </w:trPr>
        <w:tc>
          <w:tcPr>
            <w:tcW w:w="486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80" w:type="dxa"/>
            <w:vAlign w:val="bottom"/>
          </w:tcPr>
          <w:p>
            <w:pPr>
              <w:jc w:val="center"/>
              <w:spacing w:after="0"/>
              <w:rPr>
                <w:sz w:val="20"/>
                <w:szCs w:val="20"/>
                <w:color w:val="auto"/>
              </w:rPr>
            </w:pPr>
            <w:r>
              <w:rPr>
                <w:rFonts w:ascii="Arial" w:cs="Arial" w:eastAsia="Arial" w:hAnsi="Arial"/>
                <w:sz w:val="16"/>
                <w:szCs w:val="16"/>
                <w:b w:val="1"/>
                <w:bCs w:val="1"/>
                <w:color w:val="auto"/>
              </w:rPr>
              <w:t>Purchased as Part of</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00" w:type="dxa"/>
            <w:vAlign w:val="bottom"/>
          </w:tcPr>
          <w:p>
            <w:pPr>
              <w:jc w:val="center"/>
              <w:ind w:right="79"/>
              <w:spacing w:after="0"/>
              <w:rPr>
                <w:sz w:val="20"/>
                <w:szCs w:val="20"/>
                <w:color w:val="auto"/>
              </w:rPr>
            </w:pPr>
            <w:r>
              <w:rPr>
                <w:rFonts w:ascii="Arial" w:cs="Arial" w:eastAsia="Arial" w:hAnsi="Arial"/>
                <w:sz w:val="16"/>
                <w:szCs w:val="16"/>
                <w:b w:val="1"/>
                <w:bCs w:val="1"/>
                <w:color w:val="auto"/>
              </w:rPr>
              <w:t>of Shares</w:t>
            </w:r>
          </w:p>
        </w:tc>
      </w:tr>
      <w:tr>
        <w:trPr>
          <w:trHeight w:val="189"/>
        </w:trPr>
        <w:tc>
          <w:tcPr>
            <w:tcW w:w="486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80" w:type="dxa"/>
            <w:vAlign w:val="bottom"/>
          </w:tcPr>
          <w:p>
            <w:pPr>
              <w:jc w:val="center"/>
              <w:spacing w:after="0"/>
              <w:rPr>
                <w:sz w:val="20"/>
                <w:szCs w:val="20"/>
                <w:color w:val="auto"/>
              </w:rPr>
            </w:pPr>
            <w:r>
              <w:rPr>
                <w:rFonts w:ascii="Arial" w:cs="Arial" w:eastAsia="Arial" w:hAnsi="Arial"/>
                <w:sz w:val="16"/>
                <w:szCs w:val="16"/>
                <w:b w:val="1"/>
                <w:bCs w:val="1"/>
                <w:color w:val="auto"/>
              </w:rPr>
              <w:t>Publicly</w:t>
            </w:r>
          </w:p>
        </w:tc>
        <w:tc>
          <w:tcPr>
            <w:tcW w:w="100" w:type="dxa"/>
            <w:vAlign w:val="bottom"/>
          </w:tcPr>
          <w:p>
            <w:pPr>
              <w:spacing w:after="0"/>
              <w:rPr>
                <w:sz w:val="16"/>
                <w:szCs w:val="16"/>
                <w:color w:val="auto"/>
              </w:rPr>
            </w:pPr>
          </w:p>
        </w:tc>
        <w:tc>
          <w:tcPr>
            <w:tcW w:w="1460" w:type="dxa"/>
            <w:vAlign w:val="bottom"/>
            <w:gridSpan w:val="2"/>
          </w:tcPr>
          <w:p>
            <w:pPr>
              <w:jc w:val="center"/>
              <w:spacing w:after="0"/>
              <w:rPr>
                <w:sz w:val="20"/>
                <w:szCs w:val="20"/>
                <w:color w:val="auto"/>
              </w:rPr>
            </w:pPr>
            <w:r>
              <w:rPr>
                <w:rFonts w:ascii="Arial" w:cs="Arial" w:eastAsia="Arial" w:hAnsi="Arial"/>
                <w:sz w:val="16"/>
                <w:szCs w:val="16"/>
                <w:b w:val="1"/>
                <w:bCs w:val="1"/>
                <w:color w:val="auto"/>
              </w:rPr>
              <w:t>Authorized to Be</w:t>
            </w:r>
          </w:p>
        </w:tc>
      </w:tr>
      <w:tr>
        <w:trPr>
          <w:trHeight w:val="189"/>
        </w:trPr>
        <w:tc>
          <w:tcPr>
            <w:tcW w:w="4860" w:type="dxa"/>
            <w:vAlign w:val="bottom"/>
          </w:tcPr>
          <w:p>
            <w:pPr>
              <w:spacing w:after="0"/>
              <w:rPr>
                <w:sz w:val="16"/>
                <w:szCs w:val="16"/>
                <w:color w:val="auto"/>
              </w:rPr>
            </w:pPr>
          </w:p>
        </w:tc>
        <w:tc>
          <w:tcPr>
            <w:tcW w:w="1460" w:type="dxa"/>
            <w:vAlign w:val="bottom"/>
          </w:tcPr>
          <w:p>
            <w:pPr>
              <w:jc w:val="center"/>
              <w:spacing w:after="0"/>
              <w:rPr>
                <w:sz w:val="20"/>
                <w:szCs w:val="20"/>
                <w:color w:val="auto"/>
              </w:rPr>
            </w:pPr>
            <w:r>
              <w:rPr>
                <w:rFonts w:ascii="Arial" w:cs="Arial" w:eastAsia="Arial" w:hAnsi="Arial"/>
                <w:sz w:val="16"/>
                <w:szCs w:val="16"/>
                <w:b w:val="1"/>
                <w:bCs w:val="1"/>
                <w:color w:val="auto"/>
              </w:rPr>
              <w:t>Total Number</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80" w:type="dxa"/>
            <w:vAlign w:val="bottom"/>
          </w:tcPr>
          <w:p>
            <w:pPr>
              <w:jc w:val="center"/>
              <w:spacing w:after="0"/>
              <w:rPr>
                <w:sz w:val="20"/>
                <w:szCs w:val="20"/>
                <w:color w:val="auto"/>
              </w:rPr>
            </w:pPr>
            <w:r>
              <w:rPr>
                <w:rFonts w:ascii="Arial" w:cs="Arial" w:eastAsia="Arial" w:hAnsi="Arial"/>
                <w:sz w:val="16"/>
                <w:szCs w:val="16"/>
                <w:b w:val="1"/>
                <w:bCs w:val="1"/>
                <w:color w:val="auto"/>
                <w:w w:val="99"/>
              </w:rPr>
              <w:t>Announced</w:t>
            </w:r>
          </w:p>
        </w:tc>
        <w:tc>
          <w:tcPr>
            <w:tcW w:w="100" w:type="dxa"/>
            <w:vAlign w:val="bottom"/>
          </w:tcPr>
          <w:p>
            <w:pPr>
              <w:spacing w:after="0"/>
              <w:rPr>
                <w:sz w:val="16"/>
                <w:szCs w:val="16"/>
                <w:color w:val="auto"/>
              </w:rPr>
            </w:pPr>
          </w:p>
        </w:tc>
        <w:tc>
          <w:tcPr>
            <w:tcW w:w="1460" w:type="dxa"/>
            <w:vAlign w:val="bottom"/>
            <w:gridSpan w:val="2"/>
          </w:tcPr>
          <w:p>
            <w:pPr>
              <w:jc w:val="center"/>
              <w:spacing w:after="0"/>
              <w:rPr>
                <w:sz w:val="20"/>
                <w:szCs w:val="20"/>
                <w:color w:val="auto"/>
              </w:rPr>
            </w:pPr>
            <w:r>
              <w:rPr>
                <w:rFonts w:ascii="Arial" w:cs="Arial" w:eastAsia="Arial" w:hAnsi="Arial"/>
                <w:sz w:val="16"/>
                <w:szCs w:val="16"/>
                <w:b w:val="1"/>
                <w:bCs w:val="1"/>
                <w:color w:val="auto"/>
              </w:rPr>
              <w:t>Purchased Under</w:t>
            </w:r>
          </w:p>
        </w:tc>
      </w:tr>
      <w:tr>
        <w:trPr>
          <w:trHeight w:val="189"/>
        </w:trPr>
        <w:tc>
          <w:tcPr>
            <w:tcW w:w="4860" w:type="dxa"/>
            <w:vAlign w:val="bottom"/>
          </w:tcPr>
          <w:p>
            <w:pPr>
              <w:spacing w:after="0"/>
              <w:rPr>
                <w:sz w:val="16"/>
                <w:szCs w:val="16"/>
                <w:color w:val="auto"/>
              </w:rPr>
            </w:pPr>
          </w:p>
        </w:tc>
        <w:tc>
          <w:tcPr>
            <w:tcW w:w="1460" w:type="dxa"/>
            <w:vAlign w:val="bottom"/>
          </w:tcPr>
          <w:p>
            <w:pPr>
              <w:jc w:val="center"/>
              <w:spacing w:after="0"/>
              <w:rPr>
                <w:sz w:val="20"/>
                <w:szCs w:val="20"/>
                <w:color w:val="auto"/>
              </w:rPr>
            </w:pPr>
            <w:r>
              <w:rPr>
                <w:rFonts w:ascii="Arial" w:cs="Arial" w:eastAsia="Arial" w:hAnsi="Arial"/>
                <w:sz w:val="16"/>
                <w:szCs w:val="16"/>
                <w:b w:val="1"/>
                <w:bCs w:val="1"/>
                <w:color w:val="auto"/>
              </w:rPr>
              <w:t>of Shares</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20" w:type="dxa"/>
            <w:vAlign w:val="bottom"/>
            <w:gridSpan w:val="2"/>
          </w:tcPr>
          <w:p>
            <w:pPr>
              <w:ind w:left="40"/>
              <w:spacing w:after="0"/>
              <w:rPr>
                <w:sz w:val="20"/>
                <w:szCs w:val="20"/>
                <w:color w:val="auto"/>
              </w:rPr>
            </w:pPr>
            <w:r>
              <w:rPr>
                <w:rFonts w:ascii="Arial" w:cs="Arial" w:eastAsia="Arial" w:hAnsi="Arial"/>
                <w:sz w:val="16"/>
                <w:szCs w:val="16"/>
                <w:b w:val="1"/>
                <w:bCs w:val="1"/>
                <w:color w:val="auto"/>
              </w:rPr>
              <w:t>Average Price</w:t>
            </w:r>
          </w:p>
        </w:tc>
        <w:tc>
          <w:tcPr>
            <w:tcW w:w="1880" w:type="dxa"/>
            <w:vAlign w:val="bottom"/>
          </w:tcPr>
          <w:p>
            <w:pPr>
              <w:jc w:val="center"/>
              <w:spacing w:after="0"/>
              <w:rPr>
                <w:sz w:val="20"/>
                <w:szCs w:val="20"/>
                <w:color w:val="auto"/>
              </w:rPr>
            </w:pPr>
            <w:r>
              <w:rPr>
                <w:rFonts w:ascii="Arial" w:cs="Arial" w:eastAsia="Arial" w:hAnsi="Arial"/>
                <w:sz w:val="16"/>
                <w:szCs w:val="16"/>
                <w:b w:val="1"/>
                <w:bCs w:val="1"/>
                <w:color w:val="auto"/>
              </w:rPr>
              <w:t>Plans or</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00" w:type="dxa"/>
            <w:vAlign w:val="bottom"/>
          </w:tcPr>
          <w:p>
            <w:pPr>
              <w:jc w:val="center"/>
              <w:ind w:right="79"/>
              <w:spacing w:after="0"/>
              <w:rPr>
                <w:sz w:val="20"/>
                <w:szCs w:val="20"/>
                <w:color w:val="auto"/>
              </w:rPr>
            </w:pPr>
            <w:r>
              <w:rPr>
                <w:rFonts w:ascii="Arial" w:cs="Arial" w:eastAsia="Arial" w:hAnsi="Arial"/>
                <w:sz w:val="16"/>
                <w:szCs w:val="16"/>
                <w:b w:val="1"/>
                <w:bCs w:val="1"/>
                <w:color w:val="auto"/>
              </w:rPr>
              <w:t>the Plans or</w:t>
            </w:r>
          </w:p>
        </w:tc>
      </w:tr>
      <w:tr>
        <w:trPr>
          <w:trHeight w:val="236"/>
        </w:trPr>
        <w:tc>
          <w:tcPr>
            <w:tcW w:w="4860" w:type="dxa"/>
            <w:vAlign w:val="bottom"/>
            <w:tcBorders>
              <w:bottom w:val="single" w:sz="8" w:color="CCEEFF"/>
            </w:tcBorders>
          </w:tcPr>
          <w:p>
            <w:pPr>
              <w:spacing w:after="0"/>
              <w:rPr>
                <w:sz w:val="20"/>
                <w:szCs w:val="20"/>
                <w:color w:val="auto"/>
              </w:rPr>
            </w:pPr>
          </w:p>
        </w:tc>
        <w:tc>
          <w:tcPr>
            <w:tcW w:w="1460" w:type="dxa"/>
            <w:vAlign w:val="bottom"/>
            <w:tcBorders>
              <w:bottom w:val="single" w:sz="8" w:color="auto"/>
            </w:tcBorders>
          </w:tcPr>
          <w:p>
            <w:pPr>
              <w:jc w:val="center"/>
              <w:spacing w:after="0" w:line="236" w:lineRule="exact"/>
              <w:rPr>
                <w:sz w:val="20"/>
                <w:szCs w:val="20"/>
                <w:color w:val="auto"/>
              </w:rPr>
            </w:pPr>
            <w:r>
              <w:rPr>
                <w:rFonts w:ascii="Arial" w:cs="Arial" w:eastAsia="Arial" w:hAnsi="Arial"/>
                <w:sz w:val="16"/>
                <w:szCs w:val="16"/>
                <w:b w:val="1"/>
                <w:bCs w:val="1"/>
                <w:color w:val="auto"/>
                <w:w w:val="96"/>
              </w:rPr>
              <w:t xml:space="preserve">Purchased </w:t>
            </w:r>
            <w:r>
              <w:rPr>
                <w:rFonts w:ascii="Arial" w:cs="Arial" w:eastAsia="Arial" w:hAnsi="Arial"/>
                <w:sz w:val="21"/>
                <w:szCs w:val="21"/>
                <w:b w:val="1"/>
                <w:bCs w:val="1"/>
                <w:color w:val="auto"/>
                <w:w w:val="96"/>
                <w:vertAlign w:val="superscript"/>
              </w:rPr>
              <w:t>(1)</w:t>
            </w:r>
          </w:p>
        </w:tc>
        <w:tc>
          <w:tcPr>
            <w:tcW w:w="10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Paid per Share</w:t>
            </w:r>
          </w:p>
        </w:tc>
        <w:tc>
          <w:tcPr>
            <w:tcW w:w="100" w:type="dxa"/>
            <w:vAlign w:val="bottom"/>
            <w:tcBorders>
              <w:bottom w:val="single" w:sz="8" w:color="CCEEFF"/>
            </w:tcBorders>
          </w:tcPr>
          <w:p>
            <w:pPr>
              <w:spacing w:after="0"/>
              <w:rPr>
                <w:sz w:val="20"/>
                <w:szCs w:val="20"/>
                <w:color w:val="auto"/>
              </w:rPr>
            </w:pPr>
          </w:p>
        </w:tc>
        <w:tc>
          <w:tcPr>
            <w:tcW w:w="188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Programs</w:t>
            </w:r>
          </w:p>
        </w:tc>
        <w:tc>
          <w:tcPr>
            <w:tcW w:w="10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center"/>
              <w:ind w:right="79"/>
              <w:spacing w:after="0"/>
              <w:rPr>
                <w:sz w:val="20"/>
                <w:szCs w:val="20"/>
                <w:color w:val="auto"/>
              </w:rPr>
            </w:pPr>
            <w:r>
              <w:rPr>
                <w:rFonts w:ascii="Arial" w:cs="Arial" w:eastAsia="Arial" w:hAnsi="Arial"/>
                <w:sz w:val="16"/>
                <w:szCs w:val="16"/>
                <w:b w:val="1"/>
                <w:bCs w:val="1"/>
                <w:color w:val="auto"/>
                <w:w w:val="99"/>
              </w:rPr>
              <w:t>Programs</w:t>
            </w:r>
          </w:p>
        </w:tc>
      </w:tr>
      <w:tr>
        <w:trPr>
          <w:trHeight w:val="250"/>
        </w:trPr>
        <w:tc>
          <w:tcPr>
            <w:tcW w:w="4860" w:type="dxa"/>
            <w:vAlign w:val="bottom"/>
            <w:shd w:val="clear" w:color="auto" w:fill="CCEEFF"/>
          </w:tcPr>
          <w:p>
            <w:pPr>
              <w:ind w:left="40"/>
              <w:spacing w:after="0"/>
              <w:rPr>
                <w:sz w:val="20"/>
                <w:szCs w:val="20"/>
                <w:color w:val="auto"/>
              </w:rPr>
            </w:pPr>
            <w:r>
              <w:rPr>
                <w:rFonts w:ascii="Arial" w:cs="Arial" w:eastAsia="Arial" w:hAnsi="Arial"/>
                <w:sz w:val="16"/>
                <w:szCs w:val="16"/>
                <w:color w:val="auto"/>
              </w:rPr>
              <w:t>July 1 - July 31</w:t>
            </w:r>
          </w:p>
        </w:tc>
        <w:tc>
          <w:tcPr>
            <w:tcW w:w="14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665</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3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69.18</w:t>
            </w:r>
          </w:p>
        </w:tc>
        <w:tc>
          <w:tcPr>
            <w:tcW w:w="100" w:type="dxa"/>
            <w:vAlign w:val="bottom"/>
            <w:shd w:val="clear" w:color="auto" w:fill="CCEEFF"/>
          </w:tcPr>
          <w:p>
            <w:pPr>
              <w:spacing w:after="0"/>
              <w:rPr>
                <w:sz w:val="21"/>
                <w:szCs w:val="21"/>
                <w:color w:val="auto"/>
              </w:rPr>
            </w:pPr>
          </w:p>
        </w:tc>
        <w:tc>
          <w:tcPr>
            <w:tcW w:w="1880" w:type="dxa"/>
            <w:vAlign w:val="bottom"/>
            <w:shd w:val="clear" w:color="auto" w:fill="CCEEFF"/>
          </w:tcPr>
          <w:p>
            <w:pPr>
              <w:ind w:left="1580"/>
              <w:spacing w:after="0"/>
              <w:rPr>
                <w:sz w:val="20"/>
                <w:szCs w:val="20"/>
                <w:color w:val="auto"/>
              </w:rPr>
            </w:pPr>
            <w:r>
              <w:rPr>
                <w:rFonts w:ascii="Arial" w:cs="Arial" w:eastAsia="Arial" w:hAnsi="Arial"/>
                <w:sz w:val="16"/>
                <w:szCs w:val="16"/>
                <w:color w:val="auto"/>
              </w:rPr>
              <w:t>—</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00" w:type="dxa"/>
            <w:vAlign w:val="bottom"/>
            <w:shd w:val="clear" w:color="auto" w:fill="CCEEFF"/>
          </w:tcPr>
          <w:p>
            <w:pPr>
              <w:ind w:left="1020"/>
              <w:spacing w:after="0"/>
              <w:rPr>
                <w:sz w:val="20"/>
                <w:szCs w:val="20"/>
                <w:color w:val="auto"/>
              </w:rPr>
            </w:pPr>
            <w:r>
              <w:rPr>
                <w:rFonts w:ascii="Arial" w:cs="Arial" w:eastAsia="Arial" w:hAnsi="Arial"/>
                <w:sz w:val="16"/>
                <w:szCs w:val="16"/>
                <w:color w:val="auto"/>
              </w:rPr>
              <w:t>—</w:t>
            </w:r>
          </w:p>
        </w:tc>
      </w:tr>
      <w:tr>
        <w:trPr>
          <w:trHeight w:val="262"/>
        </w:trPr>
        <w:tc>
          <w:tcPr>
            <w:tcW w:w="4860" w:type="dxa"/>
            <w:vAlign w:val="bottom"/>
          </w:tcPr>
          <w:p>
            <w:pPr>
              <w:ind w:left="40"/>
              <w:spacing w:after="0"/>
              <w:rPr>
                <w:sz w:val="20"/>
                <w:szCs w:val="20"/>
                <w:color w:val="auto"/>
              </w:rPr>
            </w:pPr>
            <w:r>
              <w:rPr>
                <w:rFonts w:ascii="Arial" w:cs="Arial" w:eastAsia="Arial" w:hAnsi="Arial"/>
                <w:sz w:val="16"/>
                <w:szCs w:val="16"/>
                <w:color w:val="auto"/>
              </w:rPr>
              <w:t>August 1 - August 31</w:t>
            </w:r>
          </w:p>
        </w:tc>
        <w:tc>
          <w:tcPr>
            <w:tcW w:w="1460" w:type="dxa"/>
            <w:vAlign w:val="bottom"/>
          </w:tcPr>
          <w:p>
            <w:pPr>
              <w:jc w:val="right"/>
              <w:ind w:right="39"/>
              <w:spacing w:after="0"/>
              <w:rPr>
                <w:sz w:val="20"/>
                <w:szCs w:val="20"/>
                <w:color w:val="auto"/>
              </w:rPr>
            </w:pPr>
            <w:r>
              <w:rPr>
                <w:rFonts w:ascii="Arial" w:cs="Arial" w:eastAsia="Arial" w:hAnsi="Arial"/>
                <w:sz w:val="16"/>
                <w:szCs w:val="16"/>
                <w:color w:val="auto"/>
              </w:rPr>
              <w:t>285</w:t>
            </w:r>
          </w:p>
        </w:tc>
        <w:tc>
          <w:tcPr>
            <w:tcW w:w="24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1320" w:type="dxa"/>
            <w:vAlign w:val="bottom"/>
          </w:tcPr>
          <w:p>
            <w:pPr>
              <w:jc w:val="right"/>
              <w:ind w:right="19"/>
              <w:spacing w:after="0"/>
              <w:rPr>
                <w:sz w:val="20"/>
                <w:szCs w:val="20"/>
                <w:color w:val="auto"/>
              </w:rPr>
            </w:pPr>
            <w:r>
              <w:rPr>
                <w:rFonts w:ascii="Arial" w:cs="Arial" w:eastAsia="Arial" w:hAnsi="Arial"/>
                <w:sz w:val="16"/>
                <w:szCs w:val="16"/>
                <w:color w:val="auto"/>
              </w:rPr>
              <w:t>57.03</w:t>
            </w:r>
          </w:p>
        </w:tc>
        <w:tc>
          <w:tcPr>
            <w:tcW w:w="100" w:type="dxa"/>
            <w:vAlign w:val="bottom"/>
          </w:tcPr>
          <w:p>
            <w:pPr>
              <w:spacing w:after="0"/>
              <w:rPr>
                <w:sz w:val="22"/>
                <w:szCs w:val="22"/>
                <w:color w:val="auto"/>
              </w:rPr>
            </w:pPr>
          </w:p>
        </w:tc>
        <w:tc>
          <w:tcPr>
            <w:tcW w:w="1880" w:type="dxa"/>
            <w:vAlign w:val="bottom"/>
          </w:tcPr>
          <w:p>
            <w:pPr>
              <w:ind w:left="1580"/>
              <w:spacing w:after="0"/>
              <w:rPr>
                <w:sz w:val="20"/>
                <w:szCs w:val="20"/>
                <w:color w:val="auto"/>
              </w:rPr>
            </w:pPr>
            <w:r>
              <w:rPr>
                <w:rFonts w:ascii="Arial" w:cs="Arial" w:eastAsia="Arial" w:hAnsi="Arial"/>
                <w:sz w:val="16"/>
                <w:szCs w:val="16"/>
                <w:color w:val="auto"/>
              </w:rPr>
              <w:t>—</w:t>
            </w:r>
          </w:p>
        </w:tc>
        <w:tc>
          <w:tcPr>
            <w:tcW w:w="2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300" w:type="dxa"/>
            <w:vAlign w:val="bottom"/>
          </w:tcPr>
          <w:p>
            <w:pPr>
              <w:ind w:left="1020"/>
              <w:spacing w:after="0"/>
              <w:rPr>
                <w:sz w:val="20"/>
                <w:szCs w:val="20"/>
                <w:color w:val="auto"/>
              </w:rPr>
            </w:pPr>
            <w:r>
              <w:rPr>
                <w:rFonts w:ascii="Arial" w:cs="Arial" w:eastAsia="Arial" w:hAnsi="Arial"/>
                <w:sz w:val="16"/>
                <w:szCs w:val="16"/>
                <w:color w:val="auto"/>
              </w:rPr>
              <w:t>—</w:t>
            </w:r>
          </w:p>
        </w:tc>
      </w:tr>
      <w:tr>
        <w:trPr>
          <w:trHeight w:val="271"/>
        </w:trPr>
        <w:tc>
          <w:tcPr>
            <w:tcW w:w="4860" w:type="dxa"/>
            <w:vAlign w:val="bottom"/>
            <w:shd w:val="clear" w:color="auto" w:fill="CCEEFF"/>
          </w:tcPr>
          <w:p>
            <w:pPr>
              <w:ind w:left="40"/>
              <w:spacing w:after="0"/>
              <w:rPr>
                <w:sz w:val="20"/>
                <w:szCs w:val="20"/>
                <w:color w:val="auto"/>
              </w:rPr>
            </w:pPr>
            <w:r>
              <w:rPr>
                <w:rFonts w:ascii="Arial" w:cs="Arial" w:eastAsia="Arial" w:hAnsi="Arial"/>
                <w:sz w:val="16"/>
                <w:szCs w:val="16"/>
                <w:color w:val="auto"/>
              </w:rPr>
              <w:t>September 1 - September 30</w:t>
            </w:r>
          </w:p>
        </w:tc>
        <w:tc>
          <w:tcPr>
            <w:tcW w:w="146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42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880" w:type="dxa"/>
            <w:vAlign w:val="bottom"/>
            <w:tcBorders>
              <w:bottom w:val="single" w:sz="8" w:color="auto"/>
            </w:tcBorders>
            <w:shd w:val="clear" w:color="auto" w:fill="CCEEFF"/>
          </w:tcPr>
          <w:p>
            <w:pPr>
              <w:ind w:left="1580"/>
              <w:spacing w:after="0"/>
              <w:rPr>
                <w:sz w:val="20"/>
                <w:szCs w:val="20"/>
                <w:color w:val="auto"/>
              </w:rPr>
            </w:pPr>
            <w:r>
              <w:rPr>
                <w:rFonts w:ascii="Arial" w:cs="Arial" w:eastAsia="Arial" w:hAnsi="Arial"/>
                <w:sz w:val="16"/>
                <w:szCs w:val="16"/>
                <w:color w:val="auto"/>
              </w:rPr>
              <w:t>—</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00" w:type="dxa"/>
            <w:vAlign w:val="bottom"/>
            <w:shd w:val="clear" w:color="auto" w:fill="CCEEFF"/>
          </w:tcPr>
          <w:p>
            <w:pPr>
              <w:ind w:left="1020"/>
              <w:spacing w:after="0"/>
              <w:rPr>
                <w:sz w:val="20"/>
                <w:szCs w:val="20"/>
                <w:color w:val="auto"/>
              </w:rPr>
            </w:pPr>
            <w:r>
              <w:rPr>
                <w:rFonts w:ascii="Arial" w:cs="Arial" w:eastAsia="Arial" w:hAnsi="Arial"/>
                <w:sz w:val="16"/>
                <w:szCs w:val="16"/>
                <w:color w:val="auto"/>
              </w:rPr>
              <w:t>—</w:t>
            </w:r>
          </w:p>
        </w:tc>
      </w:tr>
      <w:tr>
        <w:trPr>
          <w:trHeight w:val="242"/>
        </w:trPr>
        <w:tc>
          <w:tcPr>
            <w:tcW w:w="4860" w:type="dxa"/>
            <w:vAlign w:val="bottom"/>
          </w:tcPr>
          <w:p>
            <w:pPr>
              <w:ind w:left="180"/>
              <w:spacing w:after="0"/>
              <w:rPr>
                <w:sz w:val="20"/>
                <w:szCs w:val="20"/>
                <w:color w:val="auto"/>
              </w:rPr>
            </w:pPr>
            <w:r>
              <w:rPr>
                <w:rFonts w:ascii="Arial" w:cs="Arial" w:eastAsia="Arial" w:hAnsi="Arial"/>
                <w:sz w:val="16"/>
                <w:szCs w:val="16"/>
                <w:color w:val="auto"/>
              </w:rPr>
              <w:t>Total</w:t>
            </w:r>
          </w:p>
        </w:tc>
        <w:tc>
          <w:tcPr>
            <w:tcW w:w="14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950</w:t>
            </w:r>
          </w:p>
        </w:tc>
        <w:tc>
          <w:tcPr>
            <w:tcW w:w="24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1320" w:type="dxa"/>
            <w:vAlign w:val="bottom"/>
          </w:tcPr>
          <w:p>
            <w:pPr>
              <w:jc w:val="right"/>
              <w:ind w:right="19"/>
              <w:spacing w:after="0"/>
              <w:rPr>
                <w:sz w:val="20"/>
                <w:szCs w:val="20"/>
                <w:color w:val="auto"/>
              </w:rPr>
            </w:pPr>
            <w:r>
              <w:rPr>
                <w:rFonts w:ascii="Arial" w:cs="Arial" w:eastAsia="Arial" w:hAnsi="Arial"/>
                <w:sz w:val="16"/>
                <w:szCs w:val="16"/>
                <w:color w:val="auto"/>
              </w:rPr>
              <w:t>65.54</w:t>
            </w:r>
          </w:p>
        </w:tc>
        <w:tc>
          <w:tcPr>
            <w:tcW w:w="100" w:type="dxa"/>
            <w:vAlign w:val="bottom"/>
          </w:tcPr>
          <w:p>
            <w:pPr>
              <w:spacing w:after="0"/>
              <w:rPr>
                <w:sz w:val="21"/>
                <w:szCs w:val="21"/>
                <w:color w:val="auto"/>
              </w:rPr>
            </w:pPr>
          </w:p>
        </w:tc>
        <w:tc>
          <w:tcPr>
            <w:tcW w:w="1880" w:type="dxa"/>
            <w:vAlign w:val="bottom"/>
            <w:tcBorders>
              <w:bottom w:val="single" w:sz="8" w:color="auto"/>
            </w:tcBorders>
          </w:tcPr>
          <w:p>
            <w:pPr>
              <w:ind w:left="158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tcPr>
          <w:p>
            <w:pPr>
              <w:spacing w:after="0"/>
              <w:rPr>
                <w:sz w:val="21"/>
                <w:szCs w:val="21"/>
                <w:color w:val="auto"/>
              </w:rPr>
            </w:pPr>
          </w:p>
        </w:tc>
      </w:tr>
      <w:tr>
        <w:trPr>
          <w:trHeight w:val="20"/>
        </w:trPr>
        <w:tc>
          <w:tcPr>
            <w:tcW w:w="486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bl>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w:t>
      </w:r>
    </w:p>
    <w:p>
      <w:pPr>
        <w:spacing w:after="0" w:line="230" w:lineRule="exact"/>
        <w:rPr>
          <w:sz w:val="20"/>
          <w:szCs w:val="20"/>
          <w:color w:val="auto"/>
        </w:rPr>
      </w:pPr>
    </w:p>
    <w:p>
      <w:pPr>
        <w:ind w:left="500" w:hanging="492"/>
        <w:spacing w:after="0" w:line="291" w:lineRule="auto"/>
        <w:tabs>
          <w:tab w:leader="none" w:pos="500" w:val="left"/>
        </w:tabs>
        <w:numPr>
          <w:ilvl w:val="0"/>
          <w:numId w:val="21"/>
        </w:numPr>
        <w:rPr>
          <w:rFonts w:ascii="Arial" w:cs="Arial" w:eastAsia="Arial" w:hAnsi="Arial"/>
          <w:sz w:val="16"/>
          <w:szCs w:val="16"/>
          <w:color w:val="auto"/>
        </w:rPr>
      </w:pPr>
      <w:r>
        <w:rPr>
          <w:rFonts w:ascii="Arial" w:cs="Arial" w:eastAsia="Arial" w:hAnsi="Arial"/>
          <w:sz w:val="16"/>
          <w:szCs w:val="16"/>
          <w:color w:val="auto"/>
        </w:rPr>
        <w:t>During the three months ended September 30, 2017, we withheld 950 shares of common stock under our 2011 Equity Incentive Plan to settle employee income tax obligations.</w:t>
      </w:r>
    </w:p>
    <w:p>
      <w:pPr>
        <w:spacing w:after="0" w:line="27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Molina Healthcare, Inc. 2017 Form 10-Q | 65</w:t>
      </w:r>
    </w:p>
    <w:p>
      <w:pPr>
        <w:sectPr>
          <w:pgSz w:w="11900" w:h="16838" w:orient="portrait"/>
          <w:cols w:equalWidth="0" w:num="1">
            <w:col w:w="11420"/>
          </w:cols>
          <w:pgMar w:left="240" w:top="116" w:right="239" w:bottom="1440" w:gutter="0" w:footer="0" w:header="0"/>
        </w:sectPr>
      </w:pPr>
    </w:p>
    <w:bookmarkStart w:id="65" w:name="page66"/>
    <w:bookmarkEnd w:id="6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46" w:lineRule="exact"/>
        <w:rPr>
          <w:sz w:val="20"/>
          <w:szCs w:val="20"/>
          <w:color w:val="auto"/>
        </w:rPr>
      </w:pPr>
    </w:p>
    <w:p>
      <w:pPr>
        <w:spacing w:after="0"/>
        <w:rPr>
          <w:sz w:val="20"/>
          <w:szCs w:val="20"/>
          <w:color w:val="auto"/>
        </w:rPr>
      </w:pPr>
      <w:r>
        <w:rPr>
          <w:rFonts w:ascii="Arial" w:cs="Arial" w:eastAsia="Arial" w:hAnsi="Arial"/>
          <w:sz w:val="36"/>
          <w:szCs w:val="36"/>
          <w:b w:val="1"/>
          <w:bCs w:val="1"/>
          <w:color w:val="0F7C7F"/>
        </w:rPr>
        <w:t>INDEX TO EXHIBITS</w:t>
      </w:r>
    </w:p>
    <w:p>
      <w:pPr>
        <w:spacing w:after="0" w:line="200" w:lineRule="exact"/>
        <w:rPr>
          <w:sz w:val="20"/>
          <w:szCs w:val="20"/>
          <w:color w:val="auto"/>
        </w:rPr>
      </w:pP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1260" w:type="dxa"/>
            <w:vAlign w:val="bottom"/>
            <w:gridSpan w:val="4"/>
          </w:tcPr>
          <w:p>
            <w:pPr>
              <w:ind w:left="40"/>
              <w:spacing w:after="0"/>
              <w:rPr>
                <w:sz w:val="20"/>
                <w:szCs w:val="20"/>
                <w:color w:val="auto"/>
              </w:rPr>
            </w:pPr>
            <w:r>
              <w:rPr>
                <w:rFonts w:ascii="Arial" w:cs="Arial" w:eastAsia="Arial" w:hAnsi="Arial"/>
                <w:sz w:val="14"/>
                <w:szCs w:val="14"/>
                <w:color w:val="auto"/>
              </w:rPr>
              <w:t>Exhibit No.</w:t>
            </w:r>
          </w:p>
        </w:tc>
        <w:tc>
          <w:tcPr>
            <w:tcW w:w="10160" w:type="dxa"/>
            <w:vAlign w:val="bottom"/>
          </w:tcPr>
          <w:p>
            <w:pPr>
              <w:ind w:left="40"/>
              <w:spacing w:after="0"/>
              <w:rPr>
                <w:sz w:val="20"/>
                <w:szCs w:val="20"/>
                <w:color w:val="auto"/>
              </w:rPr>
            </w:pPr>
            <w:r>
              <w:rPr>
                <w:rFonts w:ascii="Arial" w:cs="Arial" w:eastAsia="Arial" w:hAnsi="Arial"/>
                <w:sz w:val="14"/>
                <w:szCs w:val="14"/>
                <w:color w:val="auto"/>
              </w:rPr>
              <w:t>Title</w:t>
            </w:r>
          </w:p>
        </w:tc>
      </w:tr>
      <w:tr>
        <w:trPr>
          <w:trHeight w:val="376"/>
        </w:trPr>
        <w:tc>
          <w:tcPr>
            <w:tcW w:w="1160" w:type="dxa"/>
            <w:vAlign w:val="bottom"/>
            <w:tcBorders>
              <w:top w:val="single" w:sz="8" w:color="auto"/>
            </w:tcBorders>
            <w:gridSpan w:val="3"/>
          </w:tcPr>
          <w:p>
            <w:pPr>
              <w:ind w:left="40"/>
              <w:spacing w:after="0"/>
              <w:rPr>
                <w:rFonts w:ascii="Arial" w:cs="Arial" w:eastAsia="Arial" w:hAnsi="Arial"/>
                <w:sz w:val="16"/>
                <w:szCs w:val="16"/>
                <w:color w:val="0000FF"/>
              </w:rPr>
            </w:pPr>
            <w:hyperlink r:id="rId36">
              <w:r>
                <w:rPr>
                  <w:rFonts w:ascii="Arial" w:cs="Arial" w:eastAsia="Arial" w:hAnsi="Arial"/>
                  <w:sz w:val="16"/>
                  <w:szCs w:val="16"/>
                  <w:color w:val="0000FF"/>
                </w:rPr>
                <w:t>10.</w:t>
              </w:r>
              <w:r>
                <w:rPr>
                  <w:rFonts w:ascii="Arial" w:cs="Arial" w:eastAsia="Arial" w:hAnsi="Arial"/>
                  <w:sz w:val="16"/>
                  <w:szCs w:val="16"/>
                  <w:u w:val="single" w:color="auto"/>
                  <w:color w:val="0000FF"/>
                </w:rPr>
                <w:t>1</w:t>
              </w:r>
            </w:hyperlink>
          </w:p>
        </w:tc>
        <w:tc>
          <w:tcPr>
            <w:tcW w:w="100" w:type="dxa"/>
            <w:vAlign w:val="bottom"/>
          </w:tcPr>
          <w:p>
            <w:pPr>
              <w:spacing w:after="0"/>
              <w:rPr>
                <w:sz w:val="24"/>
                <w:szCs w:val="24"/>
                <w:color w:val="auto"/>
              </w:rPr>
            </w:pPr>
          </w:p>
        </w:tc>
        <w:tc>
          <w:tcPr>
            <w:tcW w:w="10160" w:type="dxa"/>
            <w:vAlign w:val="bottom"/>
            <w:tcBorders>
              <w:top w:val="single" w:sz="8" w:color="auto"/>
            </w:tcBorders>
          </w:tcPr>
          <w:p>
            <w:pPr>
              <w:ind w:left="40"/>
              <w:spacing w:after="0"/>
              <w:rPr>
                <w:sz w:val="20"/>
                <w:szCs w:val="20"/>
                <w:color w:val="auto"/>
              </w:rPr>
            </w:pPr>
            <w:r>
              <w:rPr>
                <w:rFonts w:ascii="Arial" w:cs="Arial" w:eastAsia="Arial" w:hAnsi="Arial"/>
                <w:sz w:val="16"/>
                <w:szCs w:val="16"/>
                <w:color w:val="auto"/>
              </w:rPr>
              <w:t>Employment Agreement, dated October 9, 2017, by and between Molina Healthcare, Inc. and Joseph M. Zubretsky. Filed as Exhibit 10.1 to</w:t>
            </w:r>
          </w:p>
        </w:tc>
      </w:tr>
      <w:tr>
        <w:trPr>
          <w:trHeight w:val="208"/>
        </w:trPr>
        <w:tc>
          <w:tcPr>
            <w:tcW w:w="40" w:type="dxa"/>
            <w:vAlign w:val="bottom"/>
          </w:tcPr>
          <w:p>
            <w:pPr>
              <w:spacing w:after="0"/>
              <w:rPr>
                <w:sz w:val="18"/>
                <w:szCs w:val="18"/>
                <w:color w:val="auto"/>
              </w:rPr>
            </w:pPr>
          </w:p>
        </w:tc>
        <w:tc>
          <w:tcPr>
            <w:tcW w:w="320" w:type="dxa"/>
            <w:vAlign w:val="bottom"/>
            <w:tcBorders>
              <w:top w:val="single" w:sz="8" w:color="0000FF"/>
            </w:tcBorders>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160" w:type="dxa"/>
            <w:vAlign w:val="bottom"/>
          </w:tcPr>
          <w:p>
            <w:pPr>
              <w:ind w:left="40"/>
              <w:spacing w:after="0"/>
              <w:rPr>
                <w:sz w:val="20"/>
                <w:szCs w:val="20"/>
                <w:color w:val="auto"/>
              </w:rPr>
            </w:pPr>
            <w:r>
              <w:rPr>
                <w:rFonts w:ascii="Arial" w:cs="Arial" w:eastAsia="Arial" w:hAnsi="Arial"/>
                <w:sz w:val="16"/>
                <w:szCs w:val="16"/>
                <w:color w:val="auto"/>
              </w:rPr>
              <w:t>registrant’s Form 8-K filed October 10, 2017.</w:t>
            </w:r>
          </w:p>
        </w:tc>
      </w:tr>
      <w:tr>
        <w:trPr>
          <w:trHeight w:val="326"/>
        </w:trPr>
        <w:tc>
          <w:tcPr>
            <w:tcW w:w="1160" w:type="dxa"/>
            <w:vAlign w:val="bottom"/>
            <w:gridSpan w:val="3"/>
          </w:tcPr>
          <w:p>
            <w:pPr>
              <w:ind w:left="40"/>
              <w:spacing w:after="0"/>
              <w:rPr>
                <w:rFonts w:ascii="Arial" w:cs="Arial" w:eastAsia="Arial" w:hAnsi="Arial"/>
                <w:sz w:val="16"/>
                <w:szCs w:val="16"/>
                <w:color w:val="0000FF"/>
              </w:rPr>
            </w:pPr>
            <w:hyperlink w:anchor="page68">
              <w:r>
                <w:rPr>
                  <w:rFonts w:ascii="Arial" w:cs="Arial" w:eastAsia="Arial" w:hAnsi="Arial"/>
                  <w:sz w:val="16"/>
                  <w:szCs w:val="16"/>
                  <w:color w:val="0000FF"/>
                </w:rPr>
                <w:t>31.</w:t>
              </w:r>
              <w:r>
                <w:rPr>
                  <w:rFonts w:ascii="Arial" w:cs="Arial" w:eastAsia="Arial" w:hAnsi="Arial"/>
                  <w:sz w:val="16"/>
                  <w:szCs w:val="16"/>
                  <w:u w:val="single" w:color="auto"/>
                  <w:color w:val="0000FF"/>
                </w:rPr>
                <w:t>1</w:t>
              </w:r>
            </w:hyperlink>
          </w:p>
        </w:tc>
        <w:tc>
          <w:tcPr>
            <w:tcW w:w="100" w:type="dxa"/>
            <w:vAlign w:val="bottom"/>
          </w:tcPr>
          <w:p>
            <w:pPr>
              <w:spacing w:after="0"/>
              <w:rPr>
                <w:sz w:val="24"/>
                <w:szCs w:val="24"/>
                <w:color w:val="auto"/>
              </w:rPr>
            </w:pPr>
          </w:p>
        </w:tc>
        <w:tc>
          <w:tcPr>
            <w:tcW w:w="10160" w:type="dxa"/>
            <w:vAlign w:val="bottom"/>
          </w:tcPr>
          <w:p>
            <w:pPr>
              <w:ind w:left="40"/>
              <w:spacing w:after="0"/>
              <w:rPr>
                <w:rFonts w:ascii="Arial" w:cs="Arial" w:eastAsia="Arial" w:hAnsi="Arial"/>
                <w:sz w:val="16"/>
                <w:szCs w:val="16"/>
                <w:color w:val="auto"/>
              </w:rPr>
            </w:pPr>
            <w:hyperlink w:anchor="page68">
              <w:r>
                <w:rPr>
                  <w:rFonts w:ascii="Arial" w:cs="Arial" w:eastAsia="Arial" w:hAnsi="Arial"/>
                  <w:sz w:val="16"/>
                  <w:szCs w:val="16"/>
                  <w:color w:val="auto"/>
                </w:rPr>
                <w:t>Certification of Interim Chief Executive Officer and Chief Financial Officer pursuant to Rules 13a-14(a)/15d-14(a) under the Securities</w:t>
              </w:r>
            </w:hyperlink>
          </w:p>
        </w:tc>
      </w:tr>
      <w:tr>
        <w:trPr>
          <w:trHeight w:val="208"/>
        </w:trPr>
        <w:tc>
          <w:tcPr>
            <w:tcW w:w="40" w:type="dxa"/>
            <w:vAlign w:val="bottom"/>
          </w:tcPr>
          <w:p>
            <w:pPr>
              <w:spacing w:after="0"/>
              <w:rPr>
                <w:sz w:val="18"/>
                <w:szCs w:val="18"/>
                <w:color w:val="auto"/>
              </w:rPr>
            </w:pPr>
          </w:p>
        </w:tc>
        <w:tc>
          <w:tcPr>
            <w:tcW w:w="320" w:type="dxa"/>
            <w:vAlign w:val="bottom"/>
            <w:tcBorders>
              <w:top w:val="single" w:sz="8" w:color="0000FF"/>
            </w:tcBorders>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160" w:type="dxa"/>
            <w:vAlign w:val="bottom"/>
          </w:tcPr>
          <w:p>
            <w:pPr>
              <w:ind w:left="40"/>
              <w:spacing w:after="0"/>
              <w:rPr>
                <w:rFonts w:ascii="Arial" w:cs="Arial" w:eastAsia="Arial" w:hAnsi="Arial"/>
                <w:sz w:val="16"/>
                <w:szCs w:val="16"/>
                <w:color w:val="auto"/>
              </w:rPr>
            </w:pPr>
            <w:hyperlink w:anchor="page68">
              <w:r>
                <w:rPr>
                  <w:rFonts w:ascii="Arial" w:cs="Arial" w:eastAsia="Arial" w:hAnsi="Arial"/>
                  <w:sz w:val="16"/>
                  <w:szCs w:val="16"/>
                  <w:color w:val="auto"/>
                </w:rPr>
                <w:t>Exchange Act of 1934, as amended.</w:t>
              </w:r>
            </w:hyperlink>
          </w:p>
        </w:tc>
      </w:tr>
      <w:tr>
        <w:trPr>
          <w:trHeight w:val="326"/>
        </w:trPr>
        <w:tc>
          <w:tcPr>
            <w:tcW w:w="1160" w:type="dxa"/>
            <w:vAlign w:val="bottom"/>
            <w:gridSpan w:val="3"/>
          </w:tcPr>
          <w:p>
            <w:pPr>
              <w:ind w:left="40"/>
              <w:spacing w:after="0"/>
              <w:rPr>
                <w:rFonts w:ascii="Arial" w:cs="Arial" w:eastAsia="Arial" w:hAnsi="Arial"/>
                <w:sz w:val="16"/>
                <w:szCs w:val="16"/>
                <w:color w:val="0000FF"/>
              </w:rPr>
            </w:pPr>
            <w:hyperlink w:anchor="page69">
              <w:r>
                <w:rPr>
                  <w:rFonts w:ascii="Arial" w:cs="Arial" w:eastAsia="Arial" w:hAnsi="Arial"/>
                  <w:sz w:val="16"/>
                  <w:szCs w:val="16"/>
                  <w:color w:val="0000FF"/>
                </w:rPr>
                <w:t>32.</w:t>
              </w:r>
              <w:r>
                <w:rPr>
                  <w:rFonts w:ascii="Arial" w:cs="Arial" w:eastAsia="Arial" w:hAnsi="Arial"/>
                  <w:sz w:val="16"/>
                  <w:szCs w:val="16"/>
                  <w:u w:val="single" w:color="auto"/>
                  <w:color w:val="0000FF"/>
                </w:rPr>
                <w:t>1</w:t>
              </w:r>
            </w:hyperlink>
          </w:p>
        </w:tc>
        <w:tc>
          <w:tcPr>
            <w:tcW w:w="100" w:type="dxa"/>
            <w:vAlign w:val="bottom"/>
          </w:tcPr>
          <w:p>
            <w:pPr>
              <w:spacing w:after="0"/>
              <w:rPr>
                <w:sz w:val="24"/>
                <w:szCs w:val="24"/>
                <w:color w:val="auto"/>
              </w:rPr>
            </w:pPr>
          </w:p>
        </w:tc>
        <w:tc>
          <w:tcPr>
            <w:tcW w:w="10160" w:type="dxa"/>
            <w:vAlign w:val="bottom"/>
          </w:tcPr>
          <w:p>
            <w:pPr>
              <w:ind w:left="40"/>
              <w:spacing w:after="0"/>
              <w:rPr>
                <w:rFonts w:ascii="Arial" w:cs="Arial" w:eastAsia="Arial" w:hAnsi="Arial"/>
                <w:sz w:val="16"/>
                <w:szCs w:val="16"/>
                <w:color w:val="auto"/>
              </w:rPr>
            </w:pPr>
            <w:hyperlink w:anchor="page69">
              <w:r>
                <w:rPr>
                  <w:rFonts w:ascii="Arial" w:cs="Arial" w:eastAsia="Arial" w:hAnsi="Arial"/>
                  <w:sz w:val="16"/>
                  <w:szCs w:val="16"/>
                  <w:color w:val="auto"/>
                </w:rPr>
                <w:t>Certification of Interim Chief Executive Officer and Chief Financial Officer pursuant to 18 U.S.C. Section 1350, as adopted pursuant to</w:t>
              </w:r>
            </w:hyperlink>
          </w:p>
        </w:tc>
      </w:tr>
      <w:tr>
        <w:trPr>
          <w:trHeight w:val="208"/>
        </w:trPr>
        <w:tc>
          <w:tcPr>
            <w:tcW w:w="40" w:type="dxa"/>
            <w:vAlign w:val="bottom"/>
          </w:tcPr>
          <w:p>
            <w:pPr>
              <w:spacing w:after="0"/>
              <w:rPr>
                <w:sz w:val="18"/>
                <w:szCs w:val="18"/>
                <w:color w:val="auto"/>
              </w:rPr>
            </w:pPr>
          </w:p>
        </w:tc>
        <w:tc>
          <w:tcPr>
            <w:tcW w:w="320" w:type="dxa"/>
            <w:vAlign w:val="bottom"/>
            <w:tcBorders>
              <w:top w:val="single" w:sz="8" w:color="0000FF"/>
            </w:tcBorders>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160" w:type="dxa"/>
            <w:vAlign w:val="bottom"/>
          </w:tcPr>
          <w:p>
            <w:pPr>
              <w:ind w:left="40"/>
              <w:spacing w:after="0"/>
              <w:rPr>
                <w:rFonts w:ascii="Arial" w:cs="Arial" w:eastAsia="Arial" w:hAnsi="Arial"/>
                <w:sz w:val="16"/>
                <w:szCs w:val="16"/>
                <w:color w:val="auto"/>
              </w:rPr>
            </w:pPr>
            <w:hyperlink w:anchor="page69">
              <w:r>
                <w:rPr>
                  <w:rFonts w:ascii="Arial" w:cs="Arial" w:eastAsia="Arial" w:hAnsi="Arial"/>
                  <w:sz w:val="16"/>
                  <w:szCs w:val="16"/>
                  <w:color w:val="auto"/>
                </w:rPr>
                <w:t>Section 906 of the Sarbanes-Oxley Act of 2002.</w:t>
              </w:r>
            </w:hyperlink>
          </w:p>
        </w:tc>
      </w:tr>
      <w:tr>
        <w:trPr>
          <w:trHeight w:val="365"/>
        </w:trPr>
        <w:tc>
          <w:tcPr>
            <w:tcW w:w="1260" w:type="dxa"/>
            <w:vAlign w:val="bottom"/>
            <w:gridSpan w:val="4"/>
          </w:tcPr>
          <w:p>
            <w:pPr>
              <w:ind w:left="40"/>
              <w:spacing w:after="0"/>
              <w:rPr>
                <w:sz w:val="20"/>
                <w:szCs w:val="20"/>
                <w:color w:val="auto"/>
              </w:rPr>
            </w:pPr>
            <w:r>
              <w:rPr>
                <w:rFonts w:ascii="Arial" w:cs="Arial" w:eastAsia="Arial" w:hAnsi="Arial"/>
                <w:sz w:val="16"/>
                <w:szCs w:val="16"/>
                <w:color w:val="auto"/>
              </w:rPr>
              <w:t>101.INS</w:t>
            </w:r>
          </w:p>
        </w:tc>
        <w:tc>
          <w:tcPr>
            <w:tcW w:w="10160" w:type="dxa"/>
            <w:vAlign w:val="bottom"/>
          </w:tcPr>
          <w:p>
            <w:pPr>
              <w:ind w:left="40"/>
              <w:spacing w:after="0"/>
              <w:rPr>
                <w:sz w:val="20"/>
                <w:szCs w:val="20"/>
                <w:color w:val="auto"/>
              </w:rPr>
            </w:pPr>
            <w:r>
              <w:rPr>
                <w:rFonts w:ascii="Arial" w:cs="Arial" w:eastAsia="Arial" w:hAnsi="Arial"/>
                <w:sz w:val="16"/>
                <w:szCs w:val="16"/>
                <w:color w:val="auto"/>
              </w:rPr>
              <w:t>XBRL Taxonomy Instance Document.</w:t>
            </w:r>
          </w:p>
        </w:tc>
      </w:tr>
      <w:tr>
        <w:trPr>
          <w:trHeight w:val="392"/>
        </w:trPr>
        <w:tc>
          <w:tcPr>
            <w:tcW w:w="1260" w:type="dxa"/>
            <w:vAlign w:val="bottom"/>
            <w:gridSpan w:val="4"/>
          </w:tcPr>
          <w:p>
            <w:pPr>
              <w:ind w:left="40"/>
              <w:spacing w:after="0"/>
              <w:rPr>
                <w:sz w:val="20"/>
                <w:szCs w:val="20"/>
                <w:color w:val="auto"/>
              </w:rPr>
            </w:pPr>
            <w:r>
              <w:rPr>
                <w:rFonts w:ascii="Arial" w:cs="Arial" w:eastAsia="Arial" w:hAnsi="Arial"/>
                <w:sz w:val="16"/>
                <w:szCs w:val="16"/>
                <w:color w:val="auto"/>
              </w:rPr>
              <w:t>101.SCH</w:t>
            </w:r>
          </w:p>
        </w:tc>
        <w:tc>
          <w:tcPr>
            <w:tcW w:w="10160" w:type="dxa"/>
            <w:vAlign w:val="bottom"/>
          </w:tcPr>
          <w:p>
            <w:pPr>
              <w:ind w:left="40"/>
              <w:spacing w:after="0"/>
              <w:rPr>
                <w:sz w:val="20"/>
                <w:szCs w:val="20"/>
                <w:color w:val="auto"/>
              </w:rPr>
            </w:pPr>
            <w:r>
              <w:rPr>
                <w:rFonts w:ascii="Arial" w:cs="Arial" w:eastAsia="Arial" w:hAnsi="Arial"/>
                <w:sz w:val="16"/>
                <w:szCs w:val="16"/>
                <w:color w:val="auto"/>
              </w:rPr>
              <w:t>XBRL Taxonomy Extension Schema Document.</w:t>
            </w:r>
          </w:p>
        </w:tc>
      </w:tr>
      <w:tr>
        <w:trPr>
          <w:trHeight w:val="392"/>
        </w:trPr>
        <w:tc>
          <w:tcPr>
            <w:tcW w:w="1260" w:type="dxa"/>
            <w:vAlign w:val="bottom"/>
            <w:gridSpan w:val="4"/>
          </w:tcPr>
          <w:p>
            <w:pPr>
              <w:ind w:left="40"/>
              <w:spacing w:after="0"/>
              <w:rPr>
                <w:sz w:val="20"/>
                <w:szCs w:val="20"/>
                <w:color w:val="auto"/>
              </w:rPr>
            </w:pPr>
            <w:r>
              <w:rPr>
                <w:rFonts w:ascii="Arial" w:cs="Arial" w:eastAsia="Arial" w:hAnsi="Arial"/>
                <w:sz w:val="16"/>
                <w:szCs w:val="16"/>
                <w:color w:val="auto"/>
              </w:rPr>
              <w:t>101.CAL</w:t>
            </w:r>
          </w:p>
        </w:tc>
        <w:tc>
          <w:tcPr>
            <w:tcW w:w="10160" w:type="dxa"/>
            <w:vAlign w:val="bottom"/>
          </w:tcPr>
          <w:p>
            <w:pPr>
              <w:ind w:left="40"/>
              <w:spacing w:after="0"/>
              <w:rPr>
                <w:sz w:val="20"/>
                <w:szCs w:val="20"/>
                <w:color w:val="auto"/>
              </w:rPr>
            </w:pPr>
            <w:r>
              <w:rPr>
                <w:rFonts w:ascii="Arial" w:cs="Arial" w:eastAsia="Arial" w:hAnsi="Arial"/>
                <w:sz w:val="16"/>
                <w:szCs w:val="16"/>
                <w:color w:val="auto"/>
              </w:rPr>
              <w:t>XBRL Taxonomy Extension Calculation Linkbase Document.</w:t>
            </w:r>
          </w:p>
        </w:tc>
      </w:tr>
      <w:tr>
        <w:trPr>
          <w:trHeight w:val="392"/>
        </w:trPr>
        <w:tc>
          <w:tcPr>
            <w:tcW w:w="1260" w:type="dxa"/>
            <w:vAlign w:val="bottom"/>
            <w:gridSpan w:val="4"/>
          </w:tcPr>
          <w:p>
            <w:pPr>
              <w:ind w:left="40"/>
              <w:spacing w:after="0"/>
              <w:rPr>
                <w:sz w:val="20"/>
                <w:szCs w:val="20"/>
                <w:color w:val="auto"/>
              </w:rPr>
            </w:pPr>
            <w:r>
              <w:rPr>
                <w:rFonts w:ascii="Arial" w:cs="Arial" w:eastAsia="Arial" w:hAnsi="Arial"/>
                <w:sz w:val="16"/>
                <w:szCs w:val="16"/>
                <w:color w:val="auto"/>
              </w:rPr>
              <w:t>101.DEF</w:t>
            </w:r>
          </w:p>
        </w:tc>
        <w:tc>
          <w:tcPr>
            <w:tcW w:w="10160" w:type="dxa"/>
            <w:vAlign w:val="bottom"/>
          </w:tcPr>
          <w:p>
            <w:pPr>
              <w:ind w:left="40"/>
              <w:spacing w:after="0"/>
              <w:rPr>
                <w:sz w:val="20"/>
                <w:szCs w:val="20"/>
                <w:color w:val="auto"/>
              </w:rPr>
            </w:pPr>
            <w:r>
              <w:rPr>
                <w:rFonts w:ascii="Arial" w:cs="Arial" w:eastAsia="Arial" w:hAnsi="Arial"/>
                <w:sz w:val="16"/>
                <w:szCs w:val="16"/>
                <w:color w:val="auto"/>
              </w:rPr>
              <w:t>XBRL Taxonomy Extension Definition Linkbase Document.</w:t>
            </w:r>
          </w:p>
        </w:tc>
      </w:tr>
      <w:tr>
        <w:trPr>
          <w:trHeight w:val="392"/>
        </w:trPr>
        <w:tc>
          <w:tcPr>
            <w:tcW w:w="1260" w:type="dxa"/>
            <w:vAlign w:val="bottom"/>
            <w:gridSpan w:val="4"/>
          </w:tcPr>
          <w:p>
            <w:pPr>
              <w:ind w:left="40"/>
              <w:spacing w:after="0"/>
              <w:rPr>
                <w:sz w:val="20"/>
                <w:szCs w:val="20"/>
                <w:color w:val="auto"/>
              </w:rPr>
            </w:pPr>
            <w:r>
              <w:rPr>
                <w:rFonts w:ascii="Arial" w:cs="Arial" w:eastAsia="Arial" w:hAnsi="Arial"/>
                <w:sz w:val="16"/>
                <w:szCs w:val="16"/>
                <w:color w:val="auto"/>
              </w:rPr>
              <w:t>101.LAB</w:t>
            </w:r>
          </w:p>
        </w:tc>
        <w:tc>
          <w:tcPr>
            <w:tcW w:w="10160" w:type="dxa"/>
            <w:vAlign w:val="bottom"/>
          </w:tcPr>
          <w:p>
            <w:pPr>
              <w:ind w:left="40"/>
              <w:spacing w:after="0"/>
              <w:rPr>
                <w:sz w:val="20"/>
                <w:szCs w:val="20"/>
                <w:color w:val="auto"/>
              </w:rPr>
            </w:pPr>
            <w:r>
              <w:rPr>
                <w:rFonts w:ascii="Arial" w:cs="Arial" w:eastAsia="Arial" w:hAnsi="Arial"/>
                <w:sz w:val="16"/>
                <w:szCs w:val="16"/>
                <w:color w:val="auto"/>
              </w:rPr>
              <w:t>XBRL Taxonomy Extension Label Linkbase Document.</w:t>
            </w:r>
          </w:p>
        </w:tc>
      </w:tr>
      <w:tr>
        <w:trPr>
          <w:trHeight w:val="392"/>
        </w:trPr>
        <w:tc>
          <w:tcPr>
            <w:tcW w:w="1260" w:type="dxa"/>
            <w:vAlign w:val="bottom"/>
            <w:gridSpan w:val="4"/>
          </w:tcPr>
          <w:p>
            <w:pPr>
              <w:ind w:left="40"/>
              <w:spacing w:after="0"/>
              <w:rPr>
                <w:sz w:val="20"/>
                <w:szCs w:val="20"/>
                <w:color w:val="auto"/>
              </w:rPr>
            </w:pPr>
            <w:r>
              <w:rPr>
                <w:rFonts w:ascii="Arial" w:cs="Arial" w:eastAsia="Arial" w:hAnsi="Arial"/>
                <w:sz w:val="16"/>
                <w:szCs w:val="16"/>
                <w:color w:val="auto"/>
              </w:rPr>
              <w:t>101.PRE</w:t>
            </w:r>
          </w:p>
        </w:tc>
        <w:tc>
          <w:tcPr>
            <w:tcW w:w="10160" w:type="dxa"/>
            <w:vAlign w:val="bottom"/>
          </w:tcPr>
          <w:p>
            <w:pPr>
              <w:ind w:left="40"/>
              <w:spacing w:after="0"/>
              <w:rPr>
                <w:sz w:val="20"/>
                <w:szCs w:val="20"/>
                <w:color w:val="auto"/>
              </w:rPr>
            </w:pPr>
            <w:r>
              <w:rPr>
                <w:rFonts w:ascii="Arial" w:cs="Arial" w:eastAsia="Arial" w:hAnsi="Arial"/>
                <w:sz w:val="16"/>
                <w:szCs w:val="16"/>
                <w:color w:val="auto"/>
              </w:rPr>
              <w:t>XBRL Taxonomy Extension Presentation Linkbase Document</w:t>
            </w:r>
          </w:p>
        </w:tc>
      </w:tr>
    </w:tbl>
    <w:p>
      <w:pPr>
        <w:spacing w:after="0" w:line="200" w:lineRule="exact"/>
        <w:rPr>
          <w:sz w:val="20"/>
          <w:szCs w:val="20"/>
          <w:color w:val="auto"/>
        </w:rPr>
      </w:pPr>
    </w:p>
    <w:p>
      <w:pPr>
        <w:spacing w:after="0" w:line="27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Molina Healthcare, Inc. 2017 Form 10-Q | 66</w:t>
      </w:r>
    </w:p>
    <w:p>
      <w:pPr>
        <w:sectPr>
          <w:pgSz w:w="11900" w:h="16838" w:orient="portrait"/>
          <w:cols w:equalWidth="0" w:num="1">
            <w:col w:w="11420"/>
          </w:cols>
          <w:pgMar w:left="240" w:top="116" w:right="239" w:bottom="1440" w:gutter="0" w:footer="0" w:header="0"/>
        </w:sectPr>
      </w:pPr>
    </w:p>
    <w:bookmarkStart w:id="66" w:name="page67"/>
    <w:bookmarkEnd w:id="6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46" w:lineRule="exact"/>
        <w:rPr>
          <w:sz w:val="20"/>
          <w:szCs w:val="20"/>
          <w:color w:val="auto"/>
        </w:rPr>
      </w:pPr>
    </w:p>
    <w:p>
      <w:pPr>
        <w:spacing w:after="0"/>
        <w:rPr>
          <w:sz w:val="20"/>
          <w:szCs w:val="20"/>
          <w:color w:val="auto"/>
        </w:rPr>
      </w:pPr>
      <w:r>
        <w:rPr>
          <w:rFonts w:ascii="Arial" w:cs="Arial" w:eastAsia="Arial" w:hAnsi="Arial"/>
          <w:sz w:val="36"/>
          <w:szCs w:val="36"/>
          <w:b w:val="1"/>
          <w:bCs w:val="1"/>
          <w:color w:val="0F7C7F"/>
        </w:rPr>
        <w:t>SIGNATURES</w:t>
      </w:r>
    </w:p>
    <w:p>
      <w:pPr>
        <w:spacing w:after="0" w:line="250" w:lineRule="exact"/>
        <w:rPr>
          <w:sz w:val="20"/>
          <w:szCs w:val="20"/>
          <w:color w:val="auto"/>
        </w:rPr>
      </w:pPr>
    </w:p>
    <w:p>
      <w:pPr>
        <w:ind w:right="300"/>
        <w:spacing w:after="0" w:line="292"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338" w:lineRule="exact"/>
        <w:rPr>
          <w:sz w:val="20"/>
          <w:szCs w:val="20"/>
          <w:color w:val="auto"/>
        </w:rPr>
      </w:pPr>
    </w:p>
    <w:p>
      <w:pPr>
        <w:ind w:left="6660"/>
        <w:spacing w:after="0"/>
        <w:rPr>
          <w:sz w:val="20"/>
          <w:szCs w:val="20"/>
          <w:color w:val="auto"/>
        </w:rPr>
      </w:pPr>
      <w:r>
        <w:rPr>
          <w:rFonts w:ascii="Arial" w:cs="Arial" w:eastAsia="Arial" w:hAnsi="Arial"/>
          <w:sz w:val="16"/>
          <w:szCs w:val="16"/>
          <w:color w:val="auto"/>
        </w:rPr>
        <w:t>MOLINA HEALTHCARE, INC.</w:t>
      </w:r>
    </w:p>
    <w:p>
      <w:pPr>
        <w:spacing w:after="0" w:line="86" w:lineRule="exact"/>
        <w:rPr>
          <w:sz w:val="20"/>
          <w:szCs w:val="20"/>
          <w:color w:val="auto"/>
        </w:rPr>
      </w:pPr>
    </w:p>
    <w:p>
      <w:pPr>
        <w:ind w:left="6660"/>
        <w:spacing w:after="0"/>
        <w:rPr>
          <w:sz w:val="20"/>
          <w:szCs w:val="20"/>
          <w:color w:val="auto"/>
        </w:rPr>
      </w:pPr>
      <w:r>
        <w:rPr>
          <w:rFonts w:ascii="Arial" w:cs="Arial" w:eastAsia="Arial" w:hAnsi="Arial"/>
          <w:sz w:val="16"/>
          <w:szCs w:val="16"/>
          <w:color w:val="auto"/>
        </w:rPr>
        <w:t>(Registrant)</w:t>
      </w:r>
    </w:p>
    <w:p>
      <w:pPr>
        <w:spacing w:after="0" w:line="383" w:lineRule="exact"/>
        <w:rPr>
          <w:sz w:val="20"/>
          <w:szCs w:val="20"/>
          <w:color w:val="auto"/>
        </w:rPr>
      </w:pPr>
    </w:p>
    <w:p>
      <w:pPr>
        <w:ind w:left="320"/>
        <w:spacing w:after="0"/>
        <w:tabs>
          <w:tab w:leader="none" w:pos="6640" w:val="left"/>
        </w:tabs>
        <w:rPr>
          <w:sz w:val="20"/>
          <w:szCs w:val="20"/>
          <w:color w:val="auto"/>
        </w:rPr>
      </w:pPr>
      <w:r>
        <w:rPr>
          <w:rFonts w:ascii="Arial" w:cs="Arial" w:eastAsia="Arial" w:hAnsi="Arial"/>
          <w:sz w:val="16"/>
          <w:szCs w:val="16"/>
          <w:color w:val="auto"/>
        </w:rPr>
        <w:t>Dated: November 5, 2017</w:t>
      </w:r>
      <w:r>
        <w:rPr>
          <w:sz w:val="20"/>
          <w:szCs w:val="20"/>
          <w:color w:val="auto"/>
        </w:rPr>
        <w:tab/>
      </w:r>
      <w:r>
        <w:rPr>
          <w:rFonts w:ascii="Arial" w:cs="Arial" w:eastAsia="Arial" w:hAnsi="Arial"/>
          <w:sz w:val="16"/>
          <w:szCs w:val="16"/>
          <w:color w:val="auto"/>
        </w:rPr>
        <w:t>/s/ JOSEPH W. WHITE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4215765</wp:posOffset>
            </wp:positionH>
            <wp:positionV relativeFrom="paragraph">
              <wp:posOffset>31750</wp:posOffset>
            </wp:positionV>
            <wp:extent cx="3035935"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7">
                      <a:extLst>
                        <a:ext uri="{28A0092B-C50C-407E-A947-70E740481C1C}"/>
                      </a:extLst>
                    </a:blip>
                    <a:srcRect/>
                    <a:stretch>
                      <a:fillRect/>
                    </a:stretch>
                  </pic:blipFill>
                  <pic:spPr bwMode="auto">
                    <a:xfrm>
                      <a:off x="0" y="0"/>
                      <a:ext cx="3035935" cy="8890"/>
                    </a:xfrm>
                    <a:prstGeom prst="rect">
                      <a:avLst/>
                    </a:prstGeom>
                    <a:noFill/>
                  </pic:spPr>
                </pic:pic>
              </a:graphicData>
            </a:graphic>
          </wp:anchor>
        </w:drawing>
      </w:r>
    </w:p>
    <w:p>
      <w:pPr>
        <w:spacing w:after="0" w:line="64" w:lineRule="exact"/>
        <w:rPr>
          <w:sz w:val="20"/>
          <w:szCs w:val="20"/>
          <w:color w:val="auto"/>
        </w:rPr>
      </w:pPr>
    </w:p>
    <w:p>
      <w:pPr>
        <w:ind w:left="8380"/>
        <w:spacing w:after="0"/>
        <w:rPr>
          <w:sz w:val="20"/>
          <w:szCs w:val="20"/>
          <w:color w:val="auto"/>
        </w:rPr>
      </w:pPr>
      <w:r>
        <w:rPr>
          <w:rFonts w:ascii="Arial" w:cs="Arial" w:eastAsia="Arial" w:hAnsi="Arial"/>
          <w:sz w:val="16"/>
          <w:szCs w:val="16"/>
          <w:b w:val="1"/>
          <w:bCs w:val="1"/>
          <w:color w:val="auto"/>
        </w:rPr>
        <w:t>Joseph W. White</w:t>
      </w:r>
    </w:p>
    <w:p>
      <w:pPr>
        <w:spacing w:after="0" w:line="86" w:lineRule="exact"/>
        <w:rPr>
          <w:sz w:val="20"/>
          <w:szCs w:val="20"/>
          <w:color w:val="auto"/>
        </w:rPr>
      </w:pPr>
    </w:p>
    <w:p>
      <w:pPr>
        <w:ind w:left="7920"/>
        <w:spacing w:after="0"/>
        <w:rPr>
          <w:sz w:val="20"/>
          <w:szCs w:val="20"/>
          <w:color w:val="auto"/>
        </w:rPr>
      </w:pPr>
      <w:r>
        <w:rPr>
          <w:rFonts w:ascii="Arial" w:cs="Arial" w:eastAsia="Arial" w:hAnsi="Arial"/>
          <w:sz w:val="16"/>
          <w:szCs w:val="16"/>
          <w:b w:val="1"/>
          <w:bCs w:val="1"/>
          <w:color w:val="auto"/>
        </w:rPr>
        <w:t>Interim Chief Executive Officer</w:t>
      </w:r>
    </w:p>
    <w:p>
      <w:pPr>
        <w:spacing w:after="0" w:line="86" w:lineRule="exact"/>
        <w:rPr>
          <w:sz w:val="20"/>
          <w:szCs w:val="20"/>
          <w:color w:val="auto"/>
        </w:rPr>
      </w:pPr>
    </w:p>
    <w:p>
      <w:pPr>
        <w:ind w:left="7940"/>
        <w:spacing w:after="0"/>
        <w:rPr>
          <w:sz w:val="20"/>
          <w:szCs w:val="20"/>
          <w:color w:val="auto"/>
        </w:rPr>
      </w:pPr>
      <w:r>
        <w:rPr>
          <w:rFonts w:ascii="Arial" w:cs="Arial" w:eastAsia="Arial" w:hAnsi="Arial"/>
          <w:sz w:val="16"/>
          <w:szCs w:val="16"/>
          <w:b w:val="1"/>
          <w:bCs w:val="1"/>
          <w:color w:val="auto"/>
        </w:rPr>
        <w:t>(Principal Executive Officer)</w:t>
      </w:r>
    </w:p>
    <w:p>
      <w:pPr>
        <w:spacing w:after="0" w:line="385" w:lineRule="exact"/>
        <w:rPr>
          <w:sz w:val="20"/>
          <w:szCs w:val="20"/>
          <w:color w:val="auto"/>
        </w:rPr>
      </w:pPr>
    </w:p>
    <w:p>
      <w:pPr>
        <w:ind w:left="320"/>
        <w:spacing w:after="0"/>
        <w:tabs>
          <w:tab w:leader="none" w:pos="6640" w:val="left"/>
        </w:tabs>
        <w:rPr>
          <w:sz w:val="20"/>
          <w:szCs w:val="20"/>
          <w:color w:val="auto"/>
        </w:rPr>
      </w:pPr>
      <w:r>
        <w:rPr>
          <w:rFonts w:ascii="Arial" w:cs="Arial" w:eastAsia="Arial" w:hAnsi="Arial"/>
          <w:sz w:val="16"/>
          <w:szCs w:val="16"/>
          <w:color w:val="auto"/>
        </w:rPr>
        <w:t>Dated: November 5, 2017</w:t>
      </w:r>
      <w:r>
        <w:rPr>
          <w:sz w:val="20"/>
          <w:szCs w:val="20"/>
          <w:color w:val="auto"/>
        </w:rPr>
        <w:tab/>
      </w:r>
      <w:r>
        <w:rPr>
          <w:rFonts w:ascii="Arial" w:cs="Arial" w:eastAsia="Arial" w:hAnsi="Arial"/>
          <w:sz w:val="16"/>
          <w:szCs w:val="16"/>
          <w:color w:val="auto"/>
        </w:rPr>
        <w:t>/s/ JOSEPH W. WHITE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4215765</wp:posOffset>
            </wp:positionH>
            <wp:positionV relativeFrom="paragraph">
              <wp:posOffset>31750</wp:posOffset>
            </wp:positionV>
            <wp:extent cx="3035935"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8">
                      <a:extLst>
                        <a:ext uri="{28A0092B-C50C-407E-A947-70E740481C1C}"/>
                      </a:extLst>
                    </a:blip>
                    <a:srcRect/>
                    <a:stretch>
                      <a:fillRect/>
                    </a:stretch>
                  </pic:blipFill>
                  <pic:spPr bwMode="auto">
                    <a:xfrm>
                      <a:off x="0" y="0"/>
                      <a:ext cx="3035935" cy="8890"/>
                    </a:xfrm>
                    <a:prstGeom prst="rect">
                      <a:avLst/>
                    </a:prstGeom>
                    <a:noFill/>
                  </pic:spPr>
                </pic:pic>
              </a:graphicData>
            </a:graphic>
          </wp:anchor>
        </w:drawing>
      </w:r>
    </w:p>
    <w:p>
      <w:pPr>
        <w:spacing w:after="0" w:line="64" w:lineRule="exact"/>
        <w:rPr>
          <w:sz w:val="20"/>
          <w:szCs w:val="20"/>
          <w:color w:val="auto"/>
        </w:rPr>
      </w:pPr>
    </w:p>
    <w:p>
      <w:pPr>
        <w:jc w:val="center"/>
        <w:ind w:left="6640"/>
        <w:spacing w:after="0"/>
        <w:rPr>
          <w:sz w:val="20"/>
          <w:szCs w:val="20"/>
          <w:color w:val="auto"/>
        </w:rPr>
      </w:pPr>
      <w:r>
        <w:rPr>
          <w:rFonts w:ascii="Arial" w:cs="Arial" w:eastAsia="Arial" w:hAnsi="Arial"/>
          <w:sz w:val="16"/>
          <w:szCs w:val="16"/>
          <w:b w:val="1"/>
          <w:bCs w:val="1"/>
          <w:color w:val="auto"/>
        </w:rPr>
        <w:t>Joseph W. White</w:t>
      </w:r>
    </w:p>
    <w:p>
      <w:pPr>
        <w:spacing w:after="0" w:line="86" w:lineRule="exact"/>
        <w:rPr>
          <w:sz w:val="20"/>
          <w:szCs w:val="20"/>
          <w:color w:val="auto"/>
        </w:rPr>
      </w:pPr>
    </w:p>
    <w:p>
      <w:pPr>
        <w:jc w:val="center"/>
        <w:ind w:left="6640"/>
        <w:spacing w:after="0"/>
        <w:rPr>
          <w:sz w:val="20"/>
          <w:szCs w:val="20"/>
          <w:color w:val="auto"/>
        </w:rPr>
      </w:pPr>
      <w:r>
        <w:rPr>
          <w:rFonts w:ascii="Arial" w:cs="Arial" w:eastAsia="Arial" w:hAnsi="Arial"/>
          <w:sz w:val="16"/>
          <w:szCs w:val="16"/>
          <w:b w:val="1"/>
          <w:bCs w:val="1"/>
          <w:color w:val="auto"/>
        </w:rPr>
        <w:t>Chief Financial Officer and Treasurer</w:t>
      </w:r>
    </w:p>
    <w:p>
      <w:pPr>
        <w:spacing w:after="0" w:line="86" w:lineRule="exact"/>
        <w:rPr>
          <w:sz w:val="20"/>
          <w:szCs w:val="20"/>
          <w:color w:val="auto"/>
        </w:rPr>
      </w:pPr>
    </w:p>
    <w:p>
      <w:pPr>
        <w:jc w:val="center"/>
        <w:ind w:left="6640"/>
        <w:spacing w:after="0"/>
        <w:rPr>
          <w:sz w:val="20"/>
          <w:szCs w:val="20"/>
          <w:color w:val="auto"/>
        </w:rPr>
      </w:pPr>
      <w:r>
        <w:rPr>
          <w:rFonts w:ascii="Arial" w:cs="Arial" w:eastAsia="Arial" w:hAnsi="Arial"/>
          <w:sz w:val="16"/>
          <w:szCs w:val="16"/>
          <w:b w:val="1"/>
          <w:bCs w:val="1"/>
          <w:color w:val="auto"/>
        </w:rPr>
        <w:t>(Principal Financial Officer)</w:t>
      </w:r>
    </w:p>
    <w:p>
      <w:pPr>
        <w:spacing w:after="0" w:line="200" w:lineRule="exact"/>
        <w:rPr>
          <w:sz w:val="20"/>
          <w:szCs w:val="20"/>
          <w:color w:val="auto"/>
        </w:rPr>
      </w:pPr>
    </w:p>
    <w:p>
      <w:pPr>
        <w:spacing w:after="0" w:line="39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Molina Healthcare, Inc. 2017 Form 10-Q | 67</w:t>
      </w:r>
    </w:p>
    <w:p>
      <w:pPr>
        <w:sectPr>
          <w:pgSz w:w="11900" w:h="16838" w:orient="portrait"/>
          <w:cols w:equalWidth="0" w:num="1">
            <w:col w:w="11420"/>
          </w:cols>
          <w:pgMar w:left="240" w:top="116" w:right="239" w:bottom="1440" w:gutter="0" w:footer="0" w:header="0"/>
        </w:sectPr>
      </w:pPr>
    </w:p>
    <w:bookmarkStart w:id="67" w:name="page68"/>
    <w:bookmarkEnd w:id="67"/>
    <w:p>
      <w:pPr>
        <w:jc w:val="right"/>
        <w:spacing w:after="0"/>
        <w:rPr>
          <w:sz w:val="20"/>
          <w:szCs w:val="20"/>
          <w:color w:val="auto"/>
        </w:rPr>
      </w:pPr>
      <w:r>
        <w:rPr>
          <w:rFonts w:ascii="Arial" w:cs="Arial" w:eastAsia="Arial" w:hAnsi="Arial"/>
          <w:sz w:val="18"/>
          <w:szCs w:val="18"/>
          <w:b w:val="1"/>
          <w:bCs w:val="1"/>
          <w:color w:val="auto"/>
        </w:rPr>
        <w:t>EXHIBIT 31.1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RULES 13a-14(a)/15d-14(a)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UNDER THE SECURITIES EXCHANGE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ACT OF 1934, AS AMENDED</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color w:val="auto"/>
        </w:rPr>
        <w:t>I, Joseph W. White, certify that:</w:t>
      </w:r>
    </w:p>
    <w:p>
      <w:pPr>
        <w:spacing w:after="0" w:line="90" w:lineRule="exact"/>
        <w:rPr>
          <w:sz w:val="20"/>
          <w:szCs w:val="20"/>
          <w:color w:val="auto"/>
        </w:rPr>
      </w:pPr>
    </w:p>
    <w:p>
      <w:pPr>
        <w:ind w:left="640" w:hanging="200"/>
        <w:spacing w:after="0"/>
        <w:tabs>
          <w:tab w:leader="none" w:pos="6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 have reviewed the report on Form 10-Q for the period ended September 30, 2017 of Molina Healthcare, Inc.;</w:t>
      </w:r>
    </w:p>
    <w:p>
      <w:pPr>
        <w:spacing w:after="0" w:line="90" w:lineRule="exact"/>
        <w:rPr>
          <w:rFonts w:ascii="Arial" w:cs="Arial" w:eastAsia="Arial" w:hAnsi="Arial"/>
          <w:sz w:val="18"/>
          <w:szCs w:val="18"/>
          <w:color w:val="auto"/>
        </w:rPr>
      </w:pPr>
    </w:p>
    <w:p>
      <w:pPr>
        <w:ind w:right="160" w:firstLine="440"/>
        <w:spacing w:after="0" w:line="271" w:lineRule="auto"/>
        <w:tabs>
          <w:tab w:leader="none" w:pos="632" w:val="left"/>
        </w:tabs>
        <w:numPr>
          <w:ilvl w:val="0"/>
          <w:numId w:val="22"/>
        </w:numPr>
        <w:rPr>
          <w:rFonts w:ascii="Arial" w:cs="Arial" w:eastAsia="Arial" w:hAnsi="Arial"/>
          <w:sz w:val="18"/>
          <w:szCs w:val="18"/>
          <w:color w:val="auto"/>
        </w:rPr>
      </w:pPr>
      <w:r>
        <w:rPr>
          <w:rFonts w:ascii="Arial" w:cs="Arial" w:eastAsia="Arial" w:hAnsi="Arial"/>
          <w:sz w:val="18"/>
          <w:szCs w:val="18"/>
          <w:color w:val="auto"/>
        </w:rPr>
        <w:t>Based on my knowledge, the report does not contain any untrue statement of a material fact or omit to state a material fact necessary in order to make the statements made, in light of the circumstances under which such statements were made, not misleading with respect to the period covered by the report;</w:t>
      </w:r>
    </w:p>
    <w:p>
      <w:pPr>
        <w:spacing w:after="0" w:line="109" w:lineRule="exact"/>
        <w:rPr>
          <w:rFonts w:ascii="Arial" w:cs="Arial" w:eastAsia="Arial" w:hAnsi="Arial"/>
          <w:sz w:val="18"/>
          <w:szCs w:val="18"/>
          <w:color w:val="auto"/>
        </w:rPr>
      </w:pPr>
    </w:p>
    <w:p>
      <w:pPr>
        <w:ind w:right="340" w:firstLine="440"/>
        <w:spacing w:after="0" w:line="292" w:lineRule="auto"/>
        <w:tabs>
          <w:tab w:leader="none" w:pos="632" w:val="left"/>
        </w:tabs>
        <w:numPr>
          <w:ilvl w:val="0"/>
          <w:numId w:val="22"/>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the report, fairly present in all material respects the financial condition, results of operations and cash flows of the registrant as of, and for, the periods presented in the report;</w:t>
      </w:r>
    </w:p>
    <w:p>
      <w:pPr>
        <w:spacing w:after="0" w:line="90" w:lineRule="exact"/>
        <w:rPr>
          <w:rFonts w:ascii="Arial" w:cs="Arial" w:eastAsia="Arial" w:hAnsi="Arial"/>
          <w:sz w:val="18"/>
          <w:szCs w:val="18"/>
          <w:color w:val="auto"/>
        </w:rPr>
      </w:pPr>
    </w:p>
    <w:p>
      <w:pPr>
        <w:ind w:right="100" w:firstLine="440"/>
        <w:spacing w:after="0" w:line="271" w:lineRule="auto"/>
        <w:tabs>
          <w:tab w:leader="none" w:pos="632" w:val="left"/>
        </w:tabs>
        <w:numPr>
          <w:ilvl w:val="0"/>
          <w:numId w:val="22"/>
        </w:numPr>
        <w:rPr>
          <w:rFonts w:ascii="Arial" w:cs="Arial" w:eastAsia="Arial" w:hAnsi="Arial"/>
          <w:sz w:val="18"/>
          <w:szCs w:val="18"/>
          <w:color w:val="auto"/>
        </w:rPr>
      </w:pPr>
      <w:r>
        <w:rPr>
          <w:rFonts w:ascii="Arial" w:cs="Arial" w:eastAsia="Arial" w:hAnsi="Arial"/>
          <w:sz w:val="18"/>
          <w:szCs w:val="18"/>
          <w:color w:val="auto"/>
        </w:rPr>
        <w:t>I am responsible for establishing and maintaining disclosure controls and procedures (as defined in Rule 13a-15(e) and 15d-15(e) of the Securities Exchange Act of 1934, as amended), and internal control over financial reporting (as defined in Rules 13a-15(f) and 15d-15(f) of the Securities Exchange Act of 1934, as amended), for the registrant and have:</w:t>
      </w:r>
    </w:p>
    <w:p>
      <w:pPr>
        <w:spacing w:after="0" w:line="28" w:lineRule="exact"/>
        <w:rPr>
          <w:rFonts w:ascii="Arial" w:cs="Arial" w:eastAsia="Arial" w:hAnsi="Arial"/>
          <w:sz w:val="18"/>
          <w:szCs w:val="18"/>
          <w:color w:val="auto"/>
        </w:rPr>
      </w:pPr>
    </w:p>
    <w:p>
      <w:pPr>
        <w:jc w:val="both"/>
        <w:ind w:right="40" w:firstLine="886"/>
        <w:spacing w:after="0" w:line="271" w:lineRule="auto"/>
        <w:tabs>
          <w:tab w:leader="none" w:pos="1148" w:val="left"/>
        </w:tabs>
        <w:numPr>
          <w:ilvl w:val="1"/>
          <w:numId w:val="2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my supervision, to ensure that material information relating to the registrant, including its consolidated subsidiaries, is made known to us by others within those entities, particularly during the period for which this report is being prepared;</w:t>
      </w:r>
    </w:p>
    <w:p>
      <w:pPr>
        <w:spacing w:after="0" w:line="28" w:lineRule="exact"/>
        <w:rPr>
          <w:rFonts w:ascii="Arial" w:cs="Arial" w:eastAsia="Arial" w:hAnsi="Arial"/>
          <w:sz w:val="18"/>
          <w:szCs w:val="18"/>
          <w:color w:val="auto"/>
        </w:rPr>
      </w:pPr>
    </w:p>
    <w:p>
      <w:pPr>
        <w:ind w:firstLine="886"/>
        <w:spacing w:after="0" w:line="271" w:lineRule="auto"/>
        <w:tabs>
          <w:tab w:leader="none" w:pos="1148" w:val="left"/>
        </w:tabs>
        <w:numPr>
          <w:ilvl w:val="1"/>
          <w:numId w:val="2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my supervision, to provide reasonable assurance regarding the reliability of financial reporting and the preparation of financial statements for external purposes in accordance with generally accepted accounting principles;</w:t>
      </w:r>
    </w:p>
    <w:p>
      <w:pPr>
        <w:spacing w:after="0" w:line="28" w:lineRule="exact"/>
        <w:rPr>
          <w:rFonts w:ascii="Arial" w:cs="Arial" w:eastAsia="Arial" w:hAnsi="Arial"/>
          <w:sz w:val="18"/>
          <w:szCs w:val="18"/>
          <w:color w:val="auto"/>
        </w:rPr>
      </w:pPr>
    </w:p>
    <w:p>
      <w:pPr>
        <w:ind w:right="140" w:firstLine="886"/>
        <w:spacing w:after="0" w:line="271" w:lineRule="auto"/>
        <w:tabs>
          <w:tab w:leader="none" w:pos="1138" w:val="left"/>
        </w:tabs>
        <w:numPr>
          <w:ilvl w:val="1"/>
          <w:numId w:val="22"/>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the report my conclusions about the effectiveness of the disclosure controls and procedures, as of the end of the period covered by the report based on such evaluation; and</w:t>
      </w:r>
    </w:p>
    <w:p>
      <w:pPr>
        <w:spacing w:after="0" w:line="28" w:lineRule="exact"/>
        <w:rPr>
          <w:rFonts w:ascii="Arial" w:cs="Arial" w:eastAsia="Arial" w:hAnsi="Arial"/>
          <w:sz w:val="18"/>
          <w:szCs w:val="18"/>
          <w:color w:val="auto"/>
        </w:rPr>
      </w:pPr>
    </w:p>
    <w:p>
      <w:pPr>
        <w:ind w:right="100" w:firstLine="886"/>
        <w:spacing w:after="0" w:line="271" w:lineRule="auto"/>
        <w:tabs>
          <w:tab w:leader="none" w:pos="1148" w:val="left"/>
        </w:tabs>
        <w:numPr>
          <w:ilvl w:val="1"/>
          <w:numId w:val="22"/>
        </w:numPr>
        <w:rPr>
          <w:rFonts w:ascii="Arial" w:cs="Arial" w:eastAsia="Arial" w:hAnsi="Arial"/>
          <w:sz w:val="18"/>
          <w:szCs w:val="18"/>
          <w:color w:val="auto"/>
        </w:rPr>
      </w:pPr>
      <w:r>
        <w:rPr>
          <w:rFonts w:ascii="Arial" w:cs="Arial" w:eastAsia="Arial" w:hAnsi="Arial"/>
          <w:sz w:val="18"/>
          <w:szCs w:val="18"/>
          <w:color w:val="auto"/>
        </w:rPr>
        <w:t>Disclosed in the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09" w:lineRule="exact"/>
        <w:rPr>
          <w:rFonts w:ascii="Arial" w:cs="Arial" w:eastAsia="Arial" w:hAnsi="Arial"/>
          <w:sz w:val="18"/>
          <w:szCs w:val="18"/>
          <w:color w:val="auto"/>
        </w:rPr>
      </w:pPr>
    </w:p>
    <w:p>
      <w:pPr>
        <w:ind w:right="180" w:firstLine="440"/>
        <w:spacing w:after="0" w:line="292" w:lineRule="auto"/>
        <w:tabs>
          <w:tab w:leader="none" w:pos="632" w:val="left"/>
        </w:tabs>
        <w:numPr>
          <w:ilvl w:val="0"/>
          <w:numId w:val="22"/>
        </w:numPr>
        <w:rPr>
          <w:rFonts w:ascii="Arial" w:cs="Arial" w:eastAsia="Arial" w:hAnsi="Arial"/>
          <w:sz w:val="18"/>
          <w:szCs w:val="18"/>
          <w:color w:val="auto"/>
        </w:rPr>
      </w:pPr>
      <w:r>
        <w:rPr>
          <w:rFonts w:ascii="Arial" w:cs="Arial" w:eastAsia="Arial" w:hAnsi="Arial"/>
          <w:sz w:val="18"/>
          <w:szCs w:val="18"/>
          <w:color w:val="auto"/>
        </w:rPr>
        <w:t>I have disclosed, based on my most recent evaluation of internal control over financial reporting, to the registrant’s auditors and to the audit committee of the registrant’s board of directors (or persons performing the equivalent functions):</w:t>
      </w:r>
    </w:p>
    <w:p>
      <w:pPr>
        <w:spacing w:after="0" w:line="9" w:lineRule="exact"/>
        <w:rPr>
          <w:rFonts w:ascii="Arial" w:cs="Arial" w:eastAsia="Arial" w:hAnsi="Arial"/>
          <w:sz w:val="18"/>
          <w:szCs w:val="18"/>
          <w:color w:val="auto"/>
        </w:rPr>
      </w:pPr>
    </w:p>
    <w:p>
      <w:pPr>
        <w:ind w:right="240" w:firstLine="886"/>
        <w:spacing w:after="0" w:line="292" w:lineRule="auto"/>
        <w:tabs>
          <w:tab w:leader="none" w:pos="1148" w:val="left"/>
        </w:tabs>
        <w:numPr>
          <w:ilvl w:val="1"/>
          <w:numId w:val="22"/>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9" w:lineRule="exact"/>
        <w:rPr>
          <w:rFonts w:ascii="Arial" w:cs="Arial" w:eastAsia="Arial" w:hAnsi="Arial"/>
          <w:sz w:val="18"/>
          <w:szCs w:val="18"/>
          <w:color w:val="auto"/>
        </w:rPr>
      </w:pPr>
    </w:p>
    <w:p>
      <w:pPr>
        <w:ind w:right="180" w:firstLine="886"/>
        <w:spacing w:after="0" w:line="292" w:lineRule="auto"/>
        <w:tabs>
          <w:tab w:leader="none" w:pos="1148" w:val="left"/>
        </w:tabs>
        <w:numPr>
          <w:ilvl w:val="1"/>
          <w:numId w:val="2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40"/>
        <w:spacing w:after="0"/>
        <w:tabs>
          <w:tab w:leader="none" w:pos="6420" w:val="left"/>
        </w:tabs>
        <w:rPr>
          <w:sz w:val="20"/>
          <w:szCs w:val="20"/>
          <w:color w:val="auto"/>
        </w:rPr>
      </w:pPr>
      <w:r>
        <w:rPr>
          <w:rFonts w:ascii="Arial" w:cs="Arial" w:eastAsia="Arial" w:hAnsi="Arial"/>
          <w:sz w:val="18"/>
          <w:szCs w:val="18"/>
          <w:color w:val="auto"/>
        </w:rPr>
        <w:t>Dated: November 5, 2017</w:t>
      </w:r>
      <w:r>
        <w:rPr>
          <w:sz w:val="20"/>
          <w:szCs w:val="20"/>
          <w:color w:val="auto"/>
        </w:rPr>
        <w:tab/>
      </w:r>
      <w:r>
        <w:rPr>
          <w:rFonts w:ascii="Arial" w:cs="Arial" w:eastAsia="Arial" w:hAnsi="Arial"/>
          <w:sz w:val="17"/>
          <w:szCs w:val="17"/>
          <w:color w:val="auto"/>
        </w:rPr>
        <w:t>/s/ Joseph W. White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28575</wp:posOffset>
            </wp:positionV>
            <wp:extent cx="724662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41" w:lineRule="exact"/>
        <w:rPr>
          <w:sz w:val="20"/>
          <w:szCs w:val="20"/>
          <w:color w:val="auto"/>
        </w:rPr>
      </w:pPr>
    </w:p>
    <w:p>
      <w:pPr>
        <w:ind w:left="6440"/>
        <w:spacing w:after="0"/>
        <w:rPr>
          <w:sz w:val="20"/>
          <w:szCs w:val="20"/>
          <w:color w:val="auto"/>
        </w:rPr>
      </w:pPr>
      <w:r>
        <w:rPr>
          <w:rFonts w:ascii="Arial" w:cs="Arial" w:eastAsia="Arial" w:hAnsi="Arial"/>
          <w:sz w:val="18"/>
          <w:szCs w:val="18"/>
          <w:b w:val="1"/>
          <w:bCs w:val="1"/>
          <w:color w:val="auto"/>
        </w:rPr>
        <w:t>Joseph W. White</w:t>
      </w:r>
    </w:p>
    <w:p>
      <w:pPr>
        <w:spacing w:after="0" w:line="50" w:lineRule="exact"/>
        <w:rPr>
          <w:sz w:val="20"/>
          <w:szCs w:val="20"/>
          <w:color w:val="auto"/>
        </w:rPr>
      </w:pPr>
    </w:p>
    <w:p>
      <w:pPr>
        <w:ind w:left="6440"/>
        <w:spacing w:after="0"/>
        <w:rPr>
          <w:sz w:val="20"/>
          <w:szCs w:val="20"/>
          <w:color w:val="auto"/>
        </w:rPr>
      </w:pPr>
      <w:r>
        <w:rPr>
          <w:rFonts w:ascii="Arial" w:cs="Arial" w:eastAsia="Arial" w:hAnsi="Arial"/>
          <w:sz w:val="18"/>
          <w:szCs w:val="18"/>
          <w:b w:val="1"/>
          <w:bCs w:val="1"/>
          <w:color w:val="auto"/>
        </w:rPr>
        <w:t>Interim Chief Executive Officer</w:t>
      </w:r>
    </w:p>
    <w:p>
      <w:pPr>
        <w:spacing w:after="0" w:line="63" w:lineRule="exact"/>
        <w:rPr>
          <w:sz w:val="20"/>
          <w:szCs w:val="20"/>
          <w:color w:val="auto"/>
        </w:rPr>
      </w:pPr>
    </w:p>
    <w:p>
      <w:pPr>
        <w:ind w:left="6440"/>
        <w:spacing w:after="0"/>
        <w:rPr>
          <w:sz w:val="20"/>
          <w:szCs w:val="20"/>
          <w:color w:val="auto"/>
        </w:rPr>
      </w:pPr>
      <w:r>
        <w:rPr>
          <w:rFonts w:ascii="Arial" w:cs="Arial" w:eastAsia="Arial" w:hAnsi="Arial"/>
          <w:sz w:val="18"/>
          <w:szCs w:val="18"/>
          <w:b w:val="1"/>
          <w:bCs w:val="1"/>
          <w:color w:val="auto"/>
        </w:rPr>
        <w:t>Chief Financial Officer</w:t>
      </w:r>
    </w:p>
    <w:p>
      <w:pPr>
        <w:sectPr>
          <w:pgSz w:w="11900" w:h="16838" w:orient="portrait"/>
          <w:cols w:equalWidth="0" w:num="1">
            <w:col w:w="11420"/>
          </w:cols>
          <w:pgMar w:left="240" w:top="574" w:right="239" w:bottom="1440" w:gutter="0" w:footer="0" w:header="0"/>
        </w:sectPr>
      </w:pPr>
    </w:p>
    <w:bookmarkStart w:id="68" w:name="page69"/>
    <w:bookmarkEnd w:id="68"/>
    <w:p>
      <w:pPr>
        <w:jc w:val="right"/>
        <w:spacing w:after="0"/>
        <w:rPr>
          <w:sz w:val="20"/>
          <w:szCs w:val="20"/>
          <w:color w:val="auto"/>
        </w:rPr>
      </w:pPr>
      <w:r>
        <w:rPr>
          <w:rFonts w:ascii="Arial" w:cs="Arial" w:eastAsia="Arial" w:hAnsi="Arial"/>
          <w:sz w:val="18"/>
          <w:szCs w:val="18"/>
          <w:b w:val="1"/>
          <w:bCs w:val="1"/>
          <w:color w:val="auto"/>
        </w:rPr>
        <w:t>EXHIBIT 32.1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CERTIFICATE PURSUANT TO</w:t>
      </w:r>
    </w:p>
    <w:p>
      <w:pPr>
        <w:spacing w:after="0" w:line="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49" w:lineRule="exact"/>
        <w:rPr>
          <w:sz w:val="20"/>
          <w:szCs w:val="20"/>
          <w:color w:val="auto"/>
        </w:rPr>
      </w:pPr>
    </w:p>
    <w:p>
      <w:pPr>
        <w:ind w:right="400" w:firstLine="432"/>
        <w:spacing w:after="0" w:line="271" w:lineRule="auto"/>
        <w:rPr>
          <w:sz w:val="20"/>
          <w:szCs w:val="20"/>
          <w:color w:val="auto"/>
        </w:rPr>
      </w:pPr>
      <w:r>
        <w:rPr>
          <w:rFonts w:ascii="Arial" w:cs="Arial" w:eastAsia="Arial" w:hAnsi="Arial"/>
          <w:sz w:val="18"/>
          <w:szCs w:val="18"/>
          <w:color w:val="auto"/>
        </w:rPr>
        <w:t>In connection with the report of Molina Healthcare, Inc. (the “Company”) on Form 10-Q for the period ended September 30, 2017 (the “Report”), I, Joseph W. White, Interim Chief Executive Officer and Chief Financial Officer of the Company, certify, pursuant to 18 U.S.C. Section 1350, as adopted pursuant to Section 906 of the Sarbanes-Oxley Act of 2002, that:</w:t>
      </w:r>
    </w:p>
    <w:p>
      <w:pPr>
        <w:spacing w:after="0" w:line="28" w:lineRule="exact"/>
        <w:rPr>
          <w:sz w:val="20"/>
          <w:szCs w:val="20"/>
          <w:color w:val="auto"/>
        </w:rPr>
      </w:pPr>
    </w:p>
    <w:p>
      <w:pPr>
        <w:ind w:left="880"/>
        <w:spacing w:after="0"/>
        <w:rPr>
          <w:sz w:val="20"/>
          <w:szCs w:val="20"/>
          <w:color w:val="auto"/>
        </w:rPr>
      </w:pPr>
      <w:r>
        <w:rPr>
          <w:rFonts w:ascii="Arial" w:cs="Arial" w:eastAsia="Arial" w:hAnsi="Arial"/>
          <w:sz w:val="18"/>
          <w:szCs w:val="18"/>
          <w:color w:val="auto"/>
        </w:rPr>
        <w:t>(1) The Report fully complies with the requirements of Section 13(a) or 15(d) of the Securities Exchange Act of 1934, as amended;</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color w:val="auto"/>
        </w:rPr>
        <w:t>and</w:t>
      </w:r>
    </w:p>
    <w:p>
      <w:pPr>
        <w:spacing w:after="0" w:line="68" w:lineRule="exact"/>
        <w:rPr>
          <w:sz w:val="20"/>
          <w:szCs w:val="20"/>
          <w:color w:val="auto"/>
        </w:rPr>
      </w:pPr>
    </w:p>
    <w:p>
      <w:pPr>
        <w:ind w:right="180" w:firstLine="886"/>
        <w:spacing w:after="0" w:line="292" w:lineRule="auto"/>
        <w:tabs>
          <w:tab w:leader="none" w:pos="1148"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left="40"/>
        <w:spacing w:after="0"/>
        <w:tabs>
          <w:tab w:leader="none" w:pos="6300" w:val="left"/>
        </w:tabs>
        <w:rPr>
          <w:sz w:val="20"/>
          <w:szCs w:val="20"/>
          <w:color w:val="auto"/>
        </w:rPr>
      </w:pPr>
      <w:r>
        <w:rPr>
          <w:rFonts w:ascii="Arial" w:cs="Arial" w:eastAsia="Arial" w:hAnsi="Arial"/>
          <w:sz w:val="18"/>
          <w:szCs w:val="18"/>
          <w:color w:val="auto"/>
        </w:rPr>
        <w:t>Dated: November 5, 2017</w:t>
      </w:r>
      <w:r>
        <w:rPr>
          <w:sz w:val="20"/>
          <w:szCs w:val="20"/>
          <w:color w:val="auto"/>
        </w:rPr>
        <w:tab/>
      </w:r>
      <w:r>
        <w:rPr>
          <w:rFonts w:ascii="Arial" w:cs="Arial" w:eastAsia="Arial" w:hAnsi="Arial"/>
          <w:sz w:val="17"/>
          <w:szCs w:val="17"/>
          <w:color w:val="auto"/>
        </w:rPr>
        <w:t>/s/ Joseph W. White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28575</wp:posOffset>
            </wp:positionV>
            <wp:extent cx="724662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55" w:lineRule="exact"/>
        <w:rPr>
          <w:sz w:val="20"/>
          <w:szCs w:val="20"/>
          <w:color w:val="auto"/>
        </w:rPr>
      </w:pPr>
    </w:p>
    <w:p>
      <w:pPr>
        <w:ind w:left="6320"/>
        <w:spacing w:after="0"/>
        <w:rPr>
          <w:sz w:val="20"/>
          <w:szCs w:val="20"/>
          <w:color w:val="auto"/>
        </w:rPr>
      </w:pPr>
      <w:r>
        <w:rPr>
          <w:rFonts w:ascii="Arial" w:cs="Arial" w:eastAsia="Arial" w:hAnsi="Arial"/>
          <w:sz w:val="18"/>
          <w:szCs w:val="18"/>
          <w:b w:val="1"/>
          <w:bCs w:val="1"/>
          <w:color w:val="auto"/>
        </w:rPr>
        <w:t>Joseph W. White</w:t>
      </w:r>
    </w:p>
    <w:p>
      <w:pPr>
        <w:spacing w:after="0" w:line="63" w:lineRule="exact"/>
        <w:rPr>
          <w:sz w:val="20"/>
          <w:szCs w:val="20"/>
          <w:color w:val="auto"/>
        </w:rPr>
      </w:pPr>
    </w:p>
    <w:p>
      <w:pPr>
        <w:ind w:left="6320"/>
        <w:spacing w:after="0"/>
        <w:rPr>
          <w:sz w:val="20"/>
          <w:szCs w:val="20"/>
          <w:color w:val="auto"/>
        </w:rPr>
      </w:pPr>
      <w:r>
        <w:rPr>
          <w:rFonts w:ascii="Arial" w:cs="Arial" w:eastAsia="Arial" w:hAnsi="Arial"/>
          <w:sz w:val="18"/>
          <w:szCs w:val="18"/>
          <w:b w:val="1"/>
          <w:bCs w:val="1"/>
          <w:color w:val="auto"/>
        </w:rPr>
        <w:t>Interim Chief Executive Officer</w:t>
      </w:r>
    </w:p>
    <w:p>
      <w:pPr>
        <w:spacing w:after="0" w:line="63" w:lineRule="exact"/>
        <w:rPr>
          <w:sz w:val="20"/>
          <w:szCs w:val="20"/>
          <w:color w:val="auto"/>
        </w:rPr>
      </w:pPr>
    </w:p>
    <w:p>
      <w:pPr>
        <w:ind w:left="6320"/>
        <w:spacing w:after="0"/>
        <w:rPr>
          <w:sz w:val="20"/>
          <w:szCs w:val="20"/>
          <w:color w:val="auto"/>
        </w:rPr>
      </w:pPr>
      <w:r>
        <w:rPr>
          <w:rFonts w:ascii="Arial" w:cs="Arial" w:eastAsia="Arial" w:hAnsi="Arial"/>
          <w:sz w:val="18"/>
          <w:szCs w:val="18"/>
          <w:b w:val="1"/>
          <w:bCs w:val="1"/>
          <w:color w:val="auto"/>
        </w:rPr>
        <w:t>Chief Financial Officer</w:t>
      </w:r>
    </w:p>
    <w:sectPr>
      <w:pgSz w:w="11900" w:h="16838" w:orient="portrait"/>
      <w:cols w:equalWidth="0" w:num="1">
        <w:col w:w="11420"/>
      </w:cols>
      <w:pgMar w:left="240" w:top="574"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EF438D"/>
    <w:multiLevelType w:val="hybridMultilevel"/>
    <w:lvl w:ilvl="0">
      <w:lvlJc w:val="left"/>
      <w:lvlText w:val="☒"/>
      <w:numFmt w:val="bullet"/>
      <w:start w:val="1"/>
    </w:lvl>
  </w:abstractNum>
  <w:abstractNum w:abstractNumId="1">
    <w:nsid w:val="140E0F76"/>
    <w:multiLevelType w:val="hybridMultilevel"/>
    <w:lvl w:ilvl="0">
      <w:lvlJc w:val="left"/>
      <w:lvlText w:val="☐"/>
      <w:numFmt w:val="bullet"/>
      <w:start w:val="1"/>
    </w:lvl>
  </w:abstractNum>
  <w:abstractNum w:abstractNumId="2">
    <w:nsid w:val="3352255A"/>
    <w:multiLevelType w:val="hybridMultilevel"/>
    <w:lvl w:ilvl="0">
      <w:lvlJc w:val="left"/>
      <w:lvlText w:val="•"/>
      <w:numFmt w:val="bullet"/>
      <w:start w:val="1"/>
    </w:lvl>
  </w:abstractNum>
  <w:abstractNum w:abstractNumId="3">
    <w:nsid w:val="109CF92E"/>
    <w:multiLevelType w:val="hybridMultilevel"/>
    <w:lvl w:ilvl="0">
      <w:lvlJc w:val="left"/>
      <w:lvlText w:val="(%1)"/>
      <w:numFmt w:val="decimal"/>
      <w:start w:val="1"/>
    </w:lvl>
  </w:abstractNum>
  <w:abstractNum w:abstractNumId="4">
    <w:nsid w:val="DED7263"/>
    <w:multiLevelType w:val="hybridMultilevel"/>
    <w:lvl w:ilvl="0">
      <w:lvlJc w:val="left"/>
      <w:lvlText w:val="•"/>
      <w:numFmt w:val="bullet"/>
      <w:start w:val="1"/>
    </w:lvl>
  </w:abstractNum>
  <w:abstractNum w:abstractNumId="5">
    <w:nsid w:val="7FDCC233"/>
    <w:multiLevelType w:val="hybridMultilevel"/>
    <w:lvl w:ilvl="0">
      <w:lvlJc w:val="left"/>
      <w:lvlText w:val="•"/>
      <w:numFmt w:val="bullet"/>
      <w:start w:val="1"/>
    </w:lvl>
    <w:lvl w:ilvl="1">
      <w:lvlJc w:val="left"/>
      <w:lvlText w:val="◦"/>
      <w:numFmt w:val="bullet"/>
      <w:start w:val="1"/>
    </w:lvl>
  </w:abstractNum>
  <w:abstractNum w:abstractNumId="6">
    <w:nsid w:val="1BEFD79F"/>
    <w:multiLevelType w:val="hybridMultilevel"/>
    <w:lvl w:ilvl="0">
      <w:lvlJc w:val="left"/>
      <w:lvlText w:val="%1."/>
      <w:numFmt w:val="decimal"/>
      <w:start w:val="1"/>
    </w:lvl>
  </w:abstractNum>
  <w:abstractNum w:abstractNumId="7">
    <w:nsid w:val="41A7C4C9"/>
    <w:multiLevelType w:val="hybridMultilevel"/>
    <w:lvl w:ilvl="0">
      <w:lvlJc w:val="left"/>
      <w:lvlText w:val="(%1)"/>
      <w:numFmt w:val="decimal"/>
      <w:start w:val="1"/>
    </w:lvl>
  </w:abstractNum>
  <w:abstractNum w:abstractNumId="8">
    <w:nsid w:val="6B68079A"/>
    <w:multiLevelType w:val="hybridMultilevel"/>
    <w:lvl w:ilvl="0">
      <w:lvlJc w:val="left"/>
      <w:lvlText w:val="(%1)"/>
      <w:numFmt w:val="decimal"/>
      <w:start w:val="1"/>
    </w:lvl>
  </w:abstractNum>
  <w:abstractNum w:abstractNumId="9">
    <w:nsid w:val="4E6AFB66"/>
    <w:multiLevelType w:val="hybridMultilevel"/>
    <w:lvl w:ilvl="0">
      <w:lvlJc w:val="left"/>
      <w:lvlText w:val="•"/>
      <w:numFmt w:val="bullet"/>
      <w:start w:val="1"/>
    </w:lvl>
  </w:abstractNum>
  <w:abstractNum w:abstractNumId="10">
    <w:nsid w:val="25E45D32"/>
    <w:multiLevelType w:val="hybridMultilevel"/>
    <w:lvl w:ilvl="0">
      <w:lvlJc w:val="left"/>
      <w:lvlText w:val="•"/>
      <w:numFmt w:val="bullet"/>
      <w:start w:val="1"/>
    </w:lvl>
  </w:abstractNum>
  <w:abstractNum w:abstractNumId="11">
    <w:nsid w:val="519B500D"/>
    <w:multiLevelType w:val="hybridMultilevel"/>
    <w:lvl w:ilvl="0">
      <w:lvlJc w:val="left"/>
      <w:lvlText w:val="(%1)"/>
      <w:numFmt w:val="decimal"/>
      <w:start w:val="1"/>
    </w:lvl>
  </w:abstractNum>
  <w:abstractNum w:abstractNumId="12">
    <w:nsid w:val="431BD7B7"/>
    <w:multiLevelType w:val="hybridMultilevel"/>
    <w:lvl w:ilvl="0">
      <w:lvlJc w:val="left"/>
      <w:lvlText w:val="•"/>
      <w:numFmt w:val="bullet"/>
      <w:start w:val="1"/>
    </w:lvl>
    <w:lvl w:ilvl="1">
      <w:lvlJc w:val="left"/>
      <w:lvlText w:val="◦"/>
      <w:numFmt w:val="bullet"/>
      <w:start w:val="1"/>
    </w:lvl>
  </w:abstractNum>
  <w:abstractNum w:abstractNumId="13">
    <w:nsid w:val="3F2DBA31"/>
    <w:multiLevelType w:val="hybridMultilevel"/>
    <w:lvl w:ilvl="0">
      <w:lvlJc w:val="left"/>
      <w:lvlText w:val="•"/>
      <w:numFmt w:val="bullet"/>
      <w:start w:val="1"/>
    </w:lvl>
  </w:abstractNum>
  <w:abstractNum w:abstractNumId="14">
    <w:nsid w:val="7C83E458"/>
    <w:multiLevelType w:val="hybridMultilevel"/>
    <w:lvl w:ilvl="0">
      <w:lvlJc w:val="left"/>
      <w:lvlText w:val="(%1)"/>
      <w:numFmt w:val="decimal"/>
      <w:start w:val="1"/>
    </w:lvl>
  </w:abstractNum>
  <w:abstractNum w:abstractNumId="15">
    <w:nsid w:val="257130A3"/>
    <w:multiLevelType w:val="hybridMultilevel"/>
    <w:lvl w:ilvl="0">
      <w:lvlJc w:val="left"/>
      <w:lvlText w:val="%1."/>
      <w:numFmt w:val="decimal"/>
      <w:start w:val="1"/>
    </w:lvl>
  </w:abstractNum>
  <w:abstractNum w:abstractNumId="16">
    <w:nsid w:val="62BBD95A"/>
    <w:multiLevelType w:val="hybridMultilevel"/>
    <w:lvl w:ilvl="0">
      <w:lvlJc w:val="left"/>
      <w:lvlText w:val="(%1)"/>
      <w:numFmt w:val="decimal"/>
      <w:start w:val="1"/>
    </w:lvl>
  </w:abstractNum>
  <w:abstractNum w:abstractNumId="17">
    <w:nsid w:val="436C6125"/>
    <w:multiLevelType w:val="hybridMultilevel"/>
    <w:lvl w:ilvl="0">
      <w:lvlJc w:val="left"/>
      <w:lvlText w:val="(%1)"/>
      <w:numFmt w:val="decimal"/>
      <w:start w:val="1"/>
    </w:lvl>
  </w:abstractNum>
  <w:abstractNum w:abstractNumId="18">
    <w:nsid w:val="628C895D"/>
    <w:multiLevelType w:val="hybridMultilevel"/>
    <w:lvl w:ilvl="0">
      <w:lvlJc w:val="left"/>
      <w:lvlText w:val="(%1)"/>
      <w:numFmt w:val="decimal"/>
      <w:start w:val="1"/>
    </w:lvl>
  </w:abstractNum>
  <w:abstractNum w:abstractNumId="19">
    <w:nsid w:val="333AB105"/>
    <w:multiLevelType w:val="hybridMultilevel"/>
    <w:lvl w:ilvl="0">
      <w:lvlJc w:val="left"/>
      <w:lvlText w:val="•"/>
      <w:numFmt w:val="bullet"/>
      <w:start w:val="1"/>
    </w:lvl>
  </w:abstractNum>
  <w:abstractNum w:abstractNumId="20">
    <w:nsid w:val="721DA317"/>
    <w:multiLevelType w:val="hybridMultilevel"/>
    <w:lvl w:ilvl="0">
      <w:lvlJc w:val="left"/>
      <w:lvlText w:val="(%1)"/>
      <w:numFmt w:val="decimal"/>
      <w:start w:val="1"/>
    </w:lvl>
  </w:abstractNum>
  <w:abstractNum w:abstractNumId="21">
    <w:nsid w:val="2443A858"/>
    <w:multiLevelType w:val="hybridMultilevel"/>
    <w:lvl w:ilvl="0">
      <w:lvlJc w:val="left"/>
      <w:lvlText w:val="%1."/>
      <w:numFmt w:val="decimal"/>
      <w:start w:val="1"/>
    </w:lvl>
    <w:lvl w:ilvl="1">
      <w:lvlJc w:val="left"/>
      <w:lvlText w:val="(%2)"/>
      <w:numFmt w:val="lowerLetter"/>
      <w:start w:val="1"/>
    </w:lvl>
  </w:abstractNum>
  <w:abstractNum w:abstractNumId="22">
    <w:nsid w:val="2D1D5AE9"/>
    <w:multiLevelType w:val="hybridMultilevel"/>
    <w:lvl w:ilvl="0">
      <w:lvlJc w:val="left"/>
      <w:lvlText w:val="(%1)"/>
      <w:numFmt w:val="decimal"/>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jpe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7" Type="http://schemas.openxmlformats.org/officeDocument/2006/relationships/image" Target="media/image29.png"/><Relationship Id="rId38" Type="http://schemas.openxmlformats.org/officeDocument/2006/relationships/image" Target="media/image30.png"/><Relationship Id="rId39" Type="http://schemas.openxmlformats.org/officeDocument/2006/relationships/image" Target="media/image31.png"/><Relationship Id="rId40" Type="http://schemas.openxmlformats.org/officeDocument/2006/relationships/image" Target="media/image32.png"/><Relationship Id="rId36" Type="http://schemas.openxmlformats.org/officeDocument/2006/relationships/hyperlink" Target="http://www.sec.gov/Archives/edgar/data/1179929/000117992917000206/exhibit101_zubretskyemploy.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2019-12-29T03:56:32Z</dcterms:created>
  <dcterms:modified xsi:type="dcterms:W3CDTF">2019-12-29T03:56:32Z</dcterms:modified>
</cp:coreProperties>
</file>