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1384935</wp:posOffset>
            </wp:positionH>
            <wp:positionV relativeFrom="paragraph">
              <wp:posOffset>53340</wp:posOffset>
            </wp:positionV>
            <wp:extent cx="43719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1393825</wp:posOffset>
            </wp:positionH>
            <wp:positionV relativeFrom="paragraph">
              <wp:posOffset>73025</wp:posOffset>
            </wp:positionV>
            <wp:extent cx="4354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60" w:hanging="634"/>
        <w:spacing w:after="0" w:line="181" w:lineRule="auto"/>
        <w:tabs>
          <w:tab w:leader="none" w:pos="660" w:val="left"/>
        </w:tabs>
        <w:numPr>
          <w:ilvl w:val="0"/>
          <w:numId w:val="1"/>
        </w:numPr>
        <w:rPr>
          <w:rFonts w:ascii="MS PGothic" w:cs="MS PGothic" w:eastAsia="MS PGothic" w:hAnsi="MS PGothic"/>
          <w:sz w:val="42"/>
          <w:szCs w:val="42"/>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June 30, 2024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57785</wp:posOffset>
            </wp:positionV>
            <wp:extent cx="442341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2341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MOLINA HEALTHCARE,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53340</wp:posOffset>
            </wp:positionV>
            <wp:extent cx="4423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99" w:lineRule="exact"/>
        <w:rPr>
          <w:sz w:val="24"/>
          <w:szCs w:val="24"/>
          <w:color w:val="auto"/>
        </w:rPr>
      </w:pPr>
    </w:p>
    <w:tbl>
      <w:tblPr>
        <w:tblLayout w:type="fixed"/>
        <w:tblInd w:w="1900" w:type="dxa"/>
        <w:tblCellMar>
          <w:top w:w="0" w:type="dxa"/>
          <w:left w:w="0" w:type="dxa"/>
          <w:bottom w:w="0" w:type="dxa"/>
          <w:right w:w="0" w:type="dxa"/>
        </w:tblCellMar>
      </w:tblPr>
      <w:tr>
        <w:trPr>
          <w:trHeight w:val="223"/>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Delaware</w:t>
            </w:r>
          </w:p>
        </w:tc>
        <w:tc>
          <w:tcPr>
            <w:tcW w:w="2640" w:type="dxa"/>
            <w:vAlign w:val="bottom"/>
          </w:tcPr>
          <w:p>
            <w:pPr>
              <w:jc w:val="right"/>
              <w:ind w:right="104"/>
              <w:spacing w:after="0"/>
              <w:rPr>
                <w:sz w:val="20"/>
                <w:szCs w:val="20"/>
                <w:color w:val="auto"/>
              </w:rPr>
            </w:pPr>
            <w:r>
              <w:rPr>
                <w:rFonts w:ascii="Arial" w:cs="Arial" w:eastAsia="Arial" w:hAnsi="Arial"/>
                <w:sz w:val="16"/>
                <w:szCs w:val="16"/>
                <w:b w:val="1"/>
                <w:bCs w:val="1"/>
                <w:color w:val="auto"/>
              </w:rPr>
              <w:t>13-4204626</w:t>
            </w:r>
          </w:p>
        </w:tc>
      </w:tr>
      <w:tr>
        <w:trPr>
          <w:trHeight w:val="169"/>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(State or other jurisdiction of</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incorporation or organization)</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Identification No.)</w:t>
            </w:r>
          </w:p>
        </w:tc>
      </w:tr>
      <w:tr>
        <w:trPr>
          <w:trHeight w:val="262"/>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200 Oceangate, Suite 100</w:t>
            </w:r>
          </w:p>
        </w:tc>
        <w:tc>
          <w:tcPr>
            <w:tcW w:w="2640" w:type="dxa"/>
            <w:vAlign w:val="bottom"/>
          </w:tcPr>
          <w:p>
            <w:pPr>
              <w:spacing w:after="0"/>
              <w:rPr>
                <w:sz w:val="22"/>
                <w:szCs w:val="22"/>
                <w:color w:val="auto"/>
              </w:rPr>
            </w:pPr>
          </w:p>
        </w:tc>
      </w:tr>
      <w:tr>
        <w:trPr>
          <w:trHeight w:val="221"/>
        </w:trPr>
        <w:tc>
          <w:tcPr>
            <w:tcW w:w="4100" w:type="dxa"/>
            <w:vAlign w:val="bottom"/>
          </w:tcPr>
          <w:p>
            <w:pPr>
              <w:jc w:val="center"/>
              <w:ind w:right="1364"/>
              <w:spacing w:after="0"/>
              <w:rPr>
                <w:sz w:val="20"/>
                <w:szCs w:val="20"/>
                <w:color w:val="auto"/>
              </w:rPr>
            </w:pPr>
            <w:r>
              <w:rPr>
                <w:rFonts w:ascii="Arial" w:cs="Arial" w:eastAsia="Arial" w:hAnsi="Arial"/>
                <w:sz w:val="16"/>
                <w:szCs w:val="16"/>
                <w:b w:val="1"/>
                <w:bCs w:val="1"/>
                <w:color w:val="auto"/>
                <w:w w:val="99"/>
              </w:rPr>
              <w:t>Long Beach, California</w:t>
            </w:r>
          </w:p>
        </w:tc>
        <w:tc>
          <w:tcPr>
            <w:tcW w:w="2640" w:type="dxa"/>
            <w:vAlign w:val="bottom"/>
          </w:tcPr>
          <w:p>
            <w:pPr>
              <w:jc w:val="right"/>
              <w:ind w:right="304"/>
              <w:spacing w:after="0"/>
              <w:rPr>
                <w:sz w:val="20"/>
                <w:szCs w:val="20"/>
                <w:color w:val="auto"/>
              </w:rPr>
            </w:pPr>
            <w:r>
              <w:rPr>
                <w:rFonts w:ascii="Arial" w:cs="Arial" w:eastAsia="Arial" w:hAnsi="Arial"/>
                <w:sz w:val="16"/>
                <w:szCs w:val="16"/>
                <w:b w:val="1"/>
                <w:bCs w:val="1"/>
                <w:color w:val="auto"/>
              </w:rPr>
              <w:t>90802</w:t>
            </w:r>
          </w:p>
        </w:tc>
      </w:tr>
      <w:tr>
        <w:trPr>
          <w:trHeight w:val="196"/>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(Address of principal executive offices)</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(Zip Code)</w:t>
            </w:r>
          </w:p>
        </w:tc>
      </w:tr>
    </w:tbl>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(562) 435-3666</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132080</wp:posOffset>
            </wp:positionV>
            <wp:extent cx="442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8" w:lineRule="exact"/>
        <w:rPr>
          <w:sz w:val="24"/>
          <w:szCs w:val="24"/>
          <w:color w:val="auto"/>
        </w:rPr>
      </w:pPr>
    </w:p>
    <w:tbl>
      <w:tblPr>
        <w:tblLayout w:type="fixed"/>
        <w:tblInd w:w="950" w:type="dxa"/>
        <w:tblCellMar>
          <w:top w:w="0" w:type="dxa"/>
          <w:left w:w="0" w:type="dxa"/>
          <w:bottom w:w="0" w:type="dxa"/>
          <w:right w:w="0" w:type="dxa"/>
        </w:tblCellMar>
      </w:tblPr>
      <w:tr>
        <w:trPr>
          <w:trHeight w:val="255"/>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3"/>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MOH</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48" w:lineRule="exact"/>
        <w:rPr>
          <w:sz w:val="24"/>
          <w:szCs w:val="24"/>
          <w:color w:val="auto"/>
        </w:rPr>
      </w:pPr>
    </w:p>
    <w:p>
      <w:pPr>
        <w:jc w:val="both"/>
        <w:ind w:right="44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46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ind w:left="180"/>
        <w:spacing w:after="0" w:line="184" w:lineRule="exact"/>
        <w:tabs>
          <w:tab w:leader="none" w:pos="2000" w:val="left"/>
          <w:tab w:leader="none" w:pos="3400" w:val="left"/>
          <w:tab w:leader="none" w:pos="5120" w:val="left"/>
          <w:tab w:leader="none" w:pos="7160" w:val="left"/>
        </w:tabs>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ab/>
        <w:t xml:space="preserve">Emerging growth company </w:t>
      </w:r>
      <w:r>
        <w:rPr>
          <w:rFonts w:ascii="MS PGothic" w:cs="MS PGothic" w:eastAsia="MS PGothic" w:hAnsi="MS PGothic"/>
          <w:sz w:val="14"/>
          <w:szCs w:val="14"/>
          <w:color w:val="auto"/>
        </w:rPr>
        <w:t>☐</w:t>
      </w:r>
    </w:p>
    <w:p>
      <w:pPr>
        <w:spacing w:after="0" w:line="139" w:lineRule="exact"/>
        <w:rPr>
          <w:sz w:val="24"/>
          <w:szCs w:val="24"/>
          <w:color w:val="auto"/>
        </w:rPr>
      </w:pPr>
    </w:p>
    <w:p>
      <w:pPr>
        <w:ind w:right="120"/>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spacing w:after="0" w:line="184" w:lineRule="exact"/>
        <w:tabs>
          <w:tab w:leader="none" w:pos="88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July 19, 2024, was approximately 58.6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MOLINA HEALTHCARE, INC. FORM 10-Q</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FOR THE QUARTERLY PERIOD ENDED JUNE 30, 2024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gridSpan w:val="11"/>
          </w:tcPr>
          <w:p>
            <w:pPr>
              <w:ind w:left="20"/>
              <w:spacing w:after="0"/>
              <w:rPr>
                <w:sz w:val="20"/>
                <w:szCs w:val="20"/>
                <w:color w:val="auto"/>
              </w:rPr>
            </w:pPr>
            <w:r>
              <w:rPr>
                <w:rFonts w:ascii="Arial" w:cs="Arial" w:eastAsia="Arial" w:hAnsi="Arial"/>
                <w:sz w:val="16"/>
                <w:szCs w:val="16"/>
                <w:b w:val="1"/>
                <w:bCs w:val="1"/>
                <w:color w:val="auto"/>
              </w:rPr>
              <w:t>ITEM NUMBER</w:t>
            </w:r>
          </w:p>
        </w:tc>
        <w:tc>
          <w:tcPr>
            <w:tcW w:w="3840" w:type="dxa"/>
            <w:vAlign w:val="bottom"/>
          </w:tcPr>
          <w:p>
            <w:pPr>
              <w:spacing w:after="0"/>
              <w:rPr>
                <w:sz w:val="16"/>
                <w:szCs w:val="16"/>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0F7C7F"/>
                <w:w w:val="99"/>
              </w:rPr>
              <w:t>Page</w:t>
            </w:r>
          </w:p>
        </w:tc>
      </w:tr>
      <w:tr>
        <w:trPr>
          <w:trHeight w:val="297"/>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9"/>
              </w:rPr>
              <w:t>PART I</w:t>
            </w:r>
          </w:p>
        </w:tc>
        <w:tc>
          <w:tcPr>
            <w:tcW w:w="3840" w:type="dxa"/>
            <w:vAlign w:val="bottom"/>
          </w:tcPr>
          <w:p>
            <w:pPr>
              <w:spacing w:after="0"/>
              <w:rPr>
                <w:sz w:val="24"/>
                <w:szCs w:val="24"/>
                <w:color w:val="auto"/>
              </w:rPr>
            </w:pPr>
          </w:p>
        </w:tc>
        <w:tc>
          <w:tcPr>
            <w:tcW w:w="22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6360" w:type="dxa"/>
            <w:vAlign w:val="bottom"/>
            <w:gridSpan w:val="10"/>
          </w:tcPr>
          <w:p>
            <w:pPr>
              <w:spacing w:after="0"/>
              <w:rPr>
                <w:sz w:val="20"/>
                <w:szCs w:val="20"/>
                <w:color w:val="auto"/>
              </w:rPr>
            </w:pPr>
            <w:r>
              <w:rPr>
                <w:rFonts w:ascii="Arial" w:cs="Arial" w:eastAsia="Arial" w:hAnsi="Arial"/>
                <w:sz w:val="16"/>
                <w:szCs w:val="16"/>
                <w:color w:val="0F7C7F"/>
              </w:rPr>
              <w:t>Financial Statements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w:t>
            </w:r>
          </w:p>
        </w:tc>
        <w:tc>
          <w:tcPr>
            <w:tcW w:w="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6360" w:type="dxa"/>
            <w:vAlign w:val="bottom"/>
            <w:gridSpan w:val="10"/>
          </w:tcPr>
          <w:p>
            <w:pPr>
              <w:spacing w:after="0"/>
              <w:rPr>
                <w:sz w:val="20"/>
                <w:szCs w:val="20"/>
                <w:color w:val="auto"/>
              </w:rPr>
            </w:pPr>
            <w:r>
              <w:rPr>
                <w:rFonts w:ascii="Arial" w:cs="Arial" w:eastAsia="Arial" w:hAnsi="Arial"/>
                <w:sz w:val="16"/>
                <w:szCs w:val="16"/>
                <w:color w:val="0F7C7F"/>
              </w:rPr>
              <w:t>Management’s Discussion and Analysis of Financial Condition and Results of Operations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21</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shd w:val="clear" w:color="auto" w:fill="0F7C7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240" w:type="dxa"/>
            <w:vAlign w:val="bottom"/>
            <w:gridSpan w:val="8"/>
          </w:tcPr>
          <w:p>
            <w:pPr>
              <w:spacing w:after="0"/>
              <w:rPr>
                <w:sz w:val="20"/>
                <w:szCs w:val="20"/>
                <w:color w:val="auto"/>
              </w:rPr>
            </w:pPr>
            <w:r>
              <w:rPr>
                <w:rFonts w:ascii="Arial" w:cs="Arial" w:eastAsia="Arial" w:hAnsi="Arial"/>
                <w:sz w:val="16"/>
                <w:szCs w:val="16"/>
                <w:color w:val="0F7C7F"/>
              </w:rPr>
              <w:t>Quantitative and Qualitative Disclosures About Market Risk</w:t>
            </w:r>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35</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4240" w:type="dxa"/>
            <w:vAlign w:val="bottom"/>
            <w:gridSpan w:val="8"/>
          </w:tcPr>
          <w:p>
            <w:pPr>
              <w:spacing w:after="0"/>
              <w:rPr>
                <w:sz w:val="20"/>
                <w:szCs w:val="20"/>
                <w:color w:val="auto"/>
              </w:rPr>
            </w:pPr>
            <w:r>
              <w:rPr>
                <w:rFonts w:ascii="Arial" w:cs="Arial" w:eastAsia="Arial" w:hAnsi="Arial"/>
                <w:sz w:val="16"/>
                <w:szCs w:val="16"/>
                <w:color w:val="0F7C7F"/>
              </w:rPr>
              <w:t>Controls and Procedures</w:t>
            </w:r>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35</w:t>
            </w:r>
          </w:p>
        </w:tc>
        <w:tc>
          <w:tcPr>
            <w:tcW w:w="40" w:type="dxa"/>
            <w:vAlign w:val="bottom"/>
          </w:tcPr>
          <w:p>
            <w:pPr>
              <w:spacing w:after="0"/>
              <w:rPr>
                <w:sz w:val="21"/>
                <w:szCs w:val="21"/>
                <w:color w:val="auto"/>
              </w:rPr>
            </w:pPr>
          </w:p>
        </w:tc>
      </w:tr>
      <w:tr>
        <w:trPr>
          <w:trHeight w:val="297"/>
        </w:trPr>
        <w:tc>
          <w:tcPr>
            <w:tcW w:w="600" w:type="dxa"/>
            <w:vAlign w:val="bottom"/>
          </w:tcPr>
          <w:p>
            <w:pPr>
              <w:spacing w:after="0"/>
              <w:rPr>
                <w:sz w:val="24"/>
                <w:szCs w:val="24"/>
                <w:color w:val="auto"/>
              </w:rPr>
            </w:pPr>
          </w:p>
        </w:tc>
        <w:tc>
          <w:tcPr>
            <w:tcW w:w="560" w:type="dxa"/>
            <w:vAlign w:val="bottom"/>
            <w:tcBorders>
              <w:top w:val="single" w:sz="8" w:color="0F7C7F"/>
            </w:tcBorders>
          </w:tcPr>
          <w:p>
            <w:pPr>
              <w:spacing w:after="0"/>
              <w:rPr>
                <w:sz w:val="24"/>
                <w:szCs w:val="24"/>
                <w:color w:val="auto"/>
              </w:rPr>
            </w:pPr>
          </w:p>
        </w:tc>
        <w:tc>
          <w:tcPr>
            <w:tcW w:w="200" w:type="dxa"/>
            <w:vAlign w:val="bottom"/>
            <w:tcBorders>
              <w:top w:val="single" w:sz="8" w:color="0F7C7F"/>
            </w:tcBorders>
          </w:tcPr>
          <w:p>
            <w:pPr>
              <w:spacing w:after="0"/>
              <w:rPr>
                <w:sz w:val="24"/>
                <w:szCs w:val="24"/>
                <w:color w:val="auto"/>
              </w:rPr>
            </w:pPr>
          </w:p>
        </w:tc>
        <w:tc>
          <w:tcPr>
            <w:tcW w:w="140" w:type="dxa"/>
            <w:vAlign w:val="bottom"/>
            <w:tcBorders>
              <w:top w:val="single" w:sz="8" w:color="0F7C7F"/>
            </w:tcBorders>
          </w:tcPr>
          <w:p>
            <w:pPr>
              <w:spacing w:after="0"/>
              <w:rPr>
                <w:sz w:val="24"/>
                <w:szCs w:val="24"/>
                <w:color w:val="auto"/>
              </w:rPr>
            </w:pPr>
          </w:p>
        </w:tc>
        <w:tc>
          <w:tcPr>
            <w:tcW w:w="36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60" w:type="dxa"/>
            <w:vAlign w:val="bottom"/>
            <w:tcBorders>
              <w:top w:val="single" w:sz="8" w:color="0F7C7F"/>
            </w:tcBorders>
          </w:tcPr>
          <w:p>
            <w:pPr>
              <w:spacing w:after="0"/>
              <w:rPr>
                <w:sz w:val="24"/>
                <w:szCs w:val="24"/>
                <w:color w:val="auto"/>
              </w:rPr>
            </w:pPr>
          </w:p>
        </w:tc>
        <w:tc>
          <w:tcPr>
            <w:tcW w:w="280" w:type="dxa"/>
            <w:vAlign w:val="bottom"/>
            <w:tcBorders>
              <w:top w:val="single" w:sz="8" w:color="0F7C7F"/>
            </w:tcBorders>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8"/>
              </w:rPr>
              <w:t>PART II</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1340" w:type="dxa"/>
            <w:vAlign w:val="bottom"/>
            <w:gridSpan w:val="5"/>
          </w:tcPr>
          <w:p>
            <w:pPr>
              <w:spacing w:after="0"/>
              <w:rPr>
                <w:sz w:val="20"/>
                <w:szCs w:val="20"/>
                <w:color w:val="auto"/>
              </w:rPr>
            </w:pPr>
            <w:r>
              <w:rPr>
                <w:rFonts w:ascii="Arial" w:cs="Arial" w:eastAsia="Arial" w:hAnsi="Arial"/>
                <w:sz w:val="16"/>
                <w:szCs w:val="16"/>
                <w:color w:val="0F7C7F"/>
                <w:w w:val="99"/>
              </w:rPr>
              <w:t>Legal Proceedings</w:t>
            </w:r>
          </w:p>
        </w:tc>
        <w:tc>
          <w:tcPr>
            <w:tcW w:w="5020" w:type="dxa"/>
            <w:vAlign w:val="bottom"/>
            <w:gridSpan w:val="5"/>
          </w:tcPr>
          <w:p>
            <w:pPr>
              <w:spacing w:after="0"/>
              <w:rPr>
                <w:sz w:val="19"/>
                <w:szCs w:val="19"/>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36</w:t>
            </w:r>
          </w:p>
        </w:tc>
        <w:tc>
          <w:tcPr>
            <w:tcW w:w="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1A.</w:t>
            </w:r>
          </w:p>
        </w:tc>
        <w:tc>
          <w:tcPr>
            <w:tcW w:w="900" w:type="dxa"/>
            <w:vAlign w:val="bottom"/>
            <w:gridSpan w:val="3"/>
          </w:tcPr>
          <w:p>
            <w:pPr>
              <w:spacing w:after="0"/>
              <w:rPr>
                <w:sz w:val="20"/>
                <w:szCs w:val="20"/>
                <w:color w:val="auto"/>
              </w:rPr>
            </w:pPr>
            <w:r>
              <w:rPr>
                <w:rFonts w:ascii="Arial" w:cs="Arial" w:eastAsia="Arial" w:hAnsi="Arial"/>
                <w:sz w:val="16"/>
                <w:szCs w:val="16"/>
                <w:color w:val="0F7C7F"/>
                <w:w w:val="98"/>
              </w:rPr>
              <w:t>Risk Factors</w:t>
            </w:r>
          </w:p>
        </w:tc>
        <w:tc>
          <w:tcPr>
            <w:tcW w:w="440" w:type="dxa"/>
            <w:vAlign w:val="bottom"/>
            <w:gridSpan w:val="2"/>
          </w:tcPr>
          <w:p>
            <w:pPr>
              <w:spacing w:after="0"/>
              <w:rPr>
                <w:sz w:val="21"/>
                <w:szCs w:val="21"/>
                <w:color w:val="auto"/>
              </w:rPr>
            </w:pPr>
          </w:p>
        </w:tc>
        <w:tc>
          <w:tcPr>
            <w:tcW w:w="5020" w:type="dxa"/>
            <w:vAlign w:val="bottom"/>
            <w:gridSpan w:val="5"/>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36</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4360" w:type="dxa"/>
            <w:vAlign w:val="bottom"/>
            <w:gridSpan w:val="9"/>
          </w:tcPr>
          <w:p>
            <w:pPr>
              <w:spacing w:after="0"/>
              <w:rPr>
                <w:sz w:val="20"/>
                <w:szCs w:val="20"/>
                <w:color w:val="auto"/>
              </w:rPr>
            </w:pPr>
            <w:r>
              <w:rPr>
                <w:rFonts w:ascii="Arial" w:cs="Arial" w:eastAsia="Arial" w:hAnsi="Arial"/>
                <w:sz w:val="16"/>
                <w:szCs w:val="16"/>
                <w:color w:val="0F7C7F"/>
              </w:rPr>
              <w:t>Unregistered Sales of Equity Securities and Use of Proceeds</w:t>
            </w:r>
          </w:p>
        </w:tc>
        <w:tc>
          <w:tcPr>
            <w:tcW w:w="2000" w:type="dxa"/>
            <w:vAlign w:val="bottom"/>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36</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360" w:type="dxa"/>
            <w:vAlign w:val="bottom"/>
            <w:gridSpan w:val="9"/>
          </w:tcPr>
          <w:p>
            <w:pPr>
              <w:spacing w:after="0"/>
              <w:rPr>
                <w:sz w:val="20"/>
                <w:szCs w:val="20"/>
                <w:color w:val="auto"/>
              </w:rPr>
            </w:pPr>
            <w:r>
              <w:rPr>
                <w:rFonts w:ascii="Arial" w:cs="Arial" w:eastAsia="Arial" w:hAnsi="Arial"/>
                <w:sz w:val="16"/>
                <w:szCs w:val="16"/>
                <w:color w:val="auto"/>
              </w:rPr>
              <w:t>Defaults Upon Senior Securities</w:t>
            </w:r>
          </w:p>
        </w:tc>
        <w:tc>
          <w:tcPr>
            <w:tcW w:w="2000" w:type="dxa"/>
            <w:vAlign w:val="bottom"/>
          </w:tcPr>
          <w:p>
            <w:pPr>
              <w:spacing w:after="0"/>
              <w:rPr>
                <w:sz w:val="24"/>
                <w:szCs w:val="24"/>
                <w:color w:val="auto"/>
              </w:rPr>
            </w:pP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6360" w:type="dxa"/>
            <w:vAlign w:val="bottom"/>
            <w:gridSpan w:val="10"/>
          </w:tcPr>
          <w:p>
            <w:pPr>
              <w:spacing w:after="0"/>
              <w:rPr>
                <w:sz w:val="20"/>
                <w:szCs w:val="20"/>
                <w:color w:val="auto"/>
              </w:rPr>
            </w:pPr>
            <w:r>
              <w:rPr>
                <w:rFonts w:ascii="Arial" w:cs="Arial" w:eastAsia="Arial" w:hAnsi="Arial"/>
                <w:sz w:val="16"/>
                <w:szCs w:val="16"/>
                <w:color w:val="auto"/>
              </w:rPr>
              <w:t>Mine Safety Disclosures</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32"/>
        </w:trPr>
        <w:tc>
          <w:tcPr>
            <w:tcW w:w="600" w:type="dxa"/>
            <w:vAlign w:val="bottom"/>
          </w:tcPr>
          <w:p>
            <w:pPr>
              <w:ind w:left="20"/>
              <w:spacing w:after="0"/>
              <w:rPr>
                <w:sz w:val="20"/>
                <w:szCs w:val="20"/>
                <w:color w:val="auto"/>
              </w:rPr>
            </w:pPr>
            <w:r>
              <w:rPr>
                <w:rFonts w:ascii="Arial" w:cs="Arial" w:eastAsia="Arial" w:hAnsi="Arial"/>
                <w:sz w:val="16"/>
                <w:szCs w:val="16"/>
                <w:color w:val="auto"/>
              </w:rPr>
              <w:t>5.</w:t>
            </w:r>
          </w:p>
        </w:tc>
        <w:tc>
          <w:tcPr>
            <w:tcW w:w="1260" w:type="dxa"/>
            <w:vAlign w:val="bottom"/>
            <w:gridSpan w:val="4"/>
          </w:tcPr>
          <w:p>
            <w:pPr>
              <w:spacing w:after="0"/>
              <w:rPr>
                <w:sz w:val="20"/>
                <w:szCs w:val="20"/>
                <w:color w:val="auto"/>
              </w:rPr>
            </w:pPr>
            <w:r>
              <w:rPr>
                <w:rFonts w:ascii="Arial" w:cs="Arial" w:eastAsia="Arial" w:hAnsi="Arial"/>
                <w:sz w:val="16"/>
                <w:szCs w:val="16"/>
                <w:color w:val="0F7C7F"/>
                <w:w w:val="99"/>
              </w:rPr>
              <w:t>Other Information</w:t>
            </w:r>
          </w:p>
        </w:tc>
        <w:tc>
          <w:tcPr>
            <w:tcW w:w="5100" w:type="dxa"/>
            <w:vAlign w:val="bottom"/>
            <w:gridSpan w:val="6"/>
          </w:tcPr>
          <w:p>
            <w:pPr>
              <w:spacing w:after="0"/>
              <w:rPr>
                <w:sz w:val="20"/>
                <w:szCs w:val="20"/>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36</w:t>
            </w:r>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500" w:type="dxa"/>
            <w:vAlign w:val="bottom"/>
            <w:gridSpan w:val="2"/>
            <w:shd w:val="clear" w:color="auto" w:fill="0F7C7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20"/>
                <w:szCs w:val="20"/>
                <w:color w:val="auto"/>
              </w:rPr>
            </w:pPr>
            <w:r>
              <w:rPr>
                <w:rFonts w:ascii="Arial" w:cs="Arial" w:eastAsia="Arial" w:hAnsi="Arial"/>
                <w:sz w:val="16"/>
                <w:szCs w:val="16"/>
                <w:color w:val="0F7C7F"/>
                <w:w w:val="96"/>
              </w:rPr>
              <w:t>Exhibits</w:t>
            </w:r>
          </w:p>
        </w:tc>
        <w:tc>
          <w:tcPr>
            <w:tcW w:w="700" w:type="dxa"/>
            <w:vAlign w:val="bottom"/>
            <w:gridSpan w:val="3"/>
          </w:tcPr>
          <w:p>
            <w:pPr>
              <w:spacing w:after="0"/>
              <w:rPr>
                <w:sz w:val="21"/>
                <w:szCs w:val="21"/>
                <w:color w:val="auto"/>
              </w:rPr>
            </w:pPr>
          </w:p>
        </w:tc>
        <w:tc>
          <w:tcPr>
            <w:tcW w:w="5100" w:type="dxa"/>
            <w:vAlign w:val="bottom"/>
            <w:gridSpan w:val="6"/>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37</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6360" w:type="dxa"/>
            <w:vAlign w:val="bottom"/>
            <w:gridSpan w:val="10"/>
          </w:tcPr>
          <w:p>
            <w:pPr>
              <w:spacing w:after="0"/>
              <w:rPr>
                <w:sz w:val="20"/>
                <w:szCs w:val="20"/>
                <w:color w:val="auto"/>
              </w:rPr>
            </w:pPr>
            <w:r>
              <w:rPr>
                <w:rFonts w:ascii="Arial" w:cs="Arial" w:eastAsia="Arial" w:hAnsi="Arial"/>
                <w:sz w:val="16"/>
                <w:szCs w:val="16"/>
                <w:color w:val="0F7C7F"/>
              </w:rPr>
              <w:t>Signatures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38</w:t>
            </w:r>
          </w:p>
        </w:tc>
        <w:tc>
          <w:tcPr>
            <w:tcW w:w="40" w:type="dxa"/>
            <w:vAlign w:val="bottom"/>
          </w:tcPr>
          <w:p>
            <w:pPr>
              <w:spacing w:after="0"/>
              <w:rPr>
                <w:sz w:val="21"/>
                <w:szCs w:val="21"/>
                <w:color w:val="auto"/>
              </w:rPr>
            </w:pPr>
          </w:p>
        </w:tc>
      </w:tr>
      <w:tr>
        <w:trPr>
          <w:trHeight w:val="1566"/>
        </w:trPr>
        <w:tc>
          <w:tcPr>
            <w:tcW w:w="600" w:type="dxa"/>
            <w:vAlign w:val="bottom"/>
            <w:tcBorders>
              <w:bottom w:val="single" w:sz="8" w:color="9A9A9A"/>
            </w:tcBorders>
          </w:tcPr>
          <w:p>
            <w:pPr>
              <w:spacing w:after="0"/>
              <w:rPr>
                <w:sz w:val="24"/>
                <w:szCs w:val="24"/>
                <w:color w:val="auto"/>
              </w:rPr>
            </w:pPr>
          </w:p>
        </w:tc>
        <w:tc>
          <w:tcPr>
            <w:tcW w:w="560" w:type="dxa"/>
            <w:vAlign w:val="bottom"/>
            <w:tcBorders>
              <w:top w:val="single" w:sz="8" w:color="0F7C7F"/>
              <w:bottom w:val="single" w:sz="8" w:color="9A9A9A"/>
            </w:tcBorders>
          </w:tcPr>
          <w:p>
            <w:pPr>
              <w:spacing w:after="0"/>
              <w:rPr>
                <w:sz w:val="24"/>
                <w:szCs w:val="24"/>
                <w:color w:val="auto"/>
              </w:rPr>
            </w:pPr>
          </w:p>
        </w:tc>
        <w:tc>
          <w:tcPr>
            <w:tcW w:w="200" w:type="dxa"/>
            <w:vAlign w:val="bottom"/>
            <w:tcBorders>
              <w:top w:val="single" w:sz="8" w:color="0F7C7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top w:val="single" w:sz="8" w:color="0F7C7F"/>
              <w:bottom w:val="single" w:sz="8" w:color="9A9A9A"/>
            </w:tcBorders>
          </w:tcPr>
          <w:p>
            <w:pPr>
              <w:spacing w:after="0"/>
              <w:rPr>
                <w:sz w:val="24"/>
                <w:szCs w:val="24"/>
                <w:color w:val="auto"/>
              </w:rPr>
            </w:pPr>
          </w:p>
        </w:tc>
        <w:tc>
          <w:tcPr>
            <w:tcW w:w="10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r>
      <w:tr>
        <w:trPr>
          <w:trHeight w:val="188"/>
        </w:trPr>
        <w:tc>
          <w:tcPr>
            <w:tcW w:w="4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6"/>
          </w:tcPr>
          <w:p>
            <w:pPr>
              <w:ind w:left="240"/>
              <w:spacing w:after="0"/>
              <w:rPr>
                <w:sz w:val="20"/>
                <w:szCs w:val="20"/>
                <w:color w:val="auto"/>
              </w:rPr>
            </w:pPr>
            <w:r>
              <w:rPr>
                <w:rFonts w:ascii="Arial" w:cs="Arial" w:eastAsia="Arial" w:hAnsi="Arial"/>
                <w:sz w:val="14"/>
                <w:szCs w:val="14"/>
                <w:b w:val="1"/>
                <w:bCs w:val="1"/>
                <w:color w:val="auto"/>
              </w:rPr>
              <w:t>(In millions, except per-share amounts)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5"/>
        </w:trPr>
        <w:tc>
          <w:tcPr>
            <w:tcW w:w="4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9,446</w:t>
            </w:r>
          </w:p>
        </w:tc>
        <w:tc>
          <w:tcPr>
            <w:tcW w:w="120" w:type="dxa"/>
            <w:vAlign w:val="bottom"/>
          </w:tcPr>
          <w:p>
            <w:pPr>
              <w:spacing w:after="0"/>
              <w:rPr>
                <w:sz w:val="18"/>
                <w:szCs w:val="18"/>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8,042</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18,950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15,927</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Investment income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9"/>
        </w:trPr>
        <w:tc>
          <w:tcPr>
            <w:tcW w:w="48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9,880</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16,476</w:t>
            </w:r>
          </w:p>
        </w:tc>
      </w:tr>
      <w:tr>
        <w:trPr>
          <w:trHeight w:val="19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8,368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13,909</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Premium tax expenses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5"/>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10"/>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9,446</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18,951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15,578</w:t>
            </w:r>
          </w:p>
        </w:tc>
      </w:tr>
      <w:tr>
        <w:trPr>
          <w:trHeight w:val="20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w:t>
            </w:r>
          </w:p>
        </w:tc>
      </w:tr>
      <w:tr>
        <w:trPr>
          <w:trHeight w:val="210"/>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9"/>
        </w:trPr>
        <w:tc>
          <w:tcPr>
            <w:tcW w:w="48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843</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10"/>
        </w:trPr>
        <w:tc>
          <w:tcPr>
            <w:tcW w:w="4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8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COMPREHENSIVE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00" w:type="dxa"/>
            <w:vAlign w:val="bottom"/>
          </w:tcPr>
          <w:p>
            <w:pPr>
              <w:spacing w:after="0"/>
              <w:rPr>
                <w:sz w:val="17"/>
                <w:szCs w:val="17"/>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r>
      <w:tr>
        <w:trPr>
          <w:trHeight w:val="188"/>
        </w:trPr>
        <w:tc>
          <w:tcPr>
            <w:tcW w:w="4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309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Other comprehensive (loss) gain:</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gain (loss)</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4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(loss) gain, net of tax</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48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288</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r>
      <w:tr>
        <w:trPr>
          <w:trHeight w:val="20"/>
        </w:trPr>
        <w:tc>
          <w:tcPr>
            <w:tcW w:w="4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BALANCE SHEETS</w:t>
      </w:r>
    </w:p>
    <w:p>
      <w:pPr>
        <w:spacing w:after="0" w:line="37" w:lineRule="exact"/>
        <w:rPr>
          <w:sz w:val="20"/>
          <w:szCs w:val="20"/>
          <w:color w:val="auto"/>
        </w:rPr>
      </w:pPr>
    </w:p>
    <w:tbl>
      <w:tblPr>
        <w:tblLayout w:type="fixed"/>
        <w:tblInd w:w="8220" w:type="dxa"/>
        <w:tblCellMar>
          <w:top w:w="0" w:type="dxa"/>
          <w:left w:w="0" w:type="dxa"/>
          <w:bottom w:w="0" w:type="dxa"/>
          <w:right w:w="0" w:type="dxa"/>
        </w:tblCellMar>
      </w:tblPr>
      <w:tr>
        <w:trPr>
          <w:trHeight w:val="161"/>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June 30,</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r>
    </w:tbl>
    <w:p>
      <w:pPr>
        <w:spacing w:after="0" w:line="32"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right="380" w:hanging="80"/>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r>
      <w:tr>
        <w:trPr>
          <w:trHeight w:val="189"/>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per-share amounts)</w:t>
            </w:r>
          </w:p>
        </w:tc>
        <w:tc>
          <w:tcPr>
            <w:tcW w:w="580" w:type="dxa"/>
            <w:vAlign w:val="bottom"/>
          </w:tcPr>
          <w:p>
            <w:pPr>
              <w:spacing w:after="0"/>
              <w:rPr>
                <w:sz w:val="16"/>
                <w:szCs w:val="16"/>
                <w:color w:val="auto"/>
              </w:rPr>
            </w:pPr>
          </w:p>
        </w:tc>
      </w:tr>
      <w:tr>
        <w:trPr>
          <w:trHeight w:val="196"/>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4"/>
        </w:trPr>
        <w:tc>
          <w:tcPr>
            <w:tcW w:w="3160" w:type="dxa"/>
            <w:vAlign w:val="bottom"/>
            <w:gridSpan w:val="2"/>
          </w:tcPr>
          <w:p>
            <w:pPr>
              <w:jc w:val="right"/>
              <w:ind w:right="2419"/>
              <w:spacing w:after="0"/>
              <w:rPr>
                <w:sz w:val="20"/>
                <w:szCs w:val="20"/>
                <w:color w:val="auto"/>
              </w:rPr>
            </w:pPr>
            <w:r>
              <w:rPr>
                <w:rFonts w:ascii="Arial" w:cs="Arial" w:eastAsia="Arial" w:hAnsi="Arial"/>
                <w:sz w:val="16"/>
                <w:szCs w:val="16"/>
                <w:b w:val="1"/>
                <w:bCs w:val="1"/>
                <w:color w:val="auto"/>
                <w:w w:val="99"/>
              </w:rPr>
              <w:t>ASSETS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4"/>
        </w:trPr>
        <w:tc>
          <w:tcPr>
            <w:tcW w:w="31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4,354</w:t>
            </w:r>
          </w:p>
        </w:tc>
        <w:tc>
          <w:tcPr>
            <w:tcW w:w="100" w:type="dxa"/>
            <w:vAlign w:val="bottom"/>
          </w:tcPr>
          <w:p>
            <w:pPr>
              <w:spacing w:after="0"/>
              <w:rPr>
                <w:sz w:val="24"/>
                <w:szCs w:val="24"/>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4,848</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4,347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4,259</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3,231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3,104</w:t>
            </w:r>
          </w:p>
        </w:tc>
      </w:tr>
      <w:tr>
        <w:trPr>
          <w:trHeight w:val="217"/>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r>
      <w:tr>
        <w:trPr>
          <w:trHeight w:val="209"/>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12,331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12,542</w:t>
            </w:r>
          </w:p>
        </w:tc>
      </w:tr>
      <w:tr>
        <w:trPr>
          <w:trHeight w:val="215"/>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1,913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1,449</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7"/>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10"/>
        </w:trPr>
        <w:tc>
          <w:tcPr>
            <w:tcW w:w="29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15,185</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14,892</w:t>
            </w:r>
          </w:p>
        </w:tc>
      </w:tr>
      <w:tr>
        <w:trPr>
          <w:trHeight w:val="21"/>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-1833880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-1559560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-1285240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-1010920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-728345</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-453390</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151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-115570</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3620" w:space="280"/>
            <w:col w:w="73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w:t>
            </w: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2,294</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liabilities and other</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revenue</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8,168</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2,180</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10,677</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Common stock, $0.001 par value, 150 million shares authorized; outstanding: 59 million shares at June 30,</w:t>
            </w:r>
          </w:p>
        </w:tc>
        <w:tc>
          <w:tcPr>
            <w:tcW w:w="4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2024 and 58 million at December 31, 2023</w:t>
            </w:r>
          </w:p>
        </w:tc>
        <w:tc>
          <w:tcPr>
            <w:tcW w:w="4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3,887</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STOCKHOLDERS’ EQUITY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280" w:type="dxa"/>
            <w:vAlign w:val="bottom"/>
            <w:gridSpan w:val="7"/>
          </w:tcPr>
          <w:p>
            <w:pPr>
              <w:ind w:left="5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00" w:type="dxa"/>
            <w:vAlign w:val="bottom"/>
          </w:tcPr>
          <w:p>
            <w:pPr>
              <w:jc w:val="center"/>
              <w:ind w:right="42"/>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ind w:right="22"/>
              <w:spacing w:after="0" w:line="13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vMerge w:val="restart"/>
          </w:tcPr>
          <w:p>
            <w:pPr>
              <w:jc w:val="center"/>
              <w:ind w:left="427"/>
              <w:spacing w:after="0" w:line="139" w:lineRule="exact"/>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4"/>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800" w:type="dxa"/>
            <w:vAlign w:val="bottom"/>
          </w:tcPr>
          <w:p>
            <w:pPr>
              <w:spacing w:after="0"/>
              <w:rPr>
                <w:sz w:val="5"/>
                <w:szCs w:val="5"/>
                <w:color w:val="auto"/>
              </w:rPr>
            </w:pPr>
          </w:p>
        </w:tc>
        <w:tc>
          <w:tcPr>
            <w:tcW w:w="11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Outstanding</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gridSpan w:val="2"/>
            <w:vMerge w:val="restart"/>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6"/>
          </w:tcPr>
          <w:p>
            <w:pPr>
              <w:jc w:val="right"/>
              <w:ind w:right="267"/>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gridSpan w:val="5"/>
          </w:tcPr>
          <w:p>
            <w:pPr>
              <w:jc w:val="right"/>
              <w:ind w:right="267"/>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4"/>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140" w:type="dxa"/>
            <w:vAlign w:val="bottom"/>
            <w:gridSpan w:val="5"/>
            <w:shd w:val="clear" w:color="auto" w:fill="CCEEFF"/>
          </w:tcPr>
          <w:p>
            <w:pPr>
              <w:jc w:val="right"/>
              <w:ind w:right="827"/>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4"/>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2024</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4,493</w:t>
            </w: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4"/>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Balance at June 30, 2024</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4,489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4,843</w:t>
            </w:r>
          </w:p>
        </w:tc>
        <w:tc>
          <w:tcPr>
            <w:tcW w:w="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1"/>
        </w:trPr>
        <w:tc>
          <w:tcPr>
            <w:tcW w:w="3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00" w:type="dxa"/>
            <w:vAlign w:val="bottom"/>
          </w:tcPr>
          <w:p>
            <w:pPr>
              <w:spacing w:after="0"/>
              <w:rPr>
                <w:sz w:val="13"/>
                <w:szCs w:val="13"/>
                <w:color w:val="auto"/>
              </w:rPr>
            </w:pPr>
          </w:p>
        </w:tc>
        <w:tc>
          <w:tcPr>
            <w:tcW w:w="2280" w:type="dxa"/>
            <w:vAlign w:val="bottom"/>
            <w:gridSpan w:val="7"/>
          </w:tcPr>
          <w:p>
            <w:pPr>
              <w:ind w:left="560"/>
              <w:spacing w:after="0" w:line="158"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900" w:type="dxa"/>
            <w:vAlign w:val="bottom"/>
          </w:tcPr>
          <w:p>
            <w:pPr>
              <w:jc w:val="center"/>
              <w:ind w:right="42"/>
              <w:spacing w:after="0" w:line="158"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center"/>
              <w:ind w:left="387"/>
              <w:spacing w:after="0" w:line="158" w:lineRule="exact"/>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ind w:right="62"/>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0" w:type="dxa"/>
            <w:vAlign w:val="bottom"/>
            <w:gridSpan w:val="4"/>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4"/>
                <w:szCs w:val="4"/>
                <w:color w:val="auto"/>
              </w:rPr>
            </w:pPr>
          </w:p>
        </w:tc>
        <w:tc>
          <w:tcPr>
            <w:tcW w:w="1040" w:type="dxa"/>
            <w:vAlign w:val="bottom"/>
            <w:gridSpan w:val="4"/>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800" w:type="dxa"/>
            <w:vAlign w:val="bottom"/>
          </w:tcPr>
          <w:p>
            <w:pPr>
              <w:spacing w:after="0"/>
              <w:rPr>
                <w:sz w:val="5"/>
                <w:szCs w:val="5"/>
                <w:color w:val="auto"/>
              </w:rPr>
            </w:pPr>
          </w:p>
        </w:tc>
        <w:tc>
          <w:tcPr>
            <w:tcW w:w="11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Outstanding</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gridSpan w:val="2"/>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left="387"/>
              <w:spacing w:after="0"/>
              <w:rPr>
                <w:sz w:val="20"/>
                <w:szCs w:val="20"/>
                <w:color w:val="auto"/>
              </w:rPr>
            </w:pPr>
            <w:r>
              <w:rPr>
                <w:rFonts w:ascii="Arial" w:cs="Arial" w:eastAsia="Arial" w:hAnsi="Arial"/>
                <w:sz w:val="14"/>
                <w:szCs w:val="14"/>
                <w:b w:val="1"/>
                <w:bCs w:val="1"/>
                <w:color w:val="auto"/>
              </w:rPr>
              <w:t>Loss</w:t>
            </w:r>
          </w:p>
        </w:tc>
        <w:tc>
          <w:tcPr>
            <w:tcW w:w="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6"/>
          </w:tcPr>
          <w:p>
            <w:pPr>
              <w:jc w:val="right"/>
              <w:ind w:right="287"/>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6"/>
          </w:tcPr>
          <w:p>
            <w:pPr>
              <w:jc w:val="right"/>
              <w:ind w:right="287"/>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140" w:type="dxa"/>
            <w:vAlign w:val="bottom"/>
            <w:gridSpan w:val="5"/>
            <w:shd w:val="clear" w:color="auto" w:fill="CCEEFF"/>
          </w:tcPr>
          <w:p>
            <w:pPr>
              <w:jc w:val="right"/>
              <w:ind w:right="827"/>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4"/>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4"/>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2023</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4"/>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4"/>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20" w:type="dxa"/>
            <w:vAlign w:val="bottom"/>
            <w:tcBorders>
              <w:top w:val="single" w:sz="8" w:color="auto"/>
              <w:bottom w:val="single" w:sz="8" w:color="auto"/>
            </w:tcBorders>
            <w:gridSpan w:val="2"/>
            <w:shd w:val="clear" w:color="auto" w:fill="CCEEFF"/>
          </w:tcPr>
          <w:p>
            <w:pPr>
              <w:jc w:val="right"/>
              <w:ind w:right="827"/>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3,426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2640" w:type="dxa"/>
            <w:vAlign w:val="bottom"/>
            <w:tcBorders>
              <w:bottom w:val="single" w:sz="8" w:color="auto"/>
            </w:tcBorders>
            <w:gridSpan w:val="4"/>
          </w:tcPr>
          <w:p>
            <w:pPr>
              <w:jc w:val="center"/>
              <w:ind w:left="464"/>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7"/>
                <w:szCs w:val="17"/>
                <w:color w:val="auto"/>
              </w:rPr>
            </w:pPr>
          </w:p>
        </w:tc>
      </w:tr>
      <w:tr>
        <w:trPr>
          <w:trHeight w:val="196"/>
        </w:trPr>
        <w:tc>
          <w:tcPr>
            <w:tcW w:w="80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r>
      <w:tr>
        <w:trPr>
          <w:trHeight w:val="188"/>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gridSpan w:val="3"/>
          </w:tcPr>
          <w:p>
            <w:pPr>
              <w:jc w:val="center"/>
              <w:ind w:right="36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r>
      <w:tr>
        <w:trPr>
          <w:trHeight w:val="185"/>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gridSpan w:val="3"/>
          </w:tcPr>
          <w:p>
            <w:pPr>
              <w:jc w:val="center"/>
              <w:ind w:right="382"/>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6"/>
                <w:szCs w:val="16"/>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Medical claims and benefits payable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Amounts due government agencies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0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provided by operating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w:t>
            </w:r>
          </w:p>
        </w:tc>
      </w:tr>
      <w:tr>
        <w:trPr>
          <w:trHeight w:val="19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(924)</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Net cash paid in business combinations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5"/>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5"/>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9"/>
        </w:trPr>
        <w:tc>
          <w:tcPr>
            <w:tcW w:w="8020" w:type="dxa"/>
            <w:vAlign w:val="bottom"/>
          </w:tcPr>
          <w:p>
            <w:pPr>
              <w:ind w:left="60"/>
              <w:spacing w:after="0"/>
              <w:rPr>
                <w:sz w:val="20"/>
                <w:szCs w:val="20"/>
                <w:color w:val="auto"/>
              </w:rPr>
            </w:pPr>
            <w:r>
              <w:rPr>
                <w:rFonts w:ascii="Arial" w:cs="Arial" w:eastAsia="Arial" w:hAnsi="Arial"/>
                <w:sz w:val="16"/>
                <w:szCs w:val="16"/>
                <w:color w:val="auto"/>
              </w:rPr>
              <w:t>Net (decrease) increase in cash, cash equivalents, and restricted cash and cash equivalents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909</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4,908</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4,048</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4,418</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4,957</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NOTES TO CONSOLIDATED FINANCIAL STATEMENTS (UNAUDITED)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JUNE 30, 2024</w:t>
      </w:r>
    </w:p>
    <w:p>
      <w:pPr>
        <w:spacing w:after="0" w:line="360" w:lineRule="exact"/>
        <w:rPr>
          <w:sz w:val="20"/>
          <w:szCs w:val="20"/>
          <w:color w:val="auto"/>
        </w:rPr>
      </w:pPr>
    </w:p>
    <w:p>
      <w:pPr>
        <w:ind w:right="7680" w:firstLine="8"/>
        <w:spacing w:after="0" w:line="397" w:lineRule="auto"/>
        <w:tabs>
          <w:tab w:leader="none" w:pos="200" w:val="left"/>
        </w:tabs>
        <w:numPr>
          <w:ilvl w:val="0"/>
          <w:numId w:val="3"/>
        </w:numPr>
        <w:rPr>
          <w:rFonts w:ascii="Arial" w:cs="Arial" w:eastAsia="Arial" w:hAnsi="Arial"/>
          <w:sz w:val="17"/>
          <w:szCs w:val="17"/>
          <w:b w:val="1"/>
          <w:bCs w:val="1"/>
          <w:color w:val="828282"/>
        </w:rPr>
      </w:pPr>
      <w:r>
        <w:rPr>
          <w:rFonts w:ascii="Arial" w:cs="Arial" w:eastAsia="Arial" w:hAnsi="Arial"/>
          <w:sz w:val="17"/>
          <w:szCs w:val="17"/>
          <w:b w:val="1"/>
          <w:bCs w:val="1"/>
          <w:color w:val="828282"/>
        </w:rPr>
        <w:t xml:space="preserve">Organization and Basis of Presentation </w:t>
      </w:r>
      <w:r>
        <w:rPr>
          <w:rFonts w:ascii="Arial" w:cs="Arial" w:eastAsia="Arial" w:hAnsi="Arial"/>
          <w:sz w:val="17"/>
          <w:szCs w:val="17"/>
          <w:b w:val="1"/>
          <w:bCs w:val="1"/>
          <w:i w:val="1"/>
          <w:iCs w:val="1"/>
          <w:color w:val="000000"/>
        </w:rPr>
        <w:t>Organization and Operations</w:t>
      </w:r>
    </w:p>
    <w:p>
      <w:pPr>
        <w:spacing w:after="0" w:line="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June 30, 2024, we served approximately 5.6 million members eligible for government-sponsored healthcare programs, located across 21 states.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6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6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Medicare, we enter into Medicare Advantage-Part D contracts with the Centers for Medicare and Medicaid Services (“CMS”) annually, and for dual-eligible programs, we enter into contracts with CMS, in partnership with each state’s department of health and human services. Such contracts typically have terms of one to three years.</w:t>
      </w:r>
    </w:p>
    <w:p>
      <w:pPr>
        <w:spacing w:after="0" w:line="63" w:lineRule="exact"/>
        <w:rPr>
          <w:sz w:val="20"/>
          <w:szCs w:val="20"/>
          <w:color w:val="auto"/>
        </w:rPr>
      </w:pPr>
    </w:p>
    <w:p>
      <w:pPr>
        <w:ind w:right="1420"/>
        <w:spacing w:after="0" w:line="375" w:lineRule="auto"/>
        <w:rPr>
          <w:sz w:val="20"/>
          <w:szCs w:val="20"/>
          <w:color w:val="auto"/>
        </w:rPr>
      </w:pPr>
      <w:r>
        <w:rPr>
          <w:rFonts w:ascii="Arial" w:cs="Arial" w:eastAsia="Arial" w:hAnsi="Arial"/>
          <w:sz w:val="18"/>
          <w:szCs w:val="18"/>
          <w:color w:val="auto"/>
        </w:rPr>
        <w:t xml:space="preserve">In Marketplace, we enter into contracts with CMS, which end on December 31 of each year, and must be renewed annually. </w:t>
      </w:r>
      <w:r>
        <w:rPr>
          <w:rFonts w:ascii="Arial" w:cs="Arial" w:eastAsia="Arial" w:hAnsi="Arial"/>
          <w:sz w:val="18"/>
          <w:szCs w:val="18"/>
          <w:b w:val="1"/>
          <w:bCs w:val="1"/>
          <w:i w:val="1"/>
          <w:iCs w:val="1"/>
          <w:color w:val="auto"/>
        </w:rPr>
        <w:t>Recent Developments</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Connecticut Acquisition—Marketplace and Medicare. </w:t>
      </w:r>
      <w:r>
        <w:rPr>
          <w:rFonts w:ascii="Arial" w:cs="Arial" w:eastAsia="Arial" w:hAnsi="Arial"/>
          <w:sz w:val="18"/>
          <w:szCs w:val="18"/>
          <w:color w:val="auto"/>
        </w:rPr>
        <w:t>On July 23, 2024, we announced a definitive agreement to acquire ConnectiCare</w:t>
      </w:r>
      <w:r>
        <w:rPr>
          <w:rFonts w:ascii="Arial" w:cs="Arial" w:eastAsia="Arial" w:hAnsi="Arial"/>
          <w:sz w:val="18"/>
          <w:szCs w:val="18"/>
          <w:i w:val="1"/>
          <w:iCs w:val="1"/>
          <w:color w:val="auto"/>
        </w:rPr>
        <w:t xml:space="preserve"> </w:t>
      </w:r>
      <w:r>
        <w:rPr>
          <w:rFonts w:ascii="Arial" w:cs="Arial" w:eastAsia="Arial" w:hAnsi="Arial"/>
          <w:sz w:val="18"/>
          <w:szCs w:val="18"/>
          <w:color w:val="auto"/>
        </w:rPr>
        <w:t>Holding Company, Inc. (“ConnectiCare”), a wholly owned subsidiary of EmblemHealth, Inc. ConnectiCare is a leading health plan in the state of Connecticut serving approximately 140,000 members across Marketplace, Medicare, and certain commercial products as of June 30, 2024. The purchase price for the transaction is approximately $350 million, which we intend to fund with cash on hand. The transaction is subject to applicable federal and state regulatory approvals and the satisfaction of other customary closing conditions. We currently expect the transaction to close in the first half of 2025.</w:t>
      </w:r>
    </w:p>
    <w:p>
      <w:pPr>
        <w:spacing w:after="0" w:line="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Florida Procurement—Medicaid. </w:t>
      </w:r>
      <w:r>
        <w:rPr>
          <w:rFonts w:ascii="Arial" w:cs="Arial" w:eastAsia="Arial" w:hAnsi="Arial"/>
          <w:sz w:val="18"/>
          <w:szCs w:val="18"/>
          <w:color w:val="auto"/>
        </w:rPr>
        <w:t>In July 2024, we were notified that the Florida Agency for Healthcare Administration awarded a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managed care contract to Molina Healthcare of Florida. The contract term is expected to commence on January 1, 2025, and to run through December 31, 2030. We expect to serve approximately 90,000 Medicaid beneficiaries in Miami-Dade and Monroe Counties.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New Mexico Procurement—Medicaid. </w:t>
      </w:r>
      <w:r>
        <w:rPr>
          <w:rFonts w:ascii="Arial" w:cs="Arial" w:eastAsia="Arial" w:hAnsi="Arial"/>
          <w:sz w:val="18"/>
          <w:szCs w:val="18"/>
          <w:color w:val="auto"/>
        </w:rPr>
        <w:t>Our new contract with the New Mexico Health Care Authority commenced on July 1, 2024 and will run</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December 31, 2026. The new contract added approximately 33,000 members.</w:t>
      </w:r>
    </w:p>
    <w:p>
      <w:pPr>
        <w:spacing w:after="0" w:line="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Wisconsin Procurement—Medicaid. </w:t>
      </w:r>
      <w:r>
        <w:rPr>
          <w:rFonts w:ascii="Arial" w:cs="Arial" w:eastAsia="Arial" w:hAnsi="Arial"/>
          <w:sz w:val="18"/>
          <w:szCs w:val="18"/>
          <w:color w:val="auto"/>
        </w:rPr>
        <w:t>In May 2024, we were notified that the Wisconsin Department of Health Services intends to make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for the purchase of services under the Family Care and Family Care Partnership program in its Geographic Service Region 5 to Molina Healthcare of Wisconsin. The go-live date is expected to be January 1, 2025, and the contract is expected to have a duration of two years, with an option for three two-year extensions. Additionally, we were re-awarded our sole contract position in the self-directed long-term services and supports personal care program.</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color w:val="auto"/>
        </w:rPr>
        <w:t xml:space="preserve">Michigan Procurement—Medicaid. </w:t>
      </w:r>
      <w:r>
        <w:rPr>
          <w:rFonts w:ascii="Arial" w:cs="Arial" w:eastAsia="Arial" w:hAnsi="Arial"/>
          <w:sz w:val="18"/>
          <w:szCs w:val="18"/>
          <w:color w:val="auto"/>
        </w:rPr>
        <w:t>In April 2024, we announced that the Michigan Department of Health and Human Services intends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 a Comprehensive Health Care Program contract to Molina Healthcare of Michigan. We were awarded the contract in six service regions. The go-live date for the new Medicaid contract is expected to be October 1, 2024. The new contract is expected to have a duration of five years, with an option for three one-year extensions.</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 xml:space="preserve">Texas Procurement—Medicaid. </w:t>
      </w:r>
      <w:r>
        <w:rPr>
          <w:rFonts w:ascii="Arial" w:cs="Arial" w:eastAsia="Arial" w:hAnsi="Arial"/>
          <w:sz w:val="18"/>
          <w:szCs w:val="18"/>
          <w:color w:val="auto"/>
        </w:rPr>
        <w:t>In the first quarter of 2024, we were notified of the Texas Health and Human Services Commission’s intent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 us a contract for TANF and CHIP (known in Texas as the STAR &amp; CHIP programs, and both existing contracts for Molina), expanding our footprint and expecting to grow our market share. The start of operations for the new contract is expected to begin in the third quarter of 2025.</w:t>
      </w:r>
    </w:p>
    <w:p>
      <w:pPr>
        <w:spacing w:after="0" w:line="6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i w:val="1"/>
          <w:iCs w:val="1"/>
          <w:color w:val="auto"/>
        </w:rPr>
        <w:t xml:space="preserve">Mississippi Procurement—Medicaid. </w:t>
      </w:r>
      <w:r>
        <w:rPr>
          <w:rFonts w:ascii="Arial" w:cs="Arial" w:eastAsia="Arial" w:hAnsi="Arial"/>
          <w:sz w:val="18"/>
          <w:szCs w:val="18"/>
          <w:color w:val="auto"/>
        </w:rPr>
        <w:t>In the second quarter of 2024, the Mississippi Division of Medicaid extended the existing contracts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fiscal year that began on July 1, 2024. We now expect the new four-year contract, which will cover both TANF &amp; ABD and CHIP, to commence on July 1, 2025.</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Virginia Procurement—Medicaid. </w:t>
      </w:r>
      <w:r>
        <w:rPr>
          <w:rFonts w:ascii="Arial" w:cs="Arial" w:eastAsia="Arial" w:hAnsi="Arial"/>
          <w:sz w:val="18"/>
          <w:szCs w:val="18"/>
          <w:color w:val="auto"/>
        </w:rPr>
        <w:t>In the first quarter of 2024, the Virginia Department of Medical Assistance Services (“DMAS”) issued a</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intent to award which did not include Molina Healthcare of Virginia as an awardee for its Cardinal Care Managed Care (“CCMC”) procurement. We exercised our right to protest that decision. On April 19, 2024, DMAS upheld its notice of intent to award in response to our protest. On April 26, 2024, Molina filed a legal action in Virginia Circuit Court over DMAS’s decision not to award Molina a CCMC contract. In addition, DMAS separately notified us that they were exercising the contractual extension option for the period from July 1, 2024 through June 30, 2025. Despite the extension, subject to a 90-day advance notice obligation, DMAS retains its right to terminate the contract for convenience in order to transition members to the new CCMC contracts.</w:t>
      </w:r>
    </w:p>
    <w:p>
      <w:pPr>
        <w:spacing w:after="0" w:line="7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i w:val="1"/>
          <w:iCs w:val="1"/>
          <w:color w:val="auto"/>
        </w:rPr>
        <w:t xml:space="preserve">California Acquisition—Medicare. </w:t>
      </w:r>
      <w:r>
        <w:rPr>
          <w:rFonts w:ascii="Arial" w:cs="Arial" w:eastAsia="Arial" w:hAnsi="Arial"/>
          <w:sz w:val="18"/>
          <w:szCs w:val="18"/>
          <w:color w:val="auto"/>
        </w:rPr>
        <w:t>Effective January 1, 2024, we closed on our acquisition of 100% of the issued and outstanding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Brand New Day and Central Health Plan of California (“Bright Health Medicare”), which added approximately 109,000 members.</w:t>
      </w:r>
    </w:p>
    <w:p>
      <w:pPr>
        <w:spacing w:after="0" w:line="45"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Our new contract with the California Department of Health Care Services commenced on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2024, which enables us to continue servicing Medi-Cal members in most of our existing counties and expand our footprint in Los Angeles County.</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Nebraska Procurement—Medicaid. </w:t>
      </w:r>
      <w:r>
        <w:rPr>
          <w:rFonts w:ascii="Arial" w:cs="Arial" w:eastAsia="Arial" w:hAnsi="Arial"/>
          <w:sz w:val="18"/>
          <w:szCs w:val="18"/>
          <w:color w:val="auto"/>
        </w:rPr>
        <w:t>Our new contract with the Nebraska Department of Health and Human Services commenced on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1, 2024, which added approximately 112,000 members.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these financial statements reflect all normal recurring adjustments, which are considered necessary for a fair presentation of the results as of the dates and for the interim periods presented. All significant intercompany balances and transactions have been eliminated. The consolidated results of operations for the six months ended June 30, 2024 are not necessarily indicative of the results for the entire year ending December 31, 2024.</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2023. Accordingly, certain disclosures that would substantially duplicate the disclosures contained in our December 31, 2023, audited consolidated financial statements have been omitted.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306" w:lineRule="exact"/>
        <w:rPr>
          <w:sz w:val="20"/>
          <w:szCs w:val="20"/>
          <w:color w:val="auto"/>
        </w:rPr>
      </w:pPr>
    </w:p>
    <w:p>
      <w:pPr>
        <w:ind w:right="8340" w:firstLine="8"/>
        <w:spacing w:after="0" w:line="375" w:lineRule="auto"/>
        <w:tabs>
          <w:tab w:leader="none" w:pos="200" w:val="left"/>
        </w:tabs>
        <w:numPr>
          <w:ilvl w:val="0"/>
          <w:numId w:val="4"/>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Significant Accounting Policies </w:t>
      </w:r>
      <w:r>
        <w:rPr>
          <w:rFonts w:ascii="Arial" w:cs="Arial" w:eastAsia="Arial" w:hAnsi="Arial"/>
          <w:sz w:val="18"/>
          <w:szCs w:val="18"/>
          <w:b w:val="1"/>
          <w:bCs w:val="1"/>
          <w:i w:val="1"/>
          <w:iCs w:val="1"/>
          <w:color w:val="000000"/>
        </w:rPr>
        <w:t>Cash and Cash Equivalents</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and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4,910</w:t>
            </w:r>
          </w:p>
        </w:tc>
        <w:tc>
          <w:tcPr>
            <w:tcW w:w="0" w:type="dxa"/>
            <w:vAlign w:val="bottom"/>
          </w:tcPr>
          <w:p>
            <w:pPr>
              <w:spacing w:after="0"/>
              <w:rPr>
                <w:sz w:val="1"/>
                <w:szCs w:val="1"/>
                <w:color w:val="auto"/>
              </w:rPr>
            </w:pPr>
          </w:p>
        </w:tc>
      </w:tr>
      <w:tr>
        <w:trPr>
          <w:trHeight w:val="21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43"/>
        </w:trPr>
        <w:tc>
          <w:tcPr>
            <w:tcW w:w="8240" w:type="dxa"/>
            <w:vAlign w:val="bottom"/>
            <w:shd w:val="clear" w:color="auto" w:fill="CCEEFF"/>
          </w:tcPr>
          <w:p>
            <w:pPr>
              <w:ind w:left="360"/>
              <w:spacing w:after="0" w:line="143" w:lineRule="exact"/>
              <w:rPr>
                <w:sz w:val="20"/>
                <w:szCs w:val="20"/>
                <w:color w:val="auto"/>
              </w:rPr>
            </w:pPr>
            <w:r>
              <w:rPr>
                <w:rFonts w:ascii="Arial" w:cs="Arial" w:eastAsia="Arial" w:hAnsi="Arial"/>
                <w:sz w:val="16"/>
                <w:szCs w:val="16"/>
                <w:color w:val="auto"/>
              </w:rPr>
              <w:t>Total cash, cash equivalents, and restricted cash and cash equivalents presented in the consolidated</w:t>
            </w:r>
          </w:p>
        </w:tc>
        <w:tc>
          <w:tcPr>
            <w:tcW w:w="920" w:type="dxa"/>
            <w:vAlign w:val="bottom"/>
            <w:vMerge w:val="restart"/>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4,418</w:t>
            </w: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4,957</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statements of cash flows</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Receivables consist primarily of premium amounts due from government agencies, which are subject to potential retroactive adjustments. We apply the current expected credit loss model to measure expected credits losses on our receivables based on available information about past events and reasonable and supportable forecasts.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tbl>
      <w:tblPr>
        <w:tblLayout w:type="fixed"/>
        <w:tblInd w:w="0" w:type="dxa"/>
        <w:tblCellMar>
          <w:top w:w="0" w:type="dxa"/>
          <w:left w:w="0" w:type="dxa"/>
          <w:bottom w:w="0" w:type="dxa"/>
          <w:right w:w="0" w:type="dxa"/>
        </w:tblCellMar>
      </w:tblPr>
      <w:tr>
        <w:trPr>
          <w:trHeight w:val="158"/>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line="157"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280" w:type="dxa"/>
            <w:vAlign w:val="bottom"/>
          </w:tcPr>
          <w:p>
            <w:pPr>
              <w:jc w:val="right"/>
              <w:ind w:right="182"/>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35"/>
        </w:trPr>
        <w:tc>
          <w:tcPr>
            <w:tcW w:w="8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2,354</w:t>
            </w: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2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330</w:t>
            </w: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420</w:t>
            </w:r>
          </w:p>
        </w:tc>
      </w:tr>
      <w:tr>
        <w:trPr>
          <w:trHeight w:val="209"/>
        </w:trPr>
        <w:tc>
          <w:tcPr>
            <w:tcW w:w="8180" w:type="dxa"/>
            <w:vAlign w:val="bottom"/>
          </w:tcPr>
          <w:p>
            <w:pPr>
              <w:ind w:left="140"/>
              <w:spacing w:after="0"/>
              <w:rPr>
                <w:sz w:val="20"/>
                <w:szCs w:val="20"/>
                <w:color w:val="auto"/>
              </w:rPr>
            </w:pPr>
            <w:r>
              <w:rPr>
                <w:rFonts w:ascii="Arial" w:cs="Arial" w:eastAsia="Arial" w:hAnsi="Arial"/>
                <w:sz w:val="16"/>
                <w:szCs w:val="16"/>
                <w:color w:val="auto"/>
              </w:rPr>
              <w:t>Total receivables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3,231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3,104</w:t>
            </w: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State Medicaid programs and the federal Medicare program periodically adjust premium rates, including certain components of premium revenue that are subject to accounting estimates and are described below, and in our 2023 Annual Report on Form 10-K, Note 2, “Significant Accounting Policies,” under “Premium Revenue Recognition and Amounts Due Government Agencies,” and “Quality Incentives.”</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Minimum MLR, Medical Cost Corridors and Profit Sharing. </w:t>
      </w:r>
      <w:r>
        <w:rPr>
          <w:rFonts w:ascii="Arial" w:cs="Arial" w:eastAsia="Arial" w:hAnsi="Arial"/>
          <w:sz w:val="18"/>
          <w:szCs w:val="18"/>
          <w:color w:val="auto"/>
        </w:rPr>
        <w:t>A portion of our Medicaid premium revenue may be returned if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minimum amounts are not spent on defined medical care costs as a percentage of premium revenue, or minimum medical loss ratio (“Minimum MLR”). Under certain medical cost corridor provisions, the health plans may receive additional premiums if amounts spent on medical care costs exceed a defined maximum threshold. This includes remaining risk corridors that were enacted by various states in 2020 in response to the reduced demand for medical services stemming from COVID-19. Our contracts with certain states contain profit sharing provisions under which we refund amounts to the states if our health plans generate profit above a certain specified percentage. In some cases, we are limited in the amount of administrative costs that we may deduct in calculating the refund, if any. We recorded aggregate liabilities under the terms of such contract provisions of $1,261 million and $1,344 million at June 30, 2024 and December 31, 2023, respectively, to “Amounts due government agencies” in the accompanying consolidated balance sheets.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Affordable Care Act (“ACA”) established a Minimum MLR of 85% for Medicare. Federal regulations define what constitutes medical costs and premium revenue. If the Minimum MLR is not met, we may be required to pay rebates to the federal government. Our dual-eligible plans may also be subject to state-specific Minimum MLRs, medical cost corridors, and profit-sharing provisions. We recognize estimated rebates as an adjustment to premium revenue in our consolidated statements of income. We recorded a liability under the terms of such contract provisions of $51 million and $64 million at June 30, 2024 and December 31, 2023, respectively, to “Amounts due government agencies”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ACA established a Minimum MLR of 80% for the Marketplace. If the Minimum MLR is not met, we may be required to pay rebates to our Marketplace policyholders. The Marketplace risk adjustment program discussed below is taken into consideration when computing the Minimum MLR. We recognize estimated rebates under the Minimum MLR as an adjustment to premium revenue in our consolidated statements of income. The amounts were insignificant at June 30, 2024 and December 31, 2023.</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Risk Adjustment. </w:t>
      </w:r>
      <w:r>
        <w:rPr>
          <w:rFonts w:ascii="Arial" w:cs="Arial" w:eastAsia="Arial" w:hAnsi="Arial"/>
          <w:sz w:val="18"/>
          <w:szCs w:val="18"/>
          <w:color w:val="auto"/>
        </w:rPr>
        <w:t>Our Medicare premiums are subject to retroactive increase or decrease based on the health status of our Medicare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(as measured by member risk score). We estimate our members’ risk scores and the related amount of Medicare revenue that will ultimately be realized for the periods presented based on our knowledge of our members’ health status, risk scores and CMS practices. We also estimate amounts owed to CMS for Part D settlements. We recorded a liability under the terms of such contract provisions of $91 million and $66 million at June 30, 2024 and December 31, 2023, respectively, to “Amounts due government agencies” in the accompanying consolidated balance sheets.</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this program for our Marketplace business, our health plans’ composite risk scores are compared with the overall average risk score for the 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June 30, 2024, Marketplace risk adjustment payables amounted to $348 million and related receivables amounted to $363 million, for a net receivable of $15 million. As of December 31, 2023, Marketplace risk adjustment payables amounted to $201 million and related receivables amounted to $241 million, for a net receivable of $40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on Loss Contracts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reserve (“PDR”) is recognized if anticipated future medical care and administrative costs exceed anticipated future premium revenue, investment income and reinsurance recoveries. Once established, a PDR is reduced over the contract period as an offset to actual losses.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state taxes and nondeductible expenses such as certain compensation and other general and administrative expenses.</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Recent accounting pronouncements issued by the Financial Accounting Standards Board (including its Emerging Issues Task Force), the American Institute of Certified Public Accountants, and the Securities and Exchange</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Commission (“SEC”) did not have, nor does management expect such pronouncements to have, a significant impact on our present or future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3. Net Income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3400" w:type="dxa"/>
            <w:vAlign w:val="bottom"/>
            <w:gridSpan w:val="6"/>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5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2023</w:t>
            </w:r>
          </w:p>
        </w:tc>
      </w:tr>
      <w:tr>
        <w:trPr>
          <w:trHeight w:val="237"/>
        </w:trPr>
        <w:tc>
          <w:tcPr>
            <w:tcW w:w="4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 except net income per share)</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7"/>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tcPr>
          <w:p>
            <w:pPr>
              <w:jc w:val="right"/>
              <w:ind w:right="9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5"/>
        </w:trPr>
        <w:tc>
          <w:tcPr>
            <w:tcW w:w="452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57.4</w:t>
            </w:r>
          </w:p>
        </w:tc>
      </w:tr>
      <w:tr>
        <w:trPr>
          <w:trHeight w:val="217"/>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45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10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r>
      <w:tr>
        <w:trPr>
          <w:trHeight w:val="216"/>
        </w:trPr>
        <w:tc>
          <w:tcPr>
            <w:tcW w:w="45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4520" w:type="dxa"/>
            <w:vAlign w:val="bottom"/>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4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452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080" w:type="dxa"/>
            <w:vAlign w:val="bottom"/>
            <w:tcBorders>
              <w:bottom w:val="single" w:sz="8" w:color="auto"/>
            </w:tcBorders>
          </w:tcPr>
          <w:p>
            <w:pPr>
              <w:jc w:val="right"/>
              <w:ind w:right="9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5"/>
        </w:trPr>
        <w:tc>
          <w:tcPr>
            <w:tcW w:w="4520" w:type="dxa"/>
            <w:vAlign w:val="bottom"/>
            <w:tcBorders>
              <w:bottom w:val="single" w:sz="8" w:color="CCEEFF"/>
            </w:tcBorders>
            <w:shd w:val="clear" w:color="auto" w:fill="CCEEFF"/>
          </w:tcPr>
          <w:p>
            <w:pPr>
              <w:ind w:left="40"/>
              <w:spacing w:after="0" w:line="21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68" w:lineRule="exact"/>
        <w:rPr>
          <w:sz w:val="20"/>
          <w:szCs w:val="20"/>
          <w:color w:val="auto"/>
        </w:rPr>
      </w:pPr>
    </w:p>
    <w:p>
      <w:pPr>
        <w:ind w:left="340" w:right="280" w:hanging="332"/>
        <w:spacing w:after="0" w:line="259" w:lineRule="auto"/>
        <w:tabs>
          <w:tab w:leader="none" w:pos="3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 Certain potentially dilutive common shares issuable are not included in the computation of diluted net income per share because to do so would be anti-dilutive. For the three and six months ended June 30, 2024, 208,000 shares and 140,000 shares, respectively, were excluded from diluted shares outstanding.</w:t>
      </w: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4. Business Combinations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Bright Health Medicare. </w:t>
      </w:r>
      <w:r>
        <w:rPr>
          <w:rFonts w:ascii="Arial" w:cs="Arial" w:eastAsia="Arial" w:hAnsi="Arial"/>
          <w:sz w:val="18"/>
          <w:szCs w:val="18"/>
          <w:color w:val="auto"/>
        </w:rPr>
        <w:t>On January 1, 2024, we closed on our acquisition of Bright Health Medicare for $441 million in cash,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strategy to grow in our existing markets. For this transaction, we applied the acquisition method of accounting, where the total purchase price was preliminarily allocated to the tangible and intangible assets acquired and liabilities assumed, based on their fair values as of the acquisition date. We expect to complete the final determination of the purchase price allocation as soon as practicable, but no later than one year following the acquisition’s closing date in accordance with Accounting Standards Codification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Measurement period adjustments will be recorded in the period in which they are determined, as if they had been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acquisition date. The pro forma effects of this acquisition for prior periods were not material to our consolidated results of operations. Acquisition costs amounted to $3 million in the aggregate for the period ended June 30, 2024, and were recorded as “General and administrative expenses” in the accompanying consolidated statements of income.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acquisition-date fair value of the consideration transferred consisted of the following,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consideration transferred:</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Cash</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w:t>
            </w:r>
          </w:p>
        </w:tc>
        <w:tc>
          <w:tcPr>
            <w:tcW w:w="6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r>
      <w:tr>
        <w:trPr>
          <w:trHeight w:val="21"/>
        </w:trPr>
        <w:tc>
          <w:tcPr>
            <w:tcW w:w="9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contingent consideration arrangement allows the seller to earn up to $100 million for the satisfaction of certain conditions within the stock purchase agreement by the fourth quarter of 2024. The fair value of the contingent</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consideration arrangement at the acquisition date was $86 million. This fair value measurement is based on inputs not observable in the market and thus represents a Level 3 measurement. We estimated the fair value using a probability-weighted scenario approach focused on existing and expected membership. On the acquisition date, we placed the $ 100 million into a third-party escrow and recorded a receivable of $14 million in relation to the fair value measurement. As of June 30, 2024, the fair value of the contingent consideration arrangement increased to $98 million due to certain of the conditions being met. The net change in fair value is reported in “Other” operating expenses in our consolidated statements of income, and we reduced our receivable to $2 million.</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valuation of the assets acquired and liabilities assumed has not yet been finalized. Further, the finalization of purchase price adjustments as provided in the stock purchase agreement is expected to occur in the second half of 2024. As a result, provisional estimates have been recorded and are subject to change, primarily for accounts that include the use of estimates, such as medical claims and benefits payable, receivables, amounts due government agencies, certain acquired intangible assets, and certain tax assets and liabilities.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Such assets include synergies we expect to achieve as a result of the transaction, such as the use of our existing infrastructure to support the added membership, and future economic benefits arising from the assembled workforce. All of the goodwill was assigned to the Medicare segment and is deductible for income tax purposes. The following table summarizes the provisional fair values assigned to assets acquired and liabilities assumed,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acquired:</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7"/>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7"/>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and other long-term liabilities</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Fair value of net assets acquired</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r>
      <w:tr>
        <w:trPr>
          <w:trHeight w:val="20"/>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The table below presents intangible assets acquired, by major class, for the Bright Health Medicare acquisition. The weighted-average amortization period, in the aggregate, is 11.1 years.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r>
      <w:tr>
        <w:trPr>
          <w:trHeight w:val="250"/>
        </w:trPr>
        <w:tc>
          <w:tcPr>
            <w:tcW w:w="8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24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rights - member list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w:t>
            </w:r>
          </w:p>
        </w:tc>
      </w:tr>
      <w:tr>
        <w:trPr>
          <w:trHeight w:val="215"/>
        </w:trPr>
        <w:tc>
          <w:tcPr>
            <w:tcW w:w="8260" w:type="dxa"/>
            <w:vAlign w:val="bottom"/>
          </w:tcPr>
          <w:p>
            <w:pPr>
              <w:ind w:left="20"/>
              <w:spacing w:after="0"/>
              <w:rPr>
                <w:sz w:val="20"/>
                <w:szCs w:val="20"/>
                <w:color w:val="auto"/>
              </w:rPr>
            </w:pPr>
            <w:r>
              <w:rPr>
                <w:rFonts w:ascii="Arial" w:cs="Arial" w:eastAsia="Arial" w:hAnsi="Arial"/>
                <w:sz w:val="16"/>
                <w:szCs w:val="16"/>
                <w:color w:val="auto"/>
              </w:rPr>
              <w:t>Trade name</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32</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rPr>
              <w:t>15</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Provider network</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w:t>
            </w:r>
          </w:p>
        </w:tc>
      </w:tr>
      <w:tr>
        <w:trPr>
          <w:trHeight w:val="210"/>
        </w:trPr>
        <w:tc>
          <w:tcPr>
            <w:tcW w:w="82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5. Fair Value Measurements</w:t>
      </w:r>
    </w:p>
    <w:p>
      <w:pPr>
        <w:spacing w:after="0" w:line="117"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2023 Annual Report on Form 10-K, Note 5, “Fair Value Measurements.”</w:t>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June 30, 2024,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4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00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2023,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Observable Inputs</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7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assets</w:t>
            </w:r>
          </w:p>
        </w:tc>
        <w:tc>
          <w:tcPr>
            <w:tcW w:w="98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2024</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2"/>
                <w:szCs w:val="12"/>
                <w:color w:val="auto"/>
              </w:rPr>
            </w:pPr>
          </w:p>
        </w:tc>
        <w:tc>
          <w:tcPr>
            <w:tcW w:w="110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 due 2028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3.875% Notes due 2030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 due 2032</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0"/>
        </w:trPr>
        <w:tc>
          <w:tcPr>
            <w:tcW w:w="4800" w:type="dxa"/>
            <w:vAlign w:val="bottom"/>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1,975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1,994</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6. Investments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w:t>
      </w:r>
    </w:p>
    <w:p>
      <w:pPr>
        <w:spacing w:after="0" w:line="115"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current investments as of the dates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662"/>
              <w:spacing w:after="0"/>
              <w:rPr>
                <w:sz w:val="20"/>
                <w:szCs w:val="20"/>
                <w:color w:val="auto"/>
              </w:rPr>
            </w:pPr>
            <w:r>
              <w:rPr>
                <w:rFonts w:ascii="Arial" w:cs="Arial" w:eastAsia="Arial" w:hAnsi="Arial"/>
                <w:sz w:val="14"/>
                <w:szCs w:val="14"/>
                <w:b w:val="1"/>
                <w:bCs w:val="1"/>
                <w:color w:val="auto"/>
              </w:rPr>
              <w:t>June 30, 2024</w:t>
            </w: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3"/>
          </w:tcPr>
          <w:p>
            <w:pPr>
              <w:jc w:val="center"/>
              <w:ind w:left="66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5"/>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December 31, 2023</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3"/>
          </w:tcPr>
          <w:p>
            <w:pPr>
              <w:jc w:val="center"/>
              <w:ind w:left="66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5"/>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8060" w:type="dxa"/>
            <w:vAlign w:val="bottom"/>
            <w:gridSpan w:val="7"/>
          </w:tcPr>
          <w:p>
            <w:pPr>
              <w:spacing w:after="0"/>
              <w:rPr>
                <w:sz w:val="20"/>
                <w:szCs w:val="20"/>
                <w:color w:val="auto"/>
              </w:rPr>
            </w:pPr>
            <w:r>
              <w:rPr>
                <w:rFonts w:ascii="Arial" w:cs="Arial" w:eastAsia="Arial" w:hAnsi="Arial"/>
                <w:sz w:val="18"/>
                <w:szCs w:val="18"/>
                <w:color w:val="auto"/>
              </w:rPr>
              <w:t>The contractual maturities of our current investments as of June 30, 2024 are summarized below:</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center"/>
              <w:ind w:right="3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2,225</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5"/>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35"/>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the six months ended June 30, 2024, and 2023, maturities and redemptions of available-for-sale securities amounted to $471 million and $292 million, respectively, and sales amounted to $35 million and $254 million, respectively. Gross realized gains and losses from sales of available-for-sale securities are calculated under the specific identification method and are included in investment income. Gross realized investment gains were insignificant for the six months ended June 30, 2024 and 2023. Gross realized investment losses amounted to $3 million and $10 million in the six months ended June 30, 2024 and 2023, respectively, and were reclassified into earnings from other comprehensive income on a net-of-tax basis.</w:t>
      </w:r>
    </w:p>
    <w:p>
      <w:pPr>
        <w:spacing w:after="0" w:line="7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have determined that unrealized losses at June 30, 2024, and December 31, 2023,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realized losses. In the event that we dispose of these securities before maturity, we expect that realized losses, if any, will be insignificant.</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June 30, 2024: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60" w:type="dxa"/>
            <w:vAlign w:val="bottom"/>
            <w:gridSpan w:val="9"/>
          </w:tcPr>
          <w:p>
            <w:pPr>
              <w:jc w:val="center"/>
              <w:ind w:right="1020"/>
              <w:spacing w:after="0"/>
              <w:rPr>
                <w:sz w:val="20"/>
                <w:szCs w:val="20"/>
                <w:color w:val="auto"/>
              </w:rPr>
            </w:pPr>
            <w:r>
              <w:rPr>
                <w:rFonts w:ascii="Arial" w:cs="Arial" w:eastAsia="Arial" w:hAnsi="Arial"/>
                <w:sz w:val="14"/>
                <w:szCs w:val="14"/>
                <w:b w:val="1"/>
                <w:bCs w:val="1"/>
                <w:color w:val="auto"/>
              </w:rPr>
              <w:t>In a Continuous Loss Position</w:t>
            </w:r>
          </w:p>
        </w:tc>
        <w:tc>
          <w:tcPr>
            <w:tcW w:w="220" w:type="dxa"/>
            <w:vAlign w:val="bottom"/>
          </w:tcPr>
          <w:p>
            <w:pPr>
              <w:spacing w:after="0"/>
              <w:rPr>
                <w:sz w:val="14"/>
                <w:szCs w:val="14"/>
                <w:color w:val="auto"/>
              </w:rPr>
            </w:pPr>
          </w:p>
        </w:tc>
        <w:tc>
          <w:tcPr>
            <w:tcW w:w="3960" w:type="dxa"/>
            <w:vAlign w:val="bottom"/>
            <w:gridSpan w:val="6"/>
          </w:tcPr>
          <w:p>
            <w:pPr>
              <w:jc w:val="center"/>
              <w:ind w:right="14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5"/>
        </w:trPr>
        <w:tc>
          <w:tcPr>
            <w:tcW w:w="2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for Less than 12 Months</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1240" w:type="dxa"/>
            <w:vAlign w:val="bottom"/>
            <w:gridSpan w:val="2"/>
          </w:tcPr>
          <w:p>
            <w:pPr>
              <w:jc w:val="center"/>
              <w:ind w:left="4"/>
              <w:spacing w:after="0" w:line="147"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2"/>
                <w:szCs w:val="12"/>
                <w:color w:val="auto"/>
              </w:rPr>
            </w:pPr>
          </w:p>
        </w:tc>
        <w:tc>
          <w:tcPr>
            <w:tcW w:w="1120" w:type="dxa"/>
            <w:vAlign w:val="bottom"/>
          </w:tcPr>
          <w:p>
            <w:pPr>
              <w:jc w:val="center"/>
              <w:ind w:right="143"/>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900" w:type="dxa"/>
            <w:vAlign w:val="bottom"/>
          </w:tcPr>
          <w:p>
            <w:pPr>
              <w:jc w:val="center"/>
              <w:ind w:left="324"/>
              <w:spacing w:after="0" w:line="145"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90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9"/>
        </w:trPr>
        <w:tc>
          <w:tcPr>
            <w:tcW w:w="2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gridSpan w:val="4"/>
          </w:tcPr>
          <w:p>
            <w:pPr>
              <w:jc w:val="right"/>
              <w:ind w:right="64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0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1,524</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2760" w:type="dxa"/>
            <w:vAlign w:val="bottom"/>
          </w:tcPr>
          <w:p>
            <w:pPr>
              <w:ind w:left="14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792</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2,395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2023:</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40" w:type="dxa"/>
            <w:vAlign w:val="bottom"/>
            <w:gridSpan w:val="9"/>
          </w:tcPr>
          <w:p>
            <w:pPr>
              <w:jc w:val="center"/>
              <w:ind w:right="1020"/>
              <w:spacing w:after="0"/>
              <w:rPr>
                <w:sz w:val="20"/>
                <w:szCs w:val="20"/>
                <w:color w:val="auto"/>
              </w:rPr>
            </w:pPr>
            <w:r>
              <w:rPr>
                <w:rFonts w:ascii="Arial" w:cs="Arial" w:eastAsia="Arial" w:hAnsi="Arial"/>
                <w:sz w:val="14"/>
                <w:szCs w:val="14"/>
                <w:b w:val="1"/>
                <w:bCs w:val="1"/>
                <w:color w:val="auto"/>
              </w:rPr>
              <w:t>In a Continuous Loss Position</w:t>
            </w:r>
          </w:p>
        </w:tc>
        <w:tc>
          <w:tcPr>
            <w:tcW w:w="200" w:type="dxa"/>
            <w:vAlign w:val="bottom"/>
          </w:tcPr>
          <w:p>
            <w:pPr>
              <w:spacing w:after="0"/>
              <w:rPr>
                <w:sz w:val="14"/>
                <w:szCs w:val="14"/>
                <w:color w:val="auto"/>
              </w:rPr>
            </w:pPr>
          </w:p>
        </w:tc>
        <w:tc>
          <w:tcPr>
            <w:tcW w:w="396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for Less than 12 Months</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2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120" w:type="dxa"/>
            <w:vAlign w:val="bottom"/>
          </w:tcPr>
          <w:p>
            <w:pPr>
              <w:jc w:val="center"/>
              <w:ind w:right="123"/>
              <w:spacing w:after="0" w:line="142"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0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90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90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4"/>
          </w:tcPr>
          <w:p>
            <w:pPr>
              <w:jc w:val="right"/>
              <w:ind w:right="62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 Held-to-Maturity</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$268 million at June 30, 2024, of which $184 million will mature in one year or less, $78 million will mature in one through five years, and $6 million will mature after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7. Medical Claims and Benefits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Pr>
          <w:p>
            <w:pPr>
              <w:spacing w:after="0"/>
              <w:rPr>
                <w:sz w:val="16"/>
                <w:szCs w:val="16"/>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r>
      <w:tr>
        <w:trPr>
          <w:trHeight w:val="235"/>
        </w:trPr>
        <w:tc>
          <w:tcPr>
            <w:tcW w:w="8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0"/>
                <w:szCs w:val="20"/>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Claims incurred but not paid (“IBNP”)</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4"/>
              </w:rPr>
              <w:t>3,233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2,901</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10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202</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1,001</w:t>
            </w:r>
          </w:p>
        </w:tc>
      </w:tr>
      <w:tr>
        <w:trPr>
          <w:trHeight w:val="235"/>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4"/>
              </w:rPr>
              <w:t>4,577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4,204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“Other” medical claims and benefits payable mainly includes amounts payable to certain providers for which we act as an intermediary on behalf of various government agencies without assuming financial risk. Such receipts and payments do not impact our consolidated statements of income. Non-risk provider payables amounted to $284 million and $481 million as of June 30, 2024, and December 31, 2023, respectively.</w:t>
      </w:r>
    </w:p>
    <w:p>
      <w:pPr>
        <w:spacing w:after="0" w:line="6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Six Months Ended June 30, 2024</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17,301</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16,782</w:t>
            </w:r>
          </w:p>
        </w:tc>
      </w:tr>
      <w:tr>
        <w:trPr>
          <w:trHeight w:val="195"/>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16,590</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421</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4,577</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2024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Six Months Ended June 30, 2023</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14,180</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1,851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13,909</w:t>
            </w:r>
          </w:p>
        </w:tc>
      </w:tr>
      <w:tr>
        <w:trPr>
          <w:trHeight w:val="195"/>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11,166</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13,816</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3,677</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estimates of medical claims and benefits payable recorded at December 31, 2023, and 2022 developed favorably by approximately $519 million and $271 million as of June 30, 2024, and 2023, respectively.</w:t>
      </w:r>
    </w:p>
    <w:p>
      <w:pPr>
        <w:spacing w:after="0" w:line="4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favorable prior year development recognized in the six months ended June 30, 2024 was primarily due to lower than expected utilization of medical services by our members and improved operating performance, mainly in the Medicaid segment. Consequently, the ultimate costs recognized in 2024, as claims payments were processed, were lower than our estimates in 2023.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8.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debt obligations, all of which are non-current as of the dates reported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020" w:type="dxa"/>
            <w:vAlign w:val="bottom"/>
          </w:tcPr>
          <w:p>
            <w:pPr>
              <w:spacing w:after="0"/>
              <w:rPr>
                <w:sz w:val="16"/>
                <w:szCs w:val="16"/>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r>
      <w:tr>
        <w:trPr>
          <w:trHeight w:val="236"/>
        </w:trPr>
        <w:tc>
          <w:tcPr>
            <w:tcW w:w="8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0"/>
                <w:szCs w:val="20"/>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long-term debt:</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4.375% Notes due 2028</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800</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3.875% Notes due 2030</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3.875% Notes due 2032</w:t>
            </w:r>
          </w:p>
        </w:tc>
        <w:tc>
          <w:tcPr>
            <w:tcW w:w="10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750</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debt issuance costs</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8020" w:type="dxa"/>
            <w:vAlign w:val="bottom"/>
          </w:tcPr>
          <w:p>
            <w:pPr>
              <w:ind w:left="36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4"/>
              </w:rPr>
              <w:t>2,181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2,180</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party to a credit agreement (the “Credit Agreement”) which includes a revolving credit facility (“Credit Facility”) of $1.0 billion, among other provisions. 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 We have other relationships, including financial advisory and banking, with some parties to the Credit Agreement.</w:t>
      </w:r>
    </w:p>
    <w:p>
      <w:pPr>
        <w:spacing w:after="0" w:line="7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Credit Agreement contains customary non-financial and financial covenants. As of June 30, 2024, we were in compliance with all financial and non-financial covenants under the Credit Agreement. As of June 30, 2024, no amounts were outstanding under the Credit Facility.</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senior notes are described below. Each of these notes are senior unsecured obligations of the parent corporation, Molina Healthcare, Inc., and rank equally in right of payment with all existing and future senior debt, and senior to all existing and future subordinated debt of Molina Healthcare, Inc. In addition, each of the indentures governing the senior notes contain customary non-financial covenants and change of control provisions. As of June 30, 2024, we were in compliance with all non-financial covenants in the indentures governing the senior notes.</w:t>
      </w:r>
    </w:p>
    <w:p>
      <w:pPr>
        <w:spacing w:after="0" w:line="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4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We have $ 800 million aggregate principal amount of senior notes (the “4.375% Notes”) outstanding as of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2024, which are due June 15, 2028, unless earlier redeemed. Interest, at a rate of 4.375% per annum, is payable semiannually in arrears on June 15 and December 15.</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3.875% Notes due 2030. </w:t>
      </w:r>
      <w:r>
        <w:rPr>
          <w:rFonts w:ascii="Arial" w:cs="Arial" w:eastAsia="Arial" w:hAnsi="Arial"/>
          <w:sz w:val="18"/>
          <w:szCs w:val="18"/>
          <w:color w:val="auto"/>
        </w:rPr>
        <w:t>We have $650 million aggregate principal amount of senior notes (the “3.875% Notes due 2030”)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2024, which are due November 15, 2030, unless earlier redeemed. Interest, at a rate of 3.875% per annum, is payable semiannually in arrears on May 15 and November 15.</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3.875% Notes due 2032. </w:t>
      </w:r>
      <w:r>
        <w:rPr>
          <w:rFonts w:ascii="Arial" w:cs="Arial" w:eastAsia="Arial" w:hAnsi="Arial"/>
          <w:sz w:val="18"/>
          <w:szCs w:val="18"/>
          <w:color w:val="auto"/>
        </w:rPr>
        <w:t>We have $750 million aggregate principal amount of senior notes (the “3.875% Notes due 2032”)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2024, which are due May 15, 2032, unless earlier redeemed. Interest, at a rate of 3.875% per annum, is payable semiannually in arrears on May 15 and November 15.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9. Segments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currently have four reportable segments consisting of: 1) Medicaid; 2) Medicare; 3) Marketplace; and 4) Other. Our reportable segments are consistent with how we currently manage the business and view the markets we serve.</w:t>
      </w:r>
    </w:p>
    <w:p>
      <w:pPr>
        <w:spacing w:after="0" w:line="45" w:lineRule="exact"/>
        <w:rPr>
          <w:sz w:val="20"/>
          <w:szCs w:val="20"/>
          <w:color w:val="auto"/>
        </w:rPr>
      </w:pPr>
    </w:p>
    <w:p>
      <w:pPr>
        <w:jc w:val="both"/>
        <w:ind w:right="700"/>
        <w:spacing w:after="0" w:line="268"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We do not report total assets by segment since this is not a metric used to assess segment performance or allocate resources.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r>
      <w:tr>
        <w:trPr>
          <w:trHeight w:val="237"/>
        </w:trPr>
        <w:tc>
          <w:tcPr>
            <w:tcW w:w="4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2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7,760</w:t>
            </w:r>
          </w:p>
        </w:tc>
        <w:tc>
          <w:tcPr>
            <w:tcW w:w="100" w:type="dxa"/>
            <w:vAlign w:val="bottom"/>
          </w:tcPr>
          <w:p>
            <w:pPr>
              <w:spacing w:after="0"/>
              <w:rPr>
                <w:sz w:val="18"/>
                <w:szCs w:val="18"/>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6,728</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15,633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13,306</w:t>
            </w:r>
          </w:p>
        </w:tc>
      </w:tr>
      <w:tr>
        <w:trPr>
          <w:trHeight w:val="217"/>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2,111</w:t>
            </w:r>
          </w:p>
        </w:tc>
      </w:tr>
      <w:tr>
        <w:trPr>
          <w:trHeight w:val="215"/>
        </w:trPr>
        <w:tc>
          <w:tcPr>
            <w:tcW w:w="482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1,021</w:t>
            </w: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r>
      <w:tr>
        <w:trPr>
          <w:trHeight w:val="210"/>
        </w:trPr>
        <w:tc>
          <w:tcPr>
            <w:tcW w:w="4820" w:type="dxa"/>
            <w:vAlign w:val="bottom"/>
          </w:tcPr>
          <w:p>
            <w:pPr>
              <w:ind w:left="480"/>
              <w:spacing w:after="0"/>
              <w:rPr>
                <w:sz w:val="20"/>
                <w:szCs w:val="20"/>
                <w:color w:val="auto"/>
              </w:rPr>
            </w:pPr>
            <w:r>
              <w:rPr>
                <w:rFonts w:ascii="Arial" w:cs="Arial" w:eastAsia="Arial" w:hAnsi="Arial"/>
                <w:sz w:val="16"/>
                <w:szCs w:val="16"/>
                <w:color w:val="auto"/>
              </w:rPr>
              <w:t>Consolidated</w:t>
            </w:r>
          </w:p>
        </w:tc>
        <w:tc>
          <w:tcPr>
            <w:tcW w:w="100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9,880</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16,476</w:t>
            </w:r>
          </w:p>
        </w:tc>
      </w:tr>
      <w:tr>
        <w:trPr>
          <w:trHeight w:val="20"/>
        </w:trPr>
        <w:tc>
          <w:tcPr>
            <w:tcW w:w="4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r>
      <w:tr>
        <w:trPr>
          <w:trHeight w:val="237"/>
        </w:trPr>
        <w:tc>
          <w:tcPr>
            <w:tcW w:w="4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Medicaid</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18"/>
                <w:szCs w:val="18"/>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1,490</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4800" w:type="dxa"/>
            <w:vAlign w:val="bottom"/>
          </w:tcPr>
          <w:p>
            <w:pPr>
              <w:ind w:left="360"/>
              <w:spacing w:after="0"/>
              <w:rPr>
                <w:sz w:val="20"/>
                <w:szCs w:val="20"/>
                <w:color w:val="auto"/>
              </w:rPr>
            </w:pPr>
            <w:r>
              <w:rPr>
                <w:rFonts w:ascii="Arial" w:cs="Arial" w:eastAsia="Arial" w:hAnsi="Arial"/>
                <w:sz w:val="16"/>
                <w:szCs w:val="16"/>
                <w:color w:val="auto"/>
              </w:rPr>
              <w:t>Total margin</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1,080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2,172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2,023</w:t>
            </w:r>
          </w:p>
        </w:tc>
      </w:tr>
      <w:tr>
        <w:trPr>
          <w:trHeight w:val="217"/>
        </w:trPr>
        <w:tc>
          <w:tcPr>
            <w:tcW w:w="48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r>
      <w:tr>
        <w:trPr>
          <w:trHeight w:val="216"/>
        </w:trPr>
        <w:tc>
          <w:tcPr>
            <w:tcW w:w="48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r>
      <w:tr>
        <w:trPr>
          <w:trHeight w:val="20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r>
      <w:tr>
        <w:trPr>
          <w:trHeight w:val="215"/>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 expense</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investment income, and certain other revenue.</w:t>
      </w:r>
    </w:p>
    <w:p>
      <w:pPr>
        <w:spacing w:after="0" w:line="21" w:lineRule="exact"/>
        <w:rPr>
          <w:rFonts w:ascii="Arial" w:cs="Arial" w:eastAsia="Arial" w:hAnsi="Arial"/>
          <w:sz w:val="16"/>
          <w:szCs w:val="16"/>
          <w:color w:val="auto"/>
        </w:rPr>
      </w:pPr>
    </w:p>
    <w:p>
      <w:pPr>
        <w:ind w:left="340" w:right="560" w:hanging="332"/>
        <w:spacing w:after="0" w:line="283"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depreciation and amortization, and certain other operating expenses.</w:t>
      </w:r>
    </w:p>
    <w:p>
      <w:pPr>
        <w:spacing w:after="0" w:line="45" w:lineRule="exact"/>
        <w:rPr>
          <w:sz w:val="20"/>
          <w:szCs w:val="20"/>
          <w:color w:val="auto"/>
        </w:rPr>
      </w:pPr>
    </w:p>
    <w:p>
      <w:pPr>
        <w:ind w:right="8080" w:firstLine="8"/>
        <w:spacing w:after="0" w:line="375" w:lineRule="auto"/>
        <w:tabs>
          <w:tab w:leader="none" w:pos="300" w:val="left"/>
        </w:tabs>
        <w:numPr>
          <w:ilvl w:val="0"/>
          <w:numId w:val="7"/>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Commitments and Contingencies </w:t>
      </w:r>
      <w:r>
        <w:rPr>
          <w:rFonts w:ascii="Arial" w:cs="Arial" w:eastAsia="Arial" w:hAnsi="Arial"/>
          <w:sz w:val="18"/>
          <w:szCs w:val="18"/>
          <w:b w:val="1"/>
          <w:bCs w:val="1"/>
          <w:i w:val="1"/>
          <w:iCs w:val="1"/>
          <w:color w:val="000000"/>
        </w:rPr>
        <w:t>Legal Proceedings</w:t>
      </w:r>
    </w:p>
    <w:p>
      <w:pPr>
        <w:spacing w:after="0" w:line="1"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healthcare industry is subject to numerous laws and regulations of federal, state, and local governments, as well as various contractual provisions, governing our operations. Compliance with these laws, regulations, and contractual provisions can be subject to government audit, review, and interpretation, as well as regulatory actions. Penalties associated with violations of these laws, regulations, and contractual provisions can include significant fines and penalties, temporary or permanent exclusion from participating in publicly funded programs, a limitation on our ability to market or sell products, the repayment of previously billed and collected revenues, and reputational damage.</w:t>
      </w:r>
    </w:p>
    <w:p>
      <w:pPr>
        <w:spacing w:after="0" w:line="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or range of estimates, of reasonably possible losses and related disclosures, as necessary. We have accrued liabilities for legal matters for which we deem the loss to be both probable and reasonably estimable. These liability estimates could change as a result of further developments. The outcome of these legal actions are inherently uncertain. An adverse determination in one or more of these pending matters could have a material adverse effect on our consolidated financial position, results of operations, or cash flows.</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Kentucky RFP. </w:t>
      </w:r>
      <w:r>
        <w:rPr>
          <w:rFonts w:ascii="Arial" w:cs="Arial" w:eastAsia="Arial" w:hAnsi="Arial"/>
          <w:sz w:val="18"/>
          <w:szCs w:val="18"/>
          <w:color w:val="auto"/>
        </w:rPr>
        <w:t>On September 4, 2020, Anthem Kentucky Managed Care Plan, Inc. (“Anthem”) brought an action in Franklin County Circuit</w:t>
      </w:r>
      <w:r>
        <w:rPr>
          <w:rFonts w:ascii="Arial" w:cs="Arial" w:eastAsia="Arial" w:hAnsi="Arial"/>
          <w:sz w:val="18"/>
          <w:szCs w:val="18"/>
          <w:i w:val="1"/>
          <w:iCs w:val="1"/>
          <w:color w:val="auto"/>
        </w:rPr>
        <w:t xml:space="preserve"> </w:t>
      </w:r>
      <w:r>
        <w:rPr>
          <w:rFonts w:ascii="Arial" w:cs="Arial" w:eastAsia="Arial" w:hAnsi="Arial"/>
          <w:sz w:val="18"/>
          <w:szCs w:val="18"/>
          <w:color w:val="auto"/>
        </w:rPr>
        <w:t>Court against the Kentucky Finance and Administration Cabinet, the Kentucky Cabinet for Health and Family Services, and all of the five winning bidder health plans, including our Kentucky health plan. On September 9, 2022, the Kentucky Court of Appeals ruled that, with regard to the earlier Circuit Court ruling granting Anthem relief, the Circuit Court should not have invalidated the 2020 procurement and thus should not have awarded a contract to Anthem. Anthem sought discretionary review by the Kentucky Supreme Court (“KSC”) of the ruling by the Court of Appeals. On March 14, 2024, the KSC entered an Order affirming the Kentucky Court of Appeals and thus allows our Kentucky health plan to retain its Medicaid contract. On April 3, 2024, Anthem filed a motion for reconsideration of the KSC Order, and the KSC has yet to rule. Pending further KSC or Franklin Circuit Court Orders, our Kentucky health plan will continue to operate for the foreseeable future under its current Medicaid contract.</w:t>
      </w:r>
    </w:p>
    <w:p>
      <w:pPr>
        <w:spacing w:after="0" w:line="7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Puerto Rico. </w:t>
      </w:r>
      <w:r>
        <w:rPr>
          <w:rFonts w:ascii="Arial" w:cs="Arial" w:eastAsia="Arial" w:hAnsi="Arial"/>
          <w:sz w:val="18"/>
          <w:szCs w:val="18"/>
          <w:color w:val="auto"/>
        </w:rPr>
        <w:t>On August 13, 2021, Molina Healthcare of Puerto Rico, Inc. (“MHPR”) filed a complaint with the Commonwealth of Puerto Rico,</w:t>
      </w:r>
      <w:r>
        <w:rPr>
          <w:rFonts w:ascii="Arial" w:cs="Arial" w:eastAsia="Arial" w:hAnsi="Arial"/>
          <w:sz w:val="18"/>
          <w:szCs w:val="18"/>
          <w:i w:val="1"/>
          <w:iCs w:val="1"/>
          <w:color w:val="auto"/>
        </w:rPr>
        <w:t xml:space="preserve"> </w:t>
      </w:r>
      <w:r>
        <w:rPr>
          <w:rFonts w:ascii="Arial" w:cs="Arial" w:eastAsia="Arial" w:hAnsi="Arial"/>
          <w:sz w:val="18"/>
          <w:szCs w:val="18"/>
          <w:color w:val="auto"/>
        </w:rPr>
        <w:t>Court of First Instance, San Juan (State Court) asserting breach of contract against Puerto Rico Health Insurance Administration (“ASES”). On September 13, 2021, ASES filed a counterclaim and a</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third-party complaint against MHPR and the Company. The parties expect to finalize a settlement in fiscal year 2024 which is not material to the Company’s business, financial condition, cash flows, or results of operations.</w:t>
      </w:r>
    </w:p>
    <w:p>
      <w:pPr>
        <w:spacing w:after="0" w:line="4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Texas Qui Tam Litigation. </w:t>
      </w:r>
      <w:r>
        <w:rPr>
          <w:rFonts w:ascii="Arial" w:cs="Arial" w:eastAsia="Arial" w:hAnsi="Arial"/>
          <w:sz w:val="18"/>
          <w:szCs w:val="18"/>
          <w:color w:val="auto"/>
        </w:rPr>
        <w:t>On May 7, 2013, a relator filed under seal a qui tam action in Texas state court against Molina Healthcare,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Molina Healthcare of Texas, Inc., asserting claims under the Texas Medicaid Fraud Prevention Act (“TMFPA”) on behalf of the State of Texas. As required by the TMFPA, the original petition was filed in camera and under seal, and without Molina’s awareness, to permit the State to decide whether to intervene. In 2019, the State declined to intervene. In June 2019, as a result of the State’s election to decline intervention, the trial court unsealed the original petition, at which time Molina became aware of the lawsuit. The relator’s third amended petition was filed on January 19, 2024. The petition alleges that, during the periods in question some ten years ago, Molina failed to assess STAR+PLUS members for personal attendant services, failed to provide those members with contractually required health care benefits, and misrepresented to the State Molina’s capacity to perform the assessments and the status of the assessments. Based on these allegations, the relator contends that Molina is liable to the State under the TMFPA for statutorily defined civil remedies, disgorgement of previous capitation payments, and interest. Molina denies the relator’s allegations as well as any liability in the lawsuit, and intends to defend against the relator’s allegations vigorously. The parties are currently engaged in settlement discussions. Molina does not believe this matter will have a material effect on our business, financial condition, cash flows, or results of operations.</w:t>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right="120"/>
        <w:spacing w:after="0" w:line="285" w:lineRule="auto"/>
        <w:rPr>
          <w:sz w:val="20"/>
          <w:szCs w:val="20"/>
          <w:color w:val="auto"/>
        </w:rPr>
      </w:pPr>
      <w:r>
        <w:rPr>
          <w:rFonts w:ascii="Arial" w:cs="Arial" w:eastAsia="Arial" w:hAnsi="Arial"/>
          <w:sz w:val="22"/>
          <w:szCs w:val="22"/>
          <w:b w:val="1"/>
          <w:bCs w:val="1"/>
          <w:color w:val="0F7C7F"/>
        </w:rPr>
        <w:t>MANAGEMENT’S DISCUSSION AND ANALYSIS OF FINANCIAL CONDITION AND RESULTS OF OPERATIONS (“MD&amp;A”)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FORWARD-LOOKING STATEMENTS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Quarterly Report on Form 10-Q (this “Form 10-Q”) contains forward-looking statements. We intend such forward-looking statements to be covered under the safe harbor provisions for forward-looking statements contained in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all statements other than statements of historical fact contained in this Form 10-Q may be forward-looking statements. In some cases, you can identify forward-looking statements by words such as “guidance,” “future,” “anticipates,” “believes,” “embedded,” “estimates,” “expects,” “growth,” “intends,” “plans,” “predicts,” “projects,” “will,” “would,” “could,” “can,” “may,” or the negative of these terms or other similar expressions. Forward-looking statements contained in this Form 10-Q include, but are not limited to, statements regarding our future results of operations and financial position, industry and business trends, regulatory developments, business strategy, strategic transactions and commercial arrangements, membership and market growth and our objectives for future operations. Readers are cautioned not to place undue reliance on any forward-looking statements, as forward-looking statements are not guarantees of future performance and the Company’s actual results may differ significantly due to numerous known and unknown risks and uncertainties.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Those known risks and uncertainties include, but are not limited to, the risk factors identified in the section titled “Risk Factors” in our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including without limitation risks related to the following matters:</w:t>
      </w:r>
    </w:p>
    <w:p>
      <w:pPr>
        <w:spacing w:after="0" w:line="236" w:lineRule="exact"/>
        <w:rPr>
          <w:sz w:val="20"/>
          <w:szCs w:val="20"/>
          <w:color w:val="auto"/>
        </w:rPr>
      </w:pPr>
    </w:p>
    <w:p>
      <w:pPr>
        <w:ind w:left="340" w:right="40" w:hanging="332"/>
        <w:spacing w:after="0" w:line="256"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continuing impact of Medicaid redeterminations in all of our state health plans, including the accuracy of our projections regarding the number of members we expect to retain, their health acuity levels, and the actuarially sound adjustment of rates with regard to the members we retain;</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budget pressures on state governments and states’ efforts to reduce rates or limit rate increases;</w:t>
      </w:r>
    </w:p>
    <w:p>
      <w:pPr>
        <w:spacing w:after="0" w:line="9" w:lineRule="exact"/>
        <w:rPr>
          <w:rFonts w:ascii="Arial" w:cs="Arial" w:eastAsia="Arial" w:hAnsi="Arial"/>
          <w:sz w:val="18"/>
          <w:szCs w:val="18"/>
          <w:color w:val="auto"/>
        </w:rPr>
      </w:pPr>
    </w:p>
    <w:p>
      <w:pPr>
        <w:ind w:left="340" w:right="42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constantly evolving market dynamics surrounding the Affordable Care Act (</w:t>
      </w:r>
      <w:r>
        <w:rPr>
          <w:rFonts w:ascii="Arial" w:cs="Arial" w:eastAsia="Arial" w:hAnsi="Arial"/>
          <w:sz w:val="18"/>
          <w:szCs w:val="18"/>
          <w:color w:val="auto"/>
        </w:rPr>
        <w:t>“</w:t>
      </w:r>
      <w:r>
        <w:rPr>
          <w:rFonts w:ascii="Arial" w:cs="Arial" w:eastAsia="Arial" w:hAnsi="Arial"/>
          <w:sz w:val="18"/>
          <w:szCs w:val="18"/>
          <w:i w:val="1"/>
          <w:iCs w:val="1"/>
          <w:color w:val="auto"/>
        </w:rPr>
        <w:t>ACA”) Marketplaces, including issues impacting enrollment, special enrollment periods, member choice, premium subsidies, risk adjustment estimates and results, Marketplace plan insolvencies or receiverships, and the potential for disproportionate enrollment of higher acuity members;</w:t>
      </w:r>
    </w:p>
    <w:p>
      <w:pPr>
        <w:spacing w:after="0" w:line="1" w:lineRule="exact"/>
        <w:rPr>
          <w:rFonts w:ascii="Arial" w:cs="Arial" w:eastAsia="Arial" w:hAnsi="Arial"/>
          <w:sz w:val="18"/>
          <w:szCs w:val="18"/>
          <w:color w:val="auto"/>
        </w:rPr>
      </w:pPr>
    </w:p>
    <w:p>
      <w:pPr>
        <w:ind w:left="340" w:right="74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success of our efforts to retain existing or awarded government contracts, the success of our bid submissions in response to requests for proposal, and our ability to identify merger and acquisition targets to support our continued growth over time;</w:t>
      </w:r>
    </w:p>
    <w:p>
      <w:pPr>
        <w:ind w:left="340" w:right="6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success of the scaling up of our operations in new states in connection with request for proposal (“RFP”) wins, and the satisfaction of all readiness review requirements under the new Medicaid contracts;</w:t>
      </w:r>
    </w:p>
    <w:p>
      <w:pPr>
        <w:ind w:left="340" w:right="26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integrate, and realize benefits from acquisitions, including the completed acquisitions of My Choice Wisconsin, and Brand New Day/Central Health Plan of California and the announced acquisition of ConnectiCare;</w:t>
      </w:r>
    </w:p>
    <w:p>
      <w:pPr>
        <w:ind w:left="340" w:right="220" w:hanging="332"/>
        <w:spacing w:after="0" w:line="265" w:lineRule="auto"/>
        <w:tabs>
          <w:tab w:leader="none" w:pos="33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subsequent adjustments to reported premium revenue based upon subsequent developments or new information, including retroactive Medicaid rate adjustments in a state or changes to estimated amounts payable or receivable related to Marketplace risk adjustment;</w:t>
      </w: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ability to predict with a reasonable degree of accuracy utilization rates;</w:t>
      </w:r>
    </w:p>
    <w:p>
      <w:pPr>
        <w:spacing w:after="0" w:line="9" w:lineRule="exact"/>
        <w:rPr>
          <w:rFonts w:ascii="Arial" w:cs="Arial" w:eastAsia="Arial" w:hAnsi="Arial"/>
          <w:sz w:val="18"/>
          <w:szCs w:val="18"/>
          <w:color w:val="auto"/>
        </w:rPr>
      </w:pPr>
    </w:p>
    <w:p>
      <w:pPr>
        <w:ind w:left="340" w:right="10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cyber-attacks, ransomware attacks, or other privacy or data security incidents involving either ourselves or our contracted vendors, such as Change Healthcare or CrowdStrike, that result in an inadvertent unauthorized disclosure of protected information or operational delays, and the extent to which our working in a remote work environment heightens our exposure to these risks;</w:t>
      </w:r>
    </w:p>
    <w:p>
      <w:pPr>
        <w:spacing w:after="0" w:line="1" w:lineRule="exact"/>
        <w:rPr>
          <w:rFonts w:ascii="Arial" w:cs="Arial" w:eastAsia="Arial" w:hAnsi="Arial"/>
          <w:sz w:val="18"/>
          <w:szCs w:val="18"/>
          <w:color w:val="auto"/>
        </w:rPr>
      </w:pPr>
    </w:p>
    <w:p>
      <w:pPr>
        <w:ind w:left="340" w:right="122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16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operational improvements, efficiencies, and cost savings that are less than anticipated, or that result in unforeseen consequences, from our investments in artificial intelligence (“AI”) administrative tools and initiatives;</w:t>
      </w:r>
    </w:p>
    <w:p>
      <w:pPr>
        <w:ind w:left="340" w:right="40" w:hanging="332"/>
        <w:spacing w:after="0" w:line="266"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our working in a permanent remote work environment, including any associated impairment charges or contract termination costs;</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ind w:left="340" w:right="200" w:hanging="332"/>
        <w:spacing w:after="0" w:line="259"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12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340" w:right="48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estimates of amounts owed for minimum medical loss ratio regulations and contractual provisions, administrative cost and profit ceilings, premium stabilization programs, profit-sharing arrangements, and risk adjustment provisions and requirements;</w:t>
      </w:r>
    </w:p>
    <w:p>
      <w:pPr>
        <w:ind w:left="340" w:right="20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right="1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transition of Medicare-Medicaid pilot programs in California, Illinois, Michigan, Ohio, South Carolina, and Texas serving those dually eligible for both Medicare and Medicaid, and the increasing integration of Medicare and Medicaid programmatic and compliance requirements, and the extension or incorporation of federal Medicare requirements developed by CMS into state-administered Medicaid programs;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changes in our annual effective tax rate due to federal and/or state legislation, or changes in our mix of earnings and other factors;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efficient and effective operations of the vendors on whom our business relies;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complications, member confusion, or enrollment backlogs related to the renewal of Medicaid coverage;</w:t>
      </w:r>
    </w:p>
    <w:p>
      <w:pPr>
        <w:spacing w:after="0" w:line="9" w:lineRule="exact"/>
        <w:rPr>
          <w:rFonts w:ascii="Arial" w:cs="Arial" w:eastAsia="Arial" w:hAnsi="Arial"/>
          <w:sz w:val="18"/>
          <w:szCs w:val="18"/>
          <w:color w:val="auto"/>
        </w:rPr>
      </w:pPr>
    </w:p>
    <w:p>
      <w:pPr>
        <w:ind w:left="340" w:right="5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fraud, waste and abuse matters, government audits, reviews, or investigations, comment letters, and any fine, sanction, enrollment freeze, debarment, corrective action plan, monitoring program, or premium recovery that may result therefrom;</w:t>
      </w:r>
    </w:p>
    <w:p>
      <w:pPr>
        <w:ind w:left="340" w:right="5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success of our providers, including delegated providers, the adequacy of our provider networks, the successful maintenance of relations with our providers, and the potential loss of providers;</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favorable resolution of litigation, arbitration, or administrative proceedings;</w:t>
      </w:r>
    </w:p>
    <w:p>
      <w:pPr>
        <w:spacing w:after="0" w:line="9" w:lineRule="exact"/>
        <w:rPr>
          <w:rFonts w:ascii="Arial" w:cs="Arial" w:eastAsia="Arial" w:hAnsi="Arial"/>
          <w:sz w:val="18"/>
          <w:szCs w:val="18"/>
          <w:color w:val="auto"/>
        </w:rPr>
      </w:pPr>
    </w:p>
    <w:p>
      <w:pPr>
        <w:ind w:left="340" w:right="66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greater scale and revenues of our health plans in California, New York, Ohio, Texas, and Washington, and risks related to the concentration of our business in those states;</w:t>
      </w:r>
    </w:p>
    <w:p>
      <w:pPr>
        <w:ind w:left="340" w:right="42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failure to comply with the financial or other covenants in our credit agreement or the indentures governing our outstanding senior notes;</w:t>
      </w:r>
    </w:p>
    <w:p>
      <w:pPr>
        <w:ind w:left="3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changes generally affecting the managed care industry, including any new federal or state legislation that impacts the business space in which we operate;</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impact of inflation on our medical costs and the cost of refinancing our outstanding indebtedness;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increasing competition and consolidation in the Medicaid or general healthcare sector.</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forward-looking statements in this Form 10-Q are based upon information available to us as of the date of this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We qualify all of our forward-looking statements by these cautionary statements. These forward-looking statements speak only as of the date of this Form 10-Q. The Company assumes no obligation to revise or update any forward-looking statements for any reason,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This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2023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OVERVIEW</w:t>
      </w:r>
    </w:p>
    <w:p>
      <w:pPr>
        <w:spacing w:after="0" w:line="1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We served approximately 5.6 million members as of June 30, 2024, located across 21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SECOND QUARTER 2024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reported net income of $301 million, or $5.17 per diluted share, for the second quarter of 2024, which reflected the following:</w:t>
      </w:r>
    </w:p>
    <w:p>
      <w:pPr>
        <w:spacing w:after="0" w:line="117" w:lineRule="exact"/>
        <w:rPr>
          <w:sz w:val="20"/>
          <w:szCs w:val="20"/>
          <w:color w:val="auto"/>
        </w:rPr>
      </w:pPr>
    </w:p>
    <w:p>
      <w:pPr>
        <w:ind w:left="660" w:right="12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Membership of 5.6 million at June 30, 2024 increased 403,000, or 8%, compared with June 30, 2023, across all segments, primarily due to the new Medicaid contract wins, acquisitions, and growth in our current footprint, partially offset by the impact of Medicaid redeterminations;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Premium revenue of $9.4 billion, which increased 17% compared with the second quarter of 2023 due to the increased membership in all segments mentioned above;</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medical care ratio (“MCR”) of 88.6%, compared with 87.5% for the second quarter of 2023;</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income of $115 million, which increased 19% compared with the second quarter of 2023, and continues to bolster our operating income results;</w:t>
      </w:r>
    </w:p>
    <w:p>
      <w:pPr>
        <w:ind w:left="660" w:right="1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 (“G&amp;A”) ratio of 7.0%, compared with 7.4% for the second quarter of 2023, reflecting operating discipline and the continued benefit of fixed cost leverage as we grow our business;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After-tax margin of 3.0%, which was in line with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FINANCIAL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results of operations and other financial information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340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6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5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r>
      <w:tr>
        <w:trPr>
          <w:trHeight w:val="250"/>
        </w:trPr>
        <w:tc>
          <w:tcPr>
            <w:tcW w:w="4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millions, except per-share amounts)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4"/>
              </w:rPr>
              <w:t>9,446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8,042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18,950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15,927</w:t>
            </w:r>
          </w:p>
        </w:tc>
      </w:tr>
      <w:tr>
        <w:trPr>
          <w:trHeight w:val="21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medical care costs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8,368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7,038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16,782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13,909</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4"/>
              </w:rPr>
              <w:t>1,078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2,168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2,018</w:t>
            </w:r>
          </w:p>
        </w:tc>
      </w:tr>
      <w:tr>
        <w:trPr>
          <w:trHeight w:val="216"/>
        </w:trPr>
        <w:tc>
          <w:tcPr>
            <w:tcW w:w="4500" w:type="dxa"/>
            <w:vAlign w:val="bottom"/>
          </w:tcPr>
          <w:p>
            <w:pPr>
              <w:ind w:left="140"/>
              <w:spacing w:after="0" w:line="216" w:lineRule="exact"/>
              <w:rPr>
                <w:sz w:val="20"/>
                <w:szCs w:val="20"/>
                <w:color w:val="auto"/>
              </w:rPr>
            </w:pPr>
            <w:r>
              <w:rPr>
                <w:rFonts w:ascii="Arial" w:cs="Arial" w:eastAsia="Arial" w:hAnsi="Arial"/>
                <w:sz w:val="25"/>
                <w:szCs w:val="25"/>
                <w:i w:val="1"/>
                <w:iCs w:val="1"/>
                <w:color w:val="auto"/>
                <w:vertAlign w:val="subscript"/>
              </w:rPr>
              <w:t>MCR</w:t>
            </w:r>
            <w:r>
              <w:rPr>
                <w:rFonts w:ascii="Arial" w:cs="Arial" w:eastAsia="Arial" w:hAnsi="Arial"/>
                <w:sz w:val="9"/>
                <w:szCs w:val="9"/>
                <w:i w:val="1"/>
                <w:iCs w:val="1"/>
                <w:color w:val="auto"/>
              </w:rPr>
              <w:t xml:space="preserve"> (1)</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88.6 %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87.5 %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88.6 %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87.3 %</w:t>
            </w:r>
          </w:p>
        </w:tc>
      </w:tr>
      <w:tr>
        <w:trPr>
          <w:trHeight w:val="257"/>
        </w:trPr>
        <w:tc>
          <w:tcPr>
            <w:tcW w:w="4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341</w:t>
            </w: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168</w:t>
            </w: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r>
      <w:tr>
        <w:trPr>
          <w:trHeight w:val="257"/>
        </w:trPr>
        <w:tc>
          <w:tcPr>
            <w:tcW w:w="4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1,402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1,209</w:t>
            </w:r>
          </w:p>
        </w:tc>
      </w:tr>
      <w:tr>
        <w:trPr>
          <w:trHeight w:val="216"/>
        </w:trPr>
        <w:tc>
          <w:tcPr>
            <w:tcW w:w="450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7.0 %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7.4 %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7.1 %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7.3 %</w:t>
            </w:r>
          </w:p>
        </w:tc>
      </w:tr>
      <w:tr>
        <w:trPr>
          <w:trHeight w:val="257"/>
        </w:trPr>
        <w:tc>
          <w:tcPr>
            <w:tcW w:w="4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Premium tax expenses</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341</w:t>
            </w: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w:t>
            </w:r>
          </w:p>
        </w:tc>
      </w:tr>
      <w:tr>
        <w:trPr>
          <w:trHeight w:val="21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860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898</w:t>
            </w:r>
          </w:p>
        </w:tc>
      </w:tr>
      <w:tr>
        <w:trPr>
          <w:trHeight w:val="20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55</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843</w:t>
            </w:r>
          </w:p>
        </w:tc>
      </w:tr>
      <w:tr>
        <w:trPr>
          <w:trHeight w:val="21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213</w:t>
            </w:r>
          </w:p>
        </w:tc>
      </w:tr>
      <w:tr>
        <w:trPr>
          <w:trHeight w:val="23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630</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1"/>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10.33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10.87</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1"/>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9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58.0</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Ending Membership</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5.2</w:t>
            </w: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25.2 %</w:t>
            </w:r>
          </w:p>
        </w:tc>
      </w:tr>
      <w:tr>
        <w:trPr>
          <w:trHeight w:val="285"/>
        </w:trPr>
        <w:tc>
          <w:tcPr>
            <w:tcW w:w="4500" w:type="dxa"/>
            <w:vAlign w:val="bottom"/>
          </w:tcPr>
          <w:p>
            <w:pPr>
              <w:ind w:left="2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(3)</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3.8 %</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8"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21" w:lineRule="exact"/>
        <w:rPr>
          <w:rFonts w:ascii="Arial" w:cs="Arial" w:eastAsia="Arial" w:hAnsi="Arial"/>
          <w:sz w:val="16"/>
          <w:szCs w:val="16"/>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w:t>
      </w:r>
    </w:p>
    <w:p>
      <w:pPr>
        <w:spacing w:after="0" w:line="14" w:lineRule="exact"/>
        <w:rPr>
          <w:rFonts w:ascii="Arial" w:cs="Arial" w:eastAsia="Arial" w:hAnsi="Arial"/>
          <w:sz w:val="16"/>
          <w:szCs w:val="16"/>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NET INCOME AND OPERATING INCOME</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income in the second quarter of 2024 amounted to $ 301 million, or $5.17 per diluted share, compared with $309 million, or $5.35 per diluted share, in the second quarter of 2023. Net income in the six months ended June 30, 2024 amounted to $ 602 million, or $10.33 per diluted share, compared with $630 million, or $10.87 per diluted share, in the six months ended June 30, 2023. The decrease in net income for both periods is due to decrease in operating income from the higher MCRs related to new contracts, recent acquisitions and organic growth, partially offset by improvement in the G&amp;A expense ratio and increase in investment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REVENUE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Premium revenue increased $1.4 billion, or 17%, in the second quarter of 2024, when compared with the second quarter of 2023, and increased $3.0 billion, or 19%, in the six months ended June 30, 2024, when compared with the six months ended June 30, 2023. The higher premium revenue reflects the impact of a balanced combination of the new Medicaid contract wins, acquisitions, and growth in our current footprint, partially offset by the impact of Medicaid redeterminations. See further discussion in “Reportable Segments—Segment Financial Performance,”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MEDICAL CARE RATIO</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consolidated MCR in the second quarter of 2024 increased to 88.6%, compared with 87.5% in the second quarter of 2023, or 110 basis points. The consolidated MCR in the six months ended June 30, 2024 increased to 88.6%, compared with 87.3% MCR for the six months ended June 30, 2023, or 130 basis points. The increase in both periods reflects changes in member mix due to growth across all segments, due to the expected higher initial MCRs related to new contracts, recent acquisitions and organic growth, and modest medical cost pressure, partially offset by minimum MLRs and medical cost corridors and continued disciplined medical cost management. See further discussion in “Reportable Segments—Segment Financial Performance,” below.</w:t>
      </w:r>
    </w:p>
    <w:p>
      <w:pPr>
        <w:spacing w:after="0" w:line="7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prior year reserve development in the six months ended June 30, 2024 was favorable, but its impact on earnings has been mostly absorbed by minimum MLRs and medical cost corridors.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TAX REVENUE AND EXPENSES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3.1% and 2.0% for the second quarter of 2024 and 2023, respectively, and 3.0% and 2.1% for the six months ended June 30, 2024 and 2023, respectively. The current year ratio increases were mainly due to the reinstatement of the California managed care organization tax by the state’s Department of Health Care Services in the fourth quarter of 2023 and changes in business mix.</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INVESTMENT INCOME</w:t>
      </w:r>
    </w:p>
    <w:p>
      <w:pPr>
        <w:spacing w:after="0" w:line="117"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Investment income increased to $115 million in the second quarter of 2024, compared with $97 million in the second quarter of 2023, and increased to $223 million in the six months ended June 30, 2024, compared with $168 million in the six months ended June 30, 2023. The increase in both periods was primarily driven by higher average yields on the investment portfolio.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REVENUE</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Other revenue increased slightly to $21 million in the second quarter of 2024, compared with $19 million in the second quarter of 2023, and increased to $43 million in the six months ended June 30, 2024, compared with $40 million in the six months ended June 30, 2023. Other revenue mainly includes service revenue associated with long-term services and supports consultative services we provide in Wisconsin.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G&amp;A EXPENSES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G&amp;A expense ratio was 7.0% in the second quarter of 2024, compared with 7.4% in the second quarter of 2023. The G&amp;A expense ratio was 7.1% in the six months ended June 30, 2024, compared with 7.3% in the six months ended June 30, 2023. G&amp;A expenses in the six months ended June 30, 2024 reflect operating discipline and the continued benefit of fixed cost leverage as we grow our business, partially offset by new business implementation costs associated with the Nebraska and California Medicaid contracts wins that started in January 2024.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DEPRECIATION AND AMORTIZATION</w:t>
      </w:r>
    </w:p>
    <w:p>
      <w:pPr>
        <w:spacing w:after="0" w:line="11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Depreciation and amortization was $46 million in the second quarter of 2024, compared with $42 million in the second quarter of 2023, and was $91 million in the six months ended June 30, 2024, compared with $ 86 million in the six months ended June 30, 2023. The increase in both periods is due to the closing of the My Choice Wisconsin and Bright Health Medicare acquisitions.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OPERATING EXPENSES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operating expenses increased to $43 million in the second quarter of 2024, compared with $17 million in the second quarter of 2023, and increased to $81 million in the six months ended June 30, 2024, compared with $ 33 million in the six months ended June 30, 2023. The increases in both periods reflect non-recurring costs associated with acquisitions, and costs for litigation dating back to 2013. Other operating expenses also include service costs associated with long-term services and supports consultative services we provide in Wisconsin, as noted above.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INTEREST EXPENSE</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Interest expense was $28 million and $27 million in the second quarter of 2024 and 2023, respectively, and $55 million for both the six months ended June 30, 2024 and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INCOME TAXES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Income tax expense amounted to $105 million in the second quarter of 2024, or 25.8% of pretax income, compared with income tax expense of $107 million, or 25.5% of pretax income, in the second quarter of 2023. Income tax expense amounted to $203 million in the six months ended June 30, 2024, or 25.2% of pretax income, compared with income tax expense of $213 million, or 25.2% of pretax income, in the six months ended June 30, 2023. The difference in the effective tax rate during the quarters is primarily due to state income taxes.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TRENDS AND UNCERTAINTIES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REGULATORY DEVELOPMENTS AND RELATED TRENDS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Economic Stabilization and Other Programs</w:t>
      </w:r>
    </w:p>
    <w:p>
      <w:pPr>
        <w:spacing w:after="0" w:line="11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Public Health Emergency (“PHE”) officially ended on May 11, 2023. There are several healthcare programs tied to the PHE which are impacted by this change in policy. These include coverage of COVID-19 testing and vaccines, changes to the Medicare fee schedule for COVID-related treatments, and free coverage of at-home COVID-19 diagnostic tests. Per federal statutory and regulatory requirements, some of these programs concluded with the end of the PHE, while some will continue through 2024, and some will remain in place permanently.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Enrollment and Premium Revenue</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Excluding acquisitions and our exit from Puerto Rico, we estimate we added approximately one million new Medicaid members since March 31, 2020, when we first began to report on the impacts of the pandemic. We believe this membership increase was mainly due to the suspension of redeterminations for Medicaid eligibility. The Consolidated Appropriations Act of 2023 authorized states to resume redeterminations and terminate coverage for ineligible enrollees starting on April 1, 2023, irrespective of the status of the PHE. Consequently, during the third quarter of 2023, all states in which we operate had begun disenrolling members. In the second quarter of 2024, we estimate we lost approximately 100,000 members due to the net effect of redeterminations. This was on track with our expectations and brings the total count of members lost through redeterminations to 650,000. Given the high number of procedural terminations and increasing interventions by CMS and various states, we expect reconnects will likely continue, including 50,000 in the second half of 2024. Although the medical cost profile of members who have been disenrolled is more favorable than the Medicaid segment average, when combined with the beneficial impact of corridor offsets and rates in several states, our Medicaid MCR for the six months ended June 30, 2024 was in line with our expectations. Based on the experience to date, we expect that we will ultimately retain approximately 40% of the membership gained since March 31,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RECENT DEVELOPMENTS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RFPs and Acquisitions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Connecticut Acquisition—Marketplace and Medicare. </w:t>
      </w:r>
      <w:r>
        <w:rPr>
          <w:rFonts w:ascii="Arial" w:cs="Arial" w:eastAsia="Arial" w:hAnsi="Arial"/>
          <w:sz w:val="18"/>
          <w:szCs w:val="18"/>
          <w:color w:val="auto"/>
        </w:rPr>
        <w:t>On July 23, 2024, we announced a definitive agreement to acquire ConnectiCare</w:t>
      </w:r>
      <w:r>
        <w:rPr>
          <w:rFonts w:ascii="Arial" w:cs="Arial" w:eastAsia="Arial" w:hAnsi="Arial"/>
          <w:sz w:val="18"/>
          <w:szCs w:val="18"/>
          <w:i w:val="1"/>
          <w:iCs w:val="1"/>
          <w:color w:val="auto"/>
        </w:rPr>
        <w:t xml:space="preserve"> </w:t>
      </w:r>
      <w:r>
        <w:rPr>
          <w:rFonts w:ascii="Arial" w:cs="Arial" w:eastAsia="Arial" w:hAnsi="Arial"/>
          <w:sz w:val="18"/>
          <w:szCs w:val="18"/>
          <w:color w:val="auto"/>
        </w:rPr>
        <w:t>Holding Company, Inc. (“ConnectiCare”), a wholly owned subsidiary of EmblemHealth, Inc. ConnectiCare is a leading health plan in the state of Connecticut serving approximately 140,000 members across Marketplace, Medicare, and certain commercial products as of June 30, 2024. The purchase price for the transaction is approximately $350 million, which we intend to fund with cash on hand. The transaction is subject to applicable federal and state regulatory approvals and the satisfaction of other customary closing conditions. We currently expect the transaction to close in the first half of 2025.</w:t>
      </w:r>
    </w:p>
    <w:p>
      <w:pPr>
        <w:spacing w:after="0" w:line="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Florida Procurement—Medicaid. </w:t>
      </w:r>
      <w:r>
        <w:rPr>
          <w:rFonts w:ascii="Arial" w:cs="Arial" w:eastAsia="Arial" w:hAnsi="Arial"/>
          <w:sz w:val="18"/>
          <w:szCs w:val="18"/>
          <w:color w:val="auto"/>
        </w:rPr>
        <w:t>In July 2024, we were notified that the Florida Agency for Healthcare Administration awarded a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managed care contract to Molina Healthcare of Florida. The contract term is expected to commence on January 1, 2025, and to run through December 31, 2030. We expect to serve approximately 90,000 Medicaid beneficiaries in Miami-Dade and Monroe Counties.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New Mexico Procurement—Medicaid. </w:t>
      </w:r>
      <w:r>
        <w:rPr>
          <w:rFonts w:ascii="Arial" w:cs="Arial" w:eastAsia="Arial" w:hAnsi="Arial"/>
          <w:sz w:val="18"/>
          <w:szCs w:val="18"/>
          <w:color w:val="auto"/>
        </w:rPr>
        <w:t>Our new contract with the New Mexico Health Care Authority commenced on July 1, 2024 and will run</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December 31, 2026. The new contract added approximately 33,000 members.</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i w:val="1"/>
          <w:iCs w:val="1"/>
          <w:color w:val="auto"/>
        </w:rPr>
        <w:t xml:space="preserve">Wisconsin Procurement—Medicaid. </w:t>
      </w:r>
      <w:r>
        <w:rPr>
          <w:rFonts w:ascii="Arial" w:cs="Arial" w:eastAsia="Arial" w:hAnsi="Arial"/>
          <w:sz w:val="18"/>
          <w:szCs w:val="18"/>
          <w:color w:val="auto"/>
        </w:rPr>
        <w:t>In May 2024, we were notified that the Wisconsin Department of Health Services intends to make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for the purchase of services under the Family Care and Family Care Partnership program in its Geographic Service Region 5 to Molina Healthcare of Wisconsin. The go-live date is expected to be January 1, 2025, and the contract is expected to have a duration of two years, with an option for three two-year extensions.</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color w:val="auto"/>
        </w:rPr>
        <w:t xml:space="preserve">Michigan Procurement—Medicaid. </w:t>
      </w:r>
      <w:r>
        <w:rPr>
          <w:rFonts w:ascii="Arial" w:cs="Arial" w:eastAsia="Arial" w:hAnsi="Arial"/>
          <w:sz w:val="18"/>
          <w:szCs w:val="18"/>
          <w:color w:val="auto"/>
        </w:rPr>
        <w:t>In April 2024, we announced that the Michigan Department of Health and Human Services intends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 a Comprehensive Health Care Program contract to Molina Healthcare of Michigan. We were awarded the contract in six service regions. The go-live date for the new Medicaid contract is expected to be October 1, 2024. The new contract is expected to have a duration of five years, with an option for three one-year extensions.</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 xml:space="preserve">Texas Procurement—Medicaid. </w:t>
      </w:r>
      <w:r>
        <w:rPr>
          <w:rFonts w:ascii="Arial" w:cs="Arial" w:eastAsia="Arial" w:hAnsi="Arial"/>
          <w:sz w:val="18"/>
          <w:szCs w:val="18"/>
          <w:color w:val="auto"/>
        </w:rPr>
        <w:t>In the first quarter of 2024, we were notified of the Texas Health and Human Services Commission’s intent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 us a contract for TANF and CHIP (known in Texas as the STAR &amp; CHIP programs, and both existing contracts for Molina), expanding our footprint and expecting to grow our market share. The start of operations for the new contract is expected to begin in the third quarter of 2025.</w:t>
      </w:r>
    </w:p>
    <w:p>
      <w:pPr>
        <w:spacing w:after="0" w:line="6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i w:val="1"/>
          <w:iCs w:val="1"/>
          <w:color w:val="auto"/>
        </w:rPr>
        <w:t xml:space="preserve">Mississippi Procurement—Medicaid. </w:t>
      </w:r>
      <w:r>
        <w:rPr>
          <w:rFonts w:ascii="Arial" w:cs="Arial" w:eastAsia="Arial" w:hAnsi="Arial"/>
          <w:sz w:val="18"/>
          <w:szCs w:val="18"/>
          <w:color w:val="auto"/>
        </w:rPr>
        <w:t>In the second quarter of 2024, the Mississippi Division of Medicaid extended the existing contracts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fiscal year that began on July 1, 2024. We now expect the new four-year contract, which will cover both TANF &amp; ABD and CHIP, to commence on July 1, 2025.</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Virginia Procurement—Medicaid. </w:t>
      </w:r>
      <w:r>
        <w:rPr>
          <w:rFonts w:ascii="Arial" w:cs="Arial" w:eastAsia="Arial" w:hAnsi="Arial"/>
          <w:sz w:val="18"/>
          <w:szCs w:val="18"/>
          <w:color w:val="auto"/>
        </w:rPr>
        <w:t>In the first quarter of 2024, the Virginia Department of Medical Assistance Services (“DMAS”) issued a</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intent to award which did not include Molina Healthcare of Virginia as an awardee for its Cardinal Care Managed Care (“CCMC”) procurement. We exercised our right to protest that decision. On April 19, 2024, DMAS upheld its notice of intent to award in response to our protest. On April 26, 2024, Molina filed a legal action in Virginia Circuit Court over DMAS’s decision not to award Molina a CCMC contract. In addition, DMAS separately notified us that they were exercising the contractual extension option for the period from July 1, 2024 through June 30, 2025. Despite the extension, subject to a 90-day advance notice obligation, DMAS retains its right to terminate the contract for convenience in order to transition members to the new CCMC contracts.</w:t>
      </w:r>
    </w:p>
    <w:p>
      <w:pPr>
        <w:spacing w:after="0" w:line="7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i w:val="1"/>
          <w:iCs w:val="1"/>
          <w:color w:val="auto"/>
        </w:rPr>
        <w:t xml:space="preserve">California Acquisition—Medicare. </w:t>
      </w:r>
      <w:r>
        <w:rPr>
          <w:rFonts w:ascii="Arial" w:cs="Arial" w:eastAsia="Arial" w:hAnsi="Arial"/>
          <w:sz w:val="18"/>
          <w:szCs w:val="18"/>
          <w:color w:val="auto"/>
        </w:rPr>
        <w:t>Effective January 1, 2024, we closed on our acquisition of 100% of the issued and outstanding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Brand New Day and Central Health Plan of California (“Bright Health Medicare”), which added approximately 109,000 members.</w:t>
      </w:r>
    </w:p>
    <w:p>
      <w:pPr>
        <w:spacing w:after="0" w:line="45"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Our new contract with the California Department of Health Care Services commenced on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2024, which enables us to continue servicing Medi-Cal members in most of our existing counties and expand our footprint in Los Angeles County.</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Nebraska Procurement—Medicaid. </w:t>
      </w:r>
      <w:r>
        <w:rPr>
          <w:rFonts w:ascii="Arial" w:cs="Arial" w:eastAsia="Arial" w:hAnsi="Arial"/>
          <w:sz w:val="18"/>
          <w:szCs w:val="18"/>
          <w:color w:val="auto"/>
        </w:rPr>
        <w:t>Our new contract with the Nebraska Department of Health and Human Services commenced on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1, 2024, which added approximately 112,000 members.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Healthcare Cybersecurity Incident</w:t>
      </w:r>
    </w:p>
    <w:p>
      <w:pPr>
        <w:spacing w:after="0" w:line="1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February 21, 2024, Change Healthcare (“CHC”), a major claims processing vendor to Molina, experienced a significant cybersecurity incident. Immediately upon becoming aware of the incident, Molina disconnected and isolated its systems from CHC, and confirmed that no Molina owned or operated systems were compromised by any pre-incident interaction or connectivity with CHC. As a result of the disconnection of our systems from CHC, Molina’s ability to receive claims submissions and process remits and payments to providers was partially and temporarily impaired. We promptly enacted our incident response and business continuity plans, which included the implementation of alternative, work-around solutions in order to resume electronic claims intake and payment to providers, and, as a result, we experienced minimal impact to our claims payment operations. To date the event has not had a material impact on the Company’s financial condition or results of operations.</w:t>
      </w:r>
    </w:p>
    <w:p>
      <w:pPr>
        <w:spacing w:after="0" w:line="77" w:lineRule="exact"/>
        <w:rPr>
          <w:sz w:val="20"/>
          <w:szCs w:val="20"/>
          <w:color w:val="auto"/>
        </w:rPr>
      </w:pPr>
    </w:p>
    <w:p>
      <w:pPr>
        <w:ind w:right="220"/>
        <w:spacing w:after="0" w:line="334" w:lineRule="auto"/>
        <w:rPr>
          <w:sz w:val="20"/>
          <w:szCs w:val="20"/>
          <w:color w:val="auto"/>
        </w:rPr>
      </w:pPr>
      <w:r>
        <w:rPr>
          <w:rFonts w:ascii="Arial" w:cs="Arial" w:eastAsia="Arial" w:hAnsi="Arial"/>
          <w:sz w:val="18"/>
          <w:szCs w:val="18"/>
          <w:color w:val="auto"/>
        </w:rPr>
        <w:t>UnitedHealth Group, the parent company to CHC, has indicated a substantial portion of U.S. residents may have had their PHI/PII affected by the incident. However, we currently have no specific indication from CHC as to whether our members’ data has been breached.</w:t>
      </w:r>
    </w:p>
    <w:p>
      <w:pPr>
        <w:spacing w:after="0" w:line="4" w:lineRule="exact"/>
        <w:rPr>
          <w:sz w:val="20"/>
          <w:szCs w:val="20"/>
          <w:color w:val="auto"/>
        </w:rPr>
      </w:pPr>
    </w:p>
    <w:p>
      <w:pPr>
        <w:ind w:right="1060"/>
        <w:spacing w:after="0" w:line="287" w:lineRule="auto"/>
        <w:rPr>
          <w:sz w:val="20"/>
          <w:szCs w:val="20"/>
          <w:color w:val="auto"/>
        </w:rPr>
      </w:pPr>
      <w:r>
        <w:rPr>
          <w:rFonts w:ascii="Arial" w:cs="Arial" w:eastAsia="Arial" w:hAnsi="Arial"/>
          <w:sz w:val="18"/>
          <w:szCs w:val="18"/>
          <w:color w:val="auto"/>
        </w:rPr>
        <w:t>We are continuing to monitor the situation regarding new developments and remain in close communication with CHC. We have implemented heightened security protocols to mitigate potential risks to our providers and members related to this incident.</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For a discussion of additional segment trends, uncertainties and other developments, refer to our 2023 Annual Report on Form 10-K, “Item 1. Business—Our Business,” and “—Legislative and Political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REPORTABLE SEGMENTS</w:t>
      </w:r>
    </w:p>
    <w:p>
      <w:pPr>
        <w:spacing w:after="0" w:line="10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June 30, 2024, we served approximately 5.6 million members eligible for Medicaid, Medicare, and other government-sponsored healthcare programs for low-income families and individuals, including Marketplace members, most of whom receive government premium subsidies.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four reportable segments consisting of: 1) Medicaid; 2) Medicare; 3) Marketplace; and 4) Other.</w:t>
      </w:r>
    </w:p>
    <w:p>
      <w:pPr>
        <w:spacing w:after="0" w:line="117" w:lineRule="exact"/>
        <w:rPr>
          <w:sz w:val="20"/>
          <w:szCs w:val="20"/>
          <w:color w:val="auto"/>
        </w:rPr>
      </w:pPr>
    </w:p>
    <w:p>
      <w:pPr>
        <w:jc w:val="both"/>
        <w:ind w:right="700"/>
        <w:spacing w:after="0" w:line="268"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HOW WE ASSESS PERFORMANCE</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4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w:t>
      </w:r>
    </w:p>
    <w:p>
      <w:pPr>
        <w:spacing w:after="0" w:line="7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Management’s discussion and analysis of the change in medical margin is discussed below under “Segment Financial Performance.” For more information, see Notes to Consolidated Financial Statements, Note 9, “Segments.”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SEGMENT MEMBERSHIP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membership by segment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362"/>
              <w:spacing w:after="0"/>
              <w:rPr>
                <w:sz w:val="20"/>
                <w:szCs w:val="20"/>
                <w:color w:val="auto"/>
              </w:rPr>
            </w:pPr>
            <w:r>
              <w:rPr>
                <w:rFonts w:ascii="Arial" w:cs="Arial" w:eastAsia="Arial" w:hAnsi="Arial"/>
                <w:sz w:val="14"/>
                <w:szCs w:val="14"/>
                <w:b w:val="1"/>
                <w:bCs w:val="1"/>
                <w:color w:val="auto"/>
              </w:rPr>
              <w:t>June 30,</w:t>
            </w:r>
          </w:p>
        </w:tc>
      </w:tr>
      <w:tr>
        <w:trPr>
          <w:trHeight w:val="203"/>
        </w:trPr>
        <w:tc>
          <w:tcPr>
            <w:tcW w:w="67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4,942,000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4,542,000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4,741,000</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251,000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172,000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166,000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386,000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281,000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269,000</w:t>
            </w:r>
          </w:p>
        </w:tc>
      </w:tr>
      <w:tr>
        <w:trPr>
          <w:trHeight w:val="210"/>
        </w:trPr>
        <w:tc>
          <w:tcPr>
            <w:tcW w:w="6700" w:type="dxa"/>
            <w:vAlign w:val="bottom"/>
          </w:tcPr>
          <w:p>
            <w:pPr>
              <w:ind w:left="14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5,579,000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4,995,000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5,176,000</w:t>
            </w: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SEGMENT FINANCIAL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premium revenue, medical margin, and MCR by segment for the periods indicated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right"/>
              <w:ind w:right="163"/>
              <w:spacing w:after="0"/>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3"/>
                <w:szCs w:val="13"/>
                <w:color w:val="auto"/>
              </w:rPr>
            </w:pP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right"/>
              <w:ind w:right="183"/>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3"/>
                <w:szCs w:val="13"/>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right"/>
              <w:ind w:right="183"/>
              <w:spacing w:after="0"/>
              <w:rPr>
                <w:sz w:val="20"/>
                <w:szCs w:val="20"/>
                <w:color w:val="auto"/>
              </w:rPr>
            </w:pPr>
            <w:r>
              <w:rPr>
                <w:rFonts w:ascii="Arial" w:cs="Arial" w:eastAsia="Arial" w:hAnsi="Arial"/>
                <w:sz w:val="14"/>
                <w:szCs w:val="14"/>
                <w:b w:val="1"/>
                <w:bCs w:val="1"/>
                <w:color w:val="auto"/>
              </w:rPr>
              <w:t>Margin</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right"/>
              <w:ind w:right="203"/>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7,378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90.8 %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756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88.3 %</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1,441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113</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135</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10"/>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9,446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88.6 %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8,042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1,004</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87.5 %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right"/>
              <w:ind w:right="163"/>
              <w:spacing w:after="0"/>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3"/>
                <w:szCs w:val="13"/>
                <w:color w:val="auto"/>
              </w:rPr>
            </w:pP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right"/>
              <w:ind w:right="183"/>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3"/>
                <w:szCs w:val="13"/>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right"/>
              <w:ind w:right="183"/>
              <w:spacing w:after="0"/>
              <w:rPr>
                <w:sz w:val="20"/>
                <w:szCs w:val="20"/>
                <w:color w:val="auto"/>
              </w:rPr>
            </w:pPr>
            <w:r>
              <w:rPr>
                <w:rFonts w:ascii="Arial" w:cs="Arial" w:eastAsia="Arial" w:hAnsi="Arial"/>
                <w:sz w:val="14"/>
                <w:szCs w:val="14"/>
                <w:b w:val="1"/>
                <w:bCs w:val="1"/>
                <w:color w:val="auto"/>
              </w:rPr>
              <w:t>Margin</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right"/>
              <w:ind w:right="203"/>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14,870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90.2 %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12,834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1,490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88.4 %</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2,883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380</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2,090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239</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289</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10"/>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18,950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88.6 %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15,927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2,018</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87.3 %</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Medicaid premium revenue increased $893 million, or 14%, in the second quarter of 2024, when compared with the second quarter of 2023. Medicaid premium revenue increased $2.0 billion, or 16%, in the six months ended June 30, 2024, when compared with the six months ended June 30, 2023. The higher premium revenue reflects new contract wins, including the Iowa contract that commenced in July 2023, and the Nebraska and California expansion that commenced on January 1, 2024, and the My Choice acquisition that closed in the third quarter of 2023. These increases were partially offset by the impact of Medicaid redeterminations.</w:t>
      </w:r>
    </w:p>
    <w:p>
      <w:pPr>
        <w:spacing w:after="0" w:line="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medical margin in our Medicaid program decreased $73 million, or 10%, in the second quarter of 2024 when compared with the second quarter of 2023, and decreased $32 million, or 2%, in the six months ended June 30, 2024 when compared with the six months ended June 30, 2023. The decrease in both periods was driven by an increase in the MCR, as discussed below, partially offset by increased premium revenues and margin associated with the membership growth discussed above.</w:t>
      </w:r>
    </w:p>
    <w:p>
      <w:pPr>
        <w:spacing w:after="0" w:line="68"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Medicaid MCR increased 250 basis points to 90.8% in the second quarter of 2024, from 88.3% in the second quarter of 2023, and increased 180 basis points to 90.2% in the six months ended June 30, 2024, from 88.4% in the six months ended June 30, 2023. The increase for both periods was mainly attributable to the expected higher initial MCR associated with the start of new contracts and the recent acquisition, and the acuity impact from Medicaid redetermination. Additionally, the MCR increase in the second quarter of 2024 includes a 70 basis point impact from a one-time retroactive premium adjustment in California related to the prior year. The increases in both periods were partially offset by minimum MLR and medical cost corridors, and medical cost management. Excluding the one-time, prior year premium adjustment, new contracts and the recent acquisition, our legacy Medicaid MCR in 2024 is moderately above our long-term target range.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1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Medicare premium revenue increased $397 million, or 38%, in the second quarter of 2024 compared to the second quarter of 2023, and increased $793 million, or 38%, in the six months ended June 30, 2024 compared to the six months ended June 30, 2023. The increases were primarily due to the Bright Health Medicare acquisition that closed on January 1, 2024, the impact of MAPD and D-SNP membership expansion and organic membership growth in existing states, and increased premiums that are more commensurate with the acuity of our population.</w:t>
      </w:r>
    </w:p>
    <w:p>
      <w:pPr>
        <w:spacing w:after="0" w:line="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medical margin for Medicare increased $104 million in the second quarter of 2024, and increased $141 million in the six months ended June 30, 2024, when compared to the same periods in 2023. The increase in both periods was mainly due to the year-over-year growth in membership and premium revenues combined with the decrease in MCR discussed below.</w:t>
      </w:r>
    </w:p>
    <w:p>
      <w:pPr>
        <w:spacing w:after="0" w:line="6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Medicare MCR decreased to 84.9% in the second quarter of 2024, from 89.2% in the second quarter of 2023, or 430 basis points. The Medicare MCR decreased to 86.8% in the six months ended June 30, 2024, compared to 88.6% in the six months ended June 30, 2023, or 180 basis points. The decreases in each period were primarily driven by higher risk adjustment premiums that are more commensurate with the acuity of our membership, pricing and benefit design changes implemented in 2024 and operational improvements. The Medicare MCR for the six months ended June 30, 2024 is slightly below our long-term target range.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Marketplace premium revenue increased $114 million in the second quarter of 2024 compared to the second quarter of 2023, and increased $194 million in the six months ended June 30, 2024 compared to the six months ended June 30, 2023, mainly driven by an increase in membership. Our Marketplace membership as of June 30, 2024, amounted to 386,000 members, representing an increase of 117,000 members compared to June 30, 2023, which is in line with our product and pricing strategy to achieve growth, while maintaining target margins in this segment.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 Marketplace medical margin increased $43 million in the second quarter of 2024 when compared with the second quarter of 2023, and increased $41 million in the six months ended June 30, 2024 when compared with the six months ended June 30, 2023. The change is primarily due to the increase in premiums and margin associated with membership growth and the impact of MCR changes discussed below.</w:t>
      </w:r>
    </w:p>
    <w:p>
      <w:pPr>
        <w:spacing w:after="0" w:line="3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Marketplace MCR decreased to 71.6% in the second quarter of 2024, compared to 73.7% in the second quarter of 2023, or 210 basis points, and increased to 72.4% in the six months ended June 30, 2024, compared to 71.2% in the six months ended June 30, 2023, or 120 basis points. The changes in both periods reflect our product and pricing strategy to achieve growth, changes in membership mix discussed above, continued operational improvements, and risk adjustment premiums that are more commensurate with the acuity of our membership. The Marketplace MCR for the six months ended June 30, 2024 is in line with our full year expectations and consistent with seasonality patterns. Silver metal tier products incur less MCR seasonality than bronze metal tier products due to lower deductibles.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Other segment includes service revenues and costs associated with long-term services and supports consultative services we provide in Wisconsin, and also includes certain corporate amounts not allocated to the Medicaid, Medicare, or Marketplace segments. Such amounts were immaterial to our consolidated results of operations for the three and six months ended June 30, 2024 and 2023.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LIQUIDITY, FINANCIAL CONDITION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LIQUIDITY</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maintain liquidity at two levels: 1) the regulated health plan subsidiaries; and 2) the parent company.</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regulated health plan subsidiaries’ primary liquidity requirements include payment of medical claims and other health care services; payment of certain settlements with our state and federal customers, such as minimum medical loss ratio and risk corridors and Marketplace risk transfers on behalf of CMS; general and administrative costs directly incurred or paid through an administrative services agreement to the parent company; and federal tax payments to the parent company under an intercompany tax sharing agreement. Our regulated health plan subsidiaries meet their liquidity needs by generating cash flows from operating activities, primarily from premium revenue; cash flows from investing activities, including investment income and sales of investments; and capital contributions received from our parent company.</w:t>
      </w:r>
    </w:p>
    <w:p>
      <w:pPr>
        <w:spacing w:after="0" w:line="7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regulated health plan subsidiaries are each subject to applicable state regulations that, among other things, require the maintenance of minimum levels of capital and surplus. We continue to maintain levels of aggregate excess statutory capital and surplus in our regulated health plan subsidiaries that we believe are appropriate. See further discussion under “Regulatory Capital and Dividend Restrictions” below. When available and as permitted by applicable regulations, cash in excess of the capital needs of our regulated health plan subsidiaries is generally paid in the form of dividends to our parent company to be used for general corporate purposes. In the second quarter and the six months ended June 30, 2024, the parent company received $175 million and $285 million, respectively, in dividends and return of capital from the regulated health plan subsidiaries. See further discussion of dividends below in “Future Sources and Uses of Liquidity—Future Sources.”</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Parent company liquidity requirements generally consist of payment of administrative costs not directly incurred by our regulated operations, including, but not limited to, staffing costs, lease payments, branding and certain information technology services; capital contributions paid to our regulated health plan subsidiaries, including funding for newer health plans; capital expenditures; debt service; funding for common stock purchases, acquisitions and other growth-related activities; and federal tax payments. In the second quarter and six months ended June 30, 2024, the parent company contributed capital in the aggregate amount of $46 million and $275 million, respectively, to our regulated health plan subsidiaries to satisfy statutory capital and surplus requirements and to fund growth in California health plans acquired in the Bright Health Medicare acquisition and our Iowa and Nebraska health plans. Our parent company normally meets its liquidity requirements from administrative services fees earned under administrative services agreements; dividends received from our regulated subsidiaries; federal tax payments collected from the regulated subsidiaries; proceeds received from the issuance of debt and equity securities; and cash flows from investing activities, including investment income and sales of investments.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Cash, cash equivalents and investments at the parent company amounted to $235 million and $742 million as of June 30, 2024, and December 31, 2023, respectively. The decrease as of June 30, 2024, was primarily due to funding our Bright Health Medicare acquisition for $441 million, and capital contributions to regulated health plan subsidiaries, partially offset by the timing of corporate payments, and dividends received from regulated health plan subsidiaries.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7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overall rating of our portfolio is AA-. Our investment policy has directives in conjunction with state guidelines to minimize risks and exposures in volatile markets. Additionally, our portfolio managers assist us in navigating the current volatility in the capital markets.</w:t>
      </w:r>
    </w:p>
    <w:p>
      <w:pPr>
        <w:spacing w:after="0" w:line="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Our restricted investments are invested principally in cash, cash equivalents, U.S. Treasury securities, and corporate debt securities; we have the ability to hold such restricted investments until maturity. All of our unrestricted investments are classified as current assets.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42"/>
        </w:trPr>
        <w:tc>
          <w:tcPr>
            <w:tcW w:w="6680" w:type="dxa"/>
            <w:vAlign w:val="bottom"/>
          </w:tcPr>
          <w:p>
            <w:pPr>
              <w:ind w:left="140"/>
              <w:spacing w:after="0" w:line="142" w:lineRule="exact"/>
              <w:rPr>
                <w:sz w:val="20"/>
                <w:szCs w:val="20"/>
                <w:color w:val="auto"/>
              </w:rPr>
            </w:pPr>
            <w:r>
              <w:rPr>
                <w:rFonts w:ascii="Arial" w:cs="Arial" w:eastAsia="Arial" w:hAnsi="Arial"/>
                <w:sz w:val="16"/>
                <w:szCs w:val="16"/>
                <w:color w:val="auto"/>
              </w:rPr>
              <w:t>Net (decrease) increase in cash, cash equivalents, and restricted cash and cash</w:t>
            </w:r>
          </w:p>
        </w:tc>
        <w:tc>
          <w:tcPr>
            <w:tcW w:w="940" w:type="dxa"/>
            <w:vAlign w:val="bottom"/>
            <w:vMerge w:val="restart"/>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2"/>
                <w:szCs w:val="12"/>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2"/>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2"/>
                <w:szCs w:val="12"/>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(1,399)</w:t>
            </w:r>
          </w:p>
        </w:tc>
        <w:tc>
          <w:tcPr>
            <w:tcW w:w="0" w:type="dxa"/>
            <w:vAlign w:val="bottom"/>
          </w:tcPr>
          <w:p>
            <w:pPr>
              <w:spacing w:after="0"/>
              <w:rPr>
                <w:sz w:val="1"/>
                <w:szCs w:val="1"/>
                <w:color w:val="auto"/>
              </w:rPr>
            </w:pPr>
          </w:p>
        </w:tc>
      </w:tr>
      <w:tr>
        <w:trPr>
          <w:trHeight w:val="194"/>
        </w:trPr>
        <w:tc>
          <w:tcPr>
            <w:tcW w:w="6680" w:type="dxa"/>
            <w:vAlign w:val="bottom"/>
          </w:tcPr>
          <w:p>
            <w:pPr>
              <w:ind w:left="300"/>
              <w:spacing w:after="0"/>
              <w:rPr>
                <w:sz w:val="20"/>
                <w:szCs w:val="20"/>
                <w:color w:val="auto"/>
              </w:rPr>
            </w:pPr>
            <w:r>
              <w:rPr>
                <w:rFonts w:ascii="Arial" w:cs="Arial" w:eastAsia="Arial" w:hAnsi="Arial"/>
                <w:sz w:val="16"/>
                <w:szCs w:val="16"/>
                <w:color w:val="auto"/>
              </w:rPr>
              <w:t>equivalents</w:t>
            </w: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Net cash used in operations for the six months ended June 30, 2024 was $5 million, compared with $1,403 million provided by operations in the six months ended June 30, 2023. The $1,408 million decrease in cash flow was impacted mainly by timing differences in government receivables and payables, including Medicare and Medicaid premium prepayments benefiting the 2023 period and increased risk corridor settlement activity in 2024, and the timing benefit of income tax payments in 2023.</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Net cash used in investing activities was $435 million in the six months ended June 30, 2024, compared with $439 million used in the six months ended June 30, 2023, an increase in cash flow of $4 million. This change in cash flow was primarily due to a $295 million net cash outflow related to the Bright Health Medicare acquisition, offset by the net activity of proceeds and purchases of investments, which were net purchases of $88 million in the six months ended June 30, 2024 and net purchases of $378 million in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Net cash used in financing activities was $ 50 million in the six months ended June 30, 2024, compared with $55 million used in the six months ended June 30, 2023, an increase in cash flow of $5 million. In the six months ended June 30, 2024 and 2023, financing cash outflows included $56 million and $59 million, respectively, for common stock withheld to settle employee tax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FINANCIAL CONDITION</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that our cash resources,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 a consolidated basis, at June 30, 2024, our working capital was $4.5 billion, compared with $4.4 billion at December 31, 2023. At</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June 30, 2024, our cash and investments amounted to $9.0 billion, compared with $9.4 billion at December 31, 2023. A significant portion of our portfolio is held in cash and cash equivalents and we do not anticipate the fluctuations in the aggregate fair value of our financial assets to have a material impact on our liquidity or capital position since we intend to hold our securities to maturity. Net unrealized losses on our investments classified as current and available for sale were $112 million at June 30, 2024 and $108 million at December 31, 2023. We have determined that the unrealized losses primarily resulted from fluctuating interest rates, rather than a deterioration of the creditworthiness of the issuers.</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Because of the statutory restrictions that inhibit the ability of our health plan subsidiaries to transfer net assets to us, the amount of retained earnings readily available to pay dividends to our stockholders is generally limited to cash, cash equivalents and investments held by our unregulated parent. For more information, see the “Liquidity” discussion presented above.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$2.5 billion at June 30, 2024 and $2.3 billion at December 31, 2023. The aggregate capital and surplus of our wholly owned subsidiaries was in excess of these minimum capital requirements as of both dates.</w:t>
      </w:r>
    </w:p>
    <w:p>
      <w:pPr>
        <w:spacing w:after="0" w:line="7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Under applicable regulatory requirements, the amount of dividends that may be paid by our wholly owned subsidiaries without prior approval by regulatory authorities as of June 30, 2024, was approximately $340 million in the aggregate. The subsidiaries may pay dividends over this amount, but only after approval is granted by the regulatory authorities.</w:t>
      </w:r>
    </w:p>
    <w:p>
      <w:pPr>
        <w:spacing w:after="0" w:line="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Based on our cash and investments balances as of June 30, 2024, management believes that our regulated, wholly owned subsidiaries remain well capitalized and exceed their regulatory minimum requirements. We have the ability, and have committed to provide, additional capital to each of our health plans as necessary to ensure compliance with minimum statutory capital requirements.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1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Each of our senior notes is rated “BB” by Standard &amp; Poor’s, and “Ba2” by Moody’s Investor Service, Inc. A downgrade in our ratings could adversely affect our borrowing capacity and increase our borrowing costs.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Such ratios are computed as defined by the terms of the Credit Agreement.</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the indentures governing each of our outstanding senior notes contain cross-default provisions that are triggered upon default by us or any of our subsidiaries on any indebtedness in excess of the amount specified in the applicable indenture. As of June 30, 2024, we were in compliance with all financial and non-financial covenants under the Credit Agreement and other long-term debt.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FUTURE SOURCES AND USES OF LIQUIDITY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1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6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Regulatory Developments</w:t>
      </w:r>
      <w:r>
        <w:rPr>
          <w:rFonts w:ascii="Arial" w:cs="Arial" w:eastAsia="Arial" w:hAnsi="Arial"/>
          <w:sz w:val="18"/>
          <w:szCs w:val="18"/>
          <w:color w:val="auto"/>
        </w:rPr>
        <w:t>. Excluding acquisitions and our exit from Puerto Rico, we estimate we added approximately one million new</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members since March 31, 2020, when we first began to report on the impacts of the pandemic. We believe this membership increase was mainly due to the suspension of redeterminations for Medicaid eligibility. The Consolidated Appropriations Act of 2023 authorized states to resume redeterminations and terminate coverage for ineligible enrollees starting on April 1, 2023, irrespective of the status of the PHE. Consequently, during the third quarter of 2023, all states in which we operate had begun disenrolling members. In the second quarter of 2024, we estimate we lost approximately 100,000 members due to the net effect of redeterminations. This was on track with our expectations and brings the total count of members lost through redeterminations to 650,000. Given the high number of procedural terminations and increasing interventions by CMS and various states, we expect reconnects will likely continue, including 50,000 in the second half of 2024. Although the medical cost profile of members who have been disenrolled is more favorable than the Medicaid segment average, when combined with the beneficial impact of corridor offsets and rates in several states, our Medicaid MCR for the six months ended June 30, 2024 was in line with our expectations. Based on the experience to date, we expect that we will ultimately retain approximately 40% of the membership gained since March 31, 2020.</w:t>
      </w:r>
    </w:p>
    <w:p>
      <w:pPr>
        <w:spacing w:after="0" w:line="8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w:t>
      </w:r>
    </w:p>
    <w:p>
      <w:pPr>
        <w:spacing w:after="0" w:line="4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We are party to a credit agreement (the “Credit Agreement”) which provides for a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(“Credit Facility”) of $1 billion, a $15 million swingline sub-facility and a $100 million letter of credit sub -facility, as well as incremental term loans available to finance certain acquisitions up to $500 million, plus an unlimited amount of such term loans as long as we maintain a minimum consolidated net leverage ratio. As of June 30, 2024, we had available borrowing capacity of $1 billion under Credit Agreement. The lending commitments under the Credit Agreement terminate on June 8, 2025. We expect to enter into a new credit agreement, which may include an expansion of our borrowing capacity under the agreement. See further discussion in the Notes to Consolidated Financial Statements, Note 8,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September 2023, our board of directors authorized the purchase of up to $750 million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This new program supersedes the stock purchase program previously approved by our board of directors in November 2022 and extends through December 31, 2024. The exact timing and amount of any repurchase is determined by management based on market conditions and share price, in addition to other factors, and subject to the restrictions relating to volume, price, and timing under applicable law. As of June 30, 2024, $750 million remained available to purchase our common stock under this program through December 31, 2024.</w:t>
      </w:r>
    </w:p>
    <w:p>
      <w:pPr>
        <w:spacing w:after="0" w:line="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Acquisitions. Connecticut Acquisition—Marketplace and Medicare. </w:t>
      </w:r>
      <w:r>
        <w:rPr>
          <w:rFonts w:ascii="Arial" w:cs="Arial" w:eastAsia="Arial" w:hAnsi="Arial"/>
          <w:sz w:val="18"/>
          <w:szCs w:val="18"/>
          <w:color w:val="auto"/>
        </w:rPr>
        <w:t>On July 23, 2024, we announced a definitive agreement to acquire</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ConnectiCare Holding Company, Inc. (“ConnectiCare”), a wholly owned subsidiary of EmblemHealth, Inc. ConnectiCare is a leading health plan in the state of Connecticut serving approximately 140,000 members across Marketplace, Medicare, and certain commercial products as of June 30, 2024. The purchase price for the transaction is approximately $350 million, which we intend to fund with cash on hand. The transaction is subject to applicable federal and state regulatory approvals and the satisfaction of other customary closing conditions. We currently expect the transaction to close in the first half of 2025.</w:t>
      </w:r>
    </w:p>
    <w:p>
      <w:pPr>
        <w:spacing w:after="0" w:line="7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minimum statutory capital requirements.</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CONTRACTUAL OBLIGATIONS</w:t>
      </w:r>
    </w:p>
    <w:p>
      <w:pPr>
        <w:spacing w:after="0" w:line="10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2023 was disclosed in our 2023 Annual Report on Form 10-K.</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There were no significant changes to our contractual obligations and commitments outside the ordinary course of business during the six months ended June 30, 2024.</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CRITICAL ACCOUNTING ESTIMATES</w:t>
      </w:r>
    </w:p>
    <w:p>
      <w:pPr>
        <w:spacing w:after="0" w:line="10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When we prepare our consolidated financial statements, we use estimates based on assumptions that may affect reported amounts and disclosures; actual results could differ from these estimates. Our critical accounting estimates relate to:</w:t>
      </w:r>
    </w:p>
    <w:p>
      <w:pPr>
        <w:spacing w:after="0" w:line="45" w:lineRule="exact"/>
        <w:rPr>
          <w:sz w:val="20"/>
          <w:szCs w:val="20"/>
          <w:color w:val="auto"/>
        </w:rPr>
      </w:pPr>
    </w:p>
    <w:p>
      <w:pPr>
        <w:ind w:left="660" w:right="100" w:hanging="328"/>
        <w:spacing w:after="0" w:line="278" w:lineRule="auto"/>
        <w:tabs>
          <w:tab w:leader="none" w:pos="655"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Medical costs, claims and benefits payable</w:t>
      </w:r>
      <w:r>
        <w:rPr>
          <w:rFonts w:ascii="Arial" w:cs="Arial" w:eastAsia="Arial" w:hAnsi="Arial"/>
          <w:sz w:val="17"/>
          <w:szCs w:val="17"/>
          <w:color w:val="auto"/>
        </w:rPr>
        <w:t>. Refer to Notes to Consolidated Financial Statements, Note 7, “Medical Claims and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six months ended June 30, 2024 there were no significant changes to our disclosure reported in “Critical Accounting Estimates” in our 2023 Annual Report on Form 10-K.</w:t>
      </w:r>
    </w:p>
    <w:p>
      <w:pPr>
        <w:spacing w:after="0" w:line="55" w:lineRule="exact"/>
        <w:rPr>
          <w:rFonts w:ascii="Arial" w:cs="Arial" w:eastAsia="Arial" w:hAnsi="Arial"/>
          <w:sz w:val="17"/>
          <w:szCs w:val="17"/>
          <w:i w:val="1"/>
          <w:iCs w:val="1"/>
          <w:color w:val="auto"/>
        </w:rPr>
      </w:pPr>
    </w:p>
    <w:p>
      <w:pPr>
        <w:ind w:left="660" w:right="10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Premium Revenue Recognition and Amounts Due Government Agencies: Risk Adjustment</w:t>
      </w:r>
      <w:r>
        <w:rPr>
          <w:rFonts w:ascii="Arial" w:cs="Arial" w:eastAsia="Arial" w:hAnsi="Arial"/>
          <w:sz w:val="18"/>
          <w:szCs w:val="18"/>
          <w:color w:val="auto"/>
        </w:rPr>
        <w:t>. For a discussion of this topic,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recorded in our consolidated financial statements, refer to Notes to Consolidated Financial Statements, Note 2, “Significant Accounting Policies.”</w:t>
      </w:r>
    </w:p>
    <w:p>
      <w:pPr>
        <w:spacing w:after="0" w:line="62"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Business Combinations, and Goodwill and intangible assets, net. </w:t>
      </w:r>
      <w:r>
        <w:rPr>
          <w:rFonts w:ascii="Arial" w:cs="Arial" w:eastAsia="Arial" w:hAnsi="Arial"/>
          <w:sz w:val="18"/>
          <w:szCs w:val="18"/>
          <w:color w:val="auto"/>
        </w:rPr>
        <w:t>For a discussion of this topic, including amounts recorded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refer to Notes to Consolidated Financial Statements, Note 4, “Business Combinations.” Other than the discussion as noted above, in the six months ended June 30, 2024, there were no significant changes to our disclosure reported in “Critical Accounting Estimates” in our 2023 Annual Report on Form 10-K.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QUANTITATIVE AND QUALITATIVE DISCLOSURES ABOUT MARKET RISK</w:t>
      </w:r>
    </w:p>
    <w:p>
      <w:pPr>
        <w:spacing w:after="0" w:line="10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4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June 30, 2024, the fair value of our fixed income investments would decrease by approximately $108 million. Declines in interest rates over time will reduce our investment income.</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5, “Fair Value Measurements,” and Note 6, “Investments.”</w:t>
      </w:r>
    </w:p>
    <w:p>
      <w:pPr>
        <w:spacing w:after="0" w:line="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For further information, see Notes to Consolidated Financial Statements, Note 8, “Debt.”</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CONTROLS AND PROCEDURES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evaluated, as of the end of the period covered by this Quarterly Report on Form 10-Q, the effectiveness of our disclosure controls and procedures (as defined in Rules 13a-15(e) and 15d-15(e) under the Securities Exchange Act). Based on that evaluation, our chief executive officer and chief financial officer concluded that, as of June 30, 2024, our disclosure controls and procedures were effective at the reasonable assurance level.</w:t>
      </w:r>
    </w:p>
    <w:p>
      <w:pPr>
        <w:spacing w:after="0" w:line="7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June 30, 2024, that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10, “Commitments and Contingencies.”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RISK FACTORS</w:t>
      </w:r>
    </w:p>
    <w:p>
      <w:pPr>
        <w:spacing w:after="0" w:line="108"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2023 Annual Report on Form 10-K.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ISSUER PURCHASES OF EQUITY SECURITIES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Purchases of common stock made by us, or on our behalf, during the second quarter of 2024, including shares withheld by us to satisfy our employees’ income tax obligations, are set forth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rPr>
              <w:t>Publicly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Average Price Paid</w:t>
            </w:r>
          </w:p>
        </w:tc>
        <w:tc>
          <w:tcPr>
            <w:tcW w:w="15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99"/>
              </w:rPr>
              <w:t>Announced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of Shares that May Yet</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of Shares</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5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rPr>
              <w:t>Plans or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40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per Share</w:t>
            </w:r>
          </w:p>
        </w:tc>
        <w:tc>
          <w:tcPr>
            <w:tcW w:w="1500" w:type="dxa"/>
            <w:vAlign w:val="bottom"/>
          </w:tcPr>
          <w:p>
            <w:pPr>
              <w:jc w:val="center"/>
              <w:ind w:left="299"/>
              <w:spacing w:after="0"/>
              <w:rPr>
                <w:sz w:val="20"/>
                <w:szCs w:val="20"/>
                <w:color w:val="auto"/>
              </w:rPr>
            </w:pPr>
            <w:r>
              <w:rPr>
                <w:rFonts w:ascii="Arial" w:cs="Arial" w:eastAsia="Arial" w:hAnsi="Arial"/>
                <w:sz w:val="16"/>
                <w:szCs w:val="16"/>
                <w:b w:val="1"/>
                <w:bCs w:val="1"/>
                <w:color w:val="auto"/>
              </w:rPr>
              <w:t>Programs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119"/>
              <w:spacing w:after="0" w:line="216"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April 1 - April 30</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404.20</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750,000,000</w:t>
            </w: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May 1 - May 31</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750,000,000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 June 30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750,000,000</w:t>
            </w: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404.20</w:t>
            </w: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2" w:lineRule="exact"/>
        <w:rPr>
          <w:sz w:val="20"/>
          <w:szCs w:val="20"/>
          <w:color w:val="auto"/>
        </w:rPr>
      </w:pPr>
    </w:p>
    <w:p>
      <w:pPr>
        <w:ind w:left="340" w:right="140" w:hanging="332"/>
        <w:spacing w:after="0" w:line="256" w:lineRule="auto"/>
        <w:tabs>
          <w:tab w:leader="none" w:pos="3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second quarter of 2024, we withheld approximately 1,200 shares of common stock to settle employee income tax obligations for releases of awards granted under the Molina Healthcare, Inc. 2019 Equity Incentive Plan.</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further information on our stock repurchase programs, refer to our 2023 Annual Report on Form 10-K, Note 13, “Stockholders' Equity.”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OTHER INFORMATION</w:t>
      </w:r>
    </w:p>
    <w:p>
      <w:pPr>
        <w:spacing w:after="0" w:line="94"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jc w:val="both"/>
        <w:ind w:left="340" w:right="80" w:hanging="332"/>
        <w:spacing w:after="0" w:line="291" w:lineRule="auto"/>
        <w:tabs>
          <w:tab w:leader="none" w:pos="426"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director or officer (as defined in 17 CFR § 240.16a-1(f)) of the Company adopted or terminated (i) any contract, instruction or written plan for the purchase or sale of securities of the Company intended to satisfy the affirmative defense conditions of Rule 10b5-1(c), or (ii) any “non-Rule 10b5-1 trading arrangement” (as defined in 17 CFR § 229.408(c)) during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INDEX TO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40" w:type="dxa"/>
            <w:vAlign w:val="bottom"/>
            <w:gridSpan w:val="2"/>
          </w:tcPr>
          <w:p>
            <w:pPr>
              <w:ind w:left="20"/>
              <w:spacing w:after="0"/>
              <w:rPr>
                <w:sz w:val="20"/>
                <w:szCs w:val="20"/>
                <w:color w:val="auto"/>
              </w:rPr>
            </w:pPr>
            <w:r>
              <w:rPr>
                <w:rFonts w:ascii="Arial" w:cs="Arial" w:eastAsia="Arial" w:hAnsi="Arial"/>
                <w:sz w:val="14"/>
                <w:szCs w:val="14"/>
                <w:color w:val="auto"/>
              </w:rPr>
              <w:t>Exhibit No.</w:t>
            </w:r>
          </w:p>
        </w:tc>
        <w:tc>
          <w:tcPr>
            <w:tcW w:w="20" w:type="dxa"/>
            <w:vAlign w:val="bottom"/>
          </w:tcPr>
          <w:p>
            <w:pPr>
              <w:spacing w:after="0"/>
              <w:rPr>
                <w:sz w:val="16"/>
                <w:szCs w:val="16"/>
                <w:color w:val="auto"/>
              </w:rPr>
            </w:pPr>
          </w:p>
        </w:tc>
        <w:tc>
          <w:tcPr>
            <w:tcW w:w="5660" w:type="dxa"/>
            <w:vAlign w:val="bottom"/>
            <w:gridSpan w:val="8"/>
          </w:tcPr>
          <w:p>
            <w:pPr>
              <w:spacing w:after="0"/>
              <w:rPr>
                <w:sz w:val="20"/>
                <w:szCs w:val="20"/>
                <w:color w:val="auto"/>
              </w:rPr>
            </w:pPr>
            <w:r>
              <w:rPr>
                <w:rFonts w:ascii="Arial" w:cs="Arial" w:eastAsia="Arial" w:hAnsi="Arial"/>
                <w:sz w:val="14"/>
                <w:szCs w:val="14"/>
                <w:color w:val="auto"/>
              </w:rPr>
              <w:t>Title</w:t>
            </w:r>
          </w:p>
        </w:tc>
        <w:tc>
          <w:tcPr>
            <w:tcW w:w="4420" w:type="dxa"/>
            <w:vAlign w:val="bottom"/>
          </w:tcPr>
          <w:p>
            <w:pPr>
              <w:ind w:left="20"/>
              <w:spacing w:after="0"/>
              <w:rPr>
                <w:sz w:val="20"/>
                <w:szCs w:val="20"/>
                <w:color w:val="auto"/>
              </w:rPr>
            </w:pPr>
            <w:r>
              <w:rPr>
                <w:rFonts w:ascii="Arial" w:cs="Arial" w:eastAsia="Arial" w:hAnsi="Arial"/>
                <w:sz w:val="14"/>
                <w:szCs w:val="14"/>
                <w:color w:val="auto"/>
              </w:rPr>
              <w:t>Method of Filing</w:t>
            </w:r>
          </w:p>
        </w:tc>
      </w:tr>
      <w:tr>
        <w:trPr>
          <w:trHeight w:val="173"/>
        </w:trPr>
        <w:tc>
          <w:tcPr>
            <w:tcW w:w="1040" w:type="dxa"/>
            <w:vAlign w:val="bottom"/>
            <w:tcBorders>
              <w:top w:val="single" w:sz="8" w:color="auto"/>
            </w:tcBorders>
          </w:tcPr>
          <w:p>
            <w:pPr>
              <w:ind w:left="20"/>
              <w:spacing w:after="0" w:line="173" w:lineRule="exact"/>
              <w:rPr>
                <w:sz w:val="20"/>
                <w:szCs w:val="20"/>
                <w:color w:val="auto"/>
              </w:rPr>
            </w:pPr>
            <w:r>
              <w:rPr>
                <w:rFonts w:ascii="Arial" w:cs="Arial" w:eastAsia="Arial" w:hAnsi="Arial"/>
                <w:sz w:val="16"/>
                <w:szCs w:val="16"/>
                <w:color w:val="auto"/>
              </w:rPr>
              <w:t>31.1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540" w:type="dxa"/>
            <w:vAlign w:val="bottom"/>
            <w:tcBorders>
              <w:top w:val="single" w:sz="8" w:color="auto"/>
            </w:tcBorders>
            <w:gridSpan w:val="7"/>
          </w:tcPr>
          <w:p>
            <w:pPr>
              <w:spacing w:after="0" w:line="173" w:lineRule="exact"/>
              <w:rPr>
                <w:sz w:val="20"/>
                <w:szCs w:val="20"/>
                <w:color w:val="auto"/>
              </w:rPr>
            </w:pPr>
            <w:r>
              <w:rPr>
                <w:rFonts w:ascii="Arial" w:cs="Arial" w:eastAsia="Arial" w:hAnsi="Arial"/>
                <w:sz w:val="16"/>
                <w:szCs w:val="16"/>
                <w:color w:val="0F7C7F"/>
              </w:rPr>
              <w:t>Section 302 Certification of Chief Executive Officer</w:t>
            </w:r>
          </w:p>
        </w:tc>
        <w:tc>
          <w:tcPr>
            <w:tcW w:w="120" w:type="dxa"/>
            <w:vAlign w:val="bottom"/>
          </w:tcPr>
          <w:p>
            <w:pPr>
              <w:spacing w:after="0"/>
              <w:rPr>
                <w:sz w:val="15"/>
                <w:szCs w:val="15"/>
                <w:color w:val="auto"/>
              </w:rPr>
            </w:pPr>
          </w:p>
        </w:tc>
        <w:tc>
          <w:tcPr>
            <w:tcW w:w="4420" w:type="dxa"/>
            <w:vAlign w:val="bottom"/>
            <w:tcBorders>
              <w:top w:val="single" w:sz="8" w:color="auto"/>
            </w:tcBorders>
          </w:tcPr>
          <w:p>
            <w:pPr>
              <w:ind w:left="20"/>
              <w:spacing w:after="0" w:line="173" w:lineRule="exact"/>
              <w:rPr>
                <w:sz w:val="20"/>
                <w:szCs w:val="20"/>
                <w:color w:val="auto"/>
              </w:rPr>
            </w:pPr>
            <w:r>
              <w:rPr>
                <w:rFonts w:ascii="Arial" w:cs="Arial" w:eastAsia="Arial" w:hAnsi="Arial"/>
                <w:sz w:val="16"/>
                <w:szCs w:val="16"/>
                <w:color w:val="auto"/>
              </w:rPr>
              <w:t>Filed herewith.</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F7C7F"/>
              <w:bottom w:val="single" w:sz="8" w:color="0F7C7F"/>
            </w:tcBorders>
          </w:tcPr>
          <w:p>
            <w:pPr>
              <w:spacing w:after="0"/>
              <w:rPr>
                <w:sz w:val="20"/>
                <w:szCs w:val="20"/>
                <w:color w:val="auto"/>
              </w:rPr>
            </w:pPr>
            <w:r>
              <w:rPr>
                <w:rFonts w:ascii="Arial" w:cs="Arial" w:eastAsia="Arial" w:hAnsi="Arial"/>
                <w:sz w:val="16"/>
                <w:szCs w:val="16"/>
                <w:color w:val="0F7C7F"/>
              </w:rPr>
              <w:t>Section 302 Certification of Chief Financial Officer</w:t>
            </w:r>
          </w:p>
        </w:tc>
        <w:tc>
          <w:tcPr>
            <w:tcW w:w="40" w:type="dxa"/>
            <w:vAlign w:val="bottom"/>
            <w:tcBorders>
              <w:top w:val="single" w:sz="8" w:color="0F7C7F"/>
            </w:tcBorders>
          </w:tcPr>
          <w:p>
            <w:pPr>
              <w:spacing w:after="0"/>
              <w:rPr>
                <w:sz w:val="17"/>
                <w:szCs w:val="17"/>
                <w:color w:val="auto"/>
              </w:rPr>
            </w:pPr>
          </w:p>
        </w:tc>
        <w:tc>
          <w:tcPr>
            <w:tcW w:w="2040" w:type="dxa"/>
            <w:vAlign w:val="bottom"/>
            <w:gridSpan w:val="6"/>
          </w:tcPr>
          <w:p>
            <w:pPr>
              <w:spacing w:after="0"/>
              <w:rPr>
                <w:sz w:val="17"/>
                <w:szCs w:val="17"/>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0F7C7F"/>
              </w:rPr>
              <w:t>Certification of Chief Executive Officer pursuant to 18 U.S.C. Section 1350,</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tcBorders>
              <w:top w:val="single" w:sz="8" w:color="0F7C7F"/>
            </w:tcBorders>
            <w:gridSpan w:val="5"/>
          </w:tcPr>
          <w:p>
            <w:pPr>
              <w:spacing w:after="0" w:line="142" w:lineRule="exact"/>
              <w:rPr>
                <w:sz w:val="20"/>
                <w:szCs w:val="20"/>
                <w:color w:val="auto"/>
              </w:rPr>
            </w:pPr>
            <w:r>
              <w:rPr>
                <w:rFonts w:ascii="Arial" w:cs="Arial" w:eastAsia="Arial" w:hAnsi="Arial"/>
                <w:sz w:val="16"/>
                <w:szCs w:val="16"/>
                <w:color w:val="0F7C7F"/>
              </w:rPr>
              <w:t>as adopted pursuant to Section 906 of the Sarbanes-Oxley Act of 2002.</w:t>
            </w:r>
          </w:p>
        </w:tc>
        <w:tc>
          <w:tcPr>
            <w:tcW w:w="1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0F7C7F"/>
              </w:rPr>
              <w:t>Certification of Chief Financial Officer pursuant to 18 U.S.C. Section 1350, as</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tcBorders>
              <w:top w:val="single" w:sz="8" w:color="0F7C7F"/>
            </w:tcBorders>
            <w:gridSpan w:val="6"/>
          </w:tcPr>
          <w:p>
            <w:pPr>
              <w:spacing w:after="0" w:line="142" w:lineRule="exact"/>
              <w:rPr>
                <w:sz w:val="20"/>
                <w:szCs w:val="20"/>
                <w:color w:val="auto"/>
              </w:rPr>
            </w:pPr>
            <w:r>
              <w:rPr>
                <w:rFonts w:ascii="Arial" w:cs="Arial" w:eastAsia="Arial" w:hAnsi="Arial"/>
                <w:sz w:val="16"/>
                <w:szCs w:val="16"/>
                <w:color w:val="0F7C7F"/>
              </w:rPr>
              <w:t>adopted pursuant to Section 906 of the Sarbanes-Oxley Act of 2002.</w:t>
            </w:r>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shd w:val="clear" w:color="auto" w:fill="0F7C7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83"/>
        </w:trPr>
        <w:tc>
          <w:tcPr>
            <w:tcW w:w="114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101.INS</w:t>
            </w:r>
          </w:p>
        </w:tc>
        <w:tc>
          <w:tcPr>
            <w:tcW w:w="20" w:type="dxa"/>
            <w:vAlign w:val="bottom"/>
          </w:tcPr>
          <w:p>
            <w:pPr>
              <w:spacing w:after="0"/>
              <w:rPr>
                <w:sz w:val="15"/>
                <w:szCs w:val="15"/>
                <w:color w:val="auto"/>
              </w:rPr>
            </w:pPr>
          </w:p>
        </w:tc>
        <w:tc>
          <w:tcPr>
            <w:tcW w:w="5660" w:type="dxa"/>
            <w:vAlign w:val="bottom"/>
            <w:gridSpan w:val="8"/>
          </w:tcPr>
          <w:p>
            <w:pPr>
              <w:spacing w:after="0" w:line="183" w:lineRule="exact"/>
              <w:rPr>
                <w:sz w:val="20"/>
                <w:szCs w:val="20"/>
                <w:color w:val="auto"/>
              </w:rPr>
            </w:pPr>
            <w:r>
              <w:rPr>
                <w:rFonts w:ascii="Arial" w:cs="Arial" w:eastAsia="Arial" w:hAnsi="Arial"/>
                <w:sz w:val="16"/>
                <w:szCs w:val="16"/>
                <w:color w:val="auto"/>
              </w:rPr>
              <w:t>Inline XBRL Taxonomy Instance Document - the instance document does not</w:t>
            </w:r>
          </w:p>
        </w:tc>
        <w:tc>
          <w:tcPr>
            <w:tcW w:w="4420" w:type="dxa"/>
            <w:vAlign w:val="bottom"/>
          </w:tcPr>
          <w:p>
            <w:pPr>
              <w:ind w:left="20"/>
              <w:spacing w:after="0" w:line="183" w:lineRule="exact"/>
              <w:rPr>
                <w:sz w:val="20"/>
                <w:szCs w:val="20"/>
                <w:color w:val="auto"/>
              </w:rPr>
            </w:pPr>
            <w:r>
              <w:rPr>
                <w:rFonts w:ascii="Arial" w:cs="Arial" w:eastAsia="Arial" w:hAnsi="Arial"/>
                <w:sz w:val="16"/>
                <w:szCs w:val="16"/>
                <w:color w:val="auto"/>
              </w:rPr>
              <w:t>Filed herewith.</w:t>
            </w:r>
          </w:p>
        </w:tc>
      </w:tr>
      <w:tr>
        <w:trPr>
          <w:trHeight w:val="16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8"/>
          </w:tcPr>
          <w:p>
            <w:pPr>
              <w:spacing w:after="0" w:line="162" w:lineRule="exact"/>
              <w:rPr>
                <w:sz w:val="20"/>
                <w:szCs w:val="20"/>
                <w:color w:val="auto"/>
              </w:rPr>
            </w:pPr>
            <w:r>
              <w:rPr>
                <w:rFonts w:ascii="Arial" w:cs="Arial" w:eastAsia="Arial" w:hAnsi="Arial"/>
                <w:sz w:val="16"/>
                <w:szCs w:val="16"/>
                <w:color w:val="auto"/>
              </w:rPr>
              <w:t>appear in the Interactive Data File because its XBRL tags are embedded</w:t>
            </w:r>
          </w:p>
        </w:tc>
        <w:tc>
          <w:tcPr>
            <w:tcW w:w="4420" w:type="dxa"/>
            <w:vAlign w:val="bottom"/>
          </w:tcPr>
          <w:p>
            <w:pPr>
              <w:spacing w:after="0"/>
              <w:rPr>
                <w:sz w:val="14"/>
                <w:szCs w:val="14"/>
                <w:color w:val="auto"/>
              </w:rPr>
            </w:pP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within the inline XBRL document.</w:t>
            </w:r>
          </w:p>
        </w:tc>
        <w:tc>
          <w:tcPr>
            <w:tcW w:w="4420" w:type="dxa"/>
            <w:vAlign w:val="bottom"/>
          </w:tcPr>
          <w:p>
            <w:pPr>
              <w:spacing w:after="0"/>
              <w:rPr>
                <w:sz w:val="18"/>
                <w:szCs w:val="18"/>
                <w:color w:val="auto"/>
              </w:rPr>
            </w:pPr>
          </w:p>
        </w:tc>
      </w:tr>
      <w:tr>
        <w:trPr>
          <w:trHeight w:val="215"/>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Schema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64"/>
        </w:trPr>
        <w:tc>
          <w:tcPr>
            <w:tcW w:w="1040" w:type="dxa"/>
            <w:vAlign w:val="bottom"/>
          </w:tcPr>
          <w:p>
            <w:pPr>
              <w:ind w:left="20"/>
              <w:spacing w:after="0" w:line="164" w:lineRule="exact"/>
              <w:rPr>
                <w:sz w:val="20"/>
                <w:szCs w:val="20"/>
                <w:color w:val="auto"/>
              </w:rPr>
            </w:pPr>
            <w:r>
              <w:rPr>
                <w:rFonts w:ascii="Arial" w:cs="Arial" w:eastAsia="Arial" w:hAnsi="Arial"/>
                <w:sz w:val="16"/>
                <w:szCs w:val="16"/>
                <w:color w:val="auto"/>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8"/>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 embedded</w:t>
            </w:r>
          </w:p>
        </w:tc>
        <w:tc>
          <w:tcPr>
            <w:tcW w:w="4420" w:type="dxa"/>
            <w:vAlign w:val="bottom"/>
          </w:tcPr>
          <w:p>
            <w:pPr>
              <w:ind w:left="20"/>
              <w:spacing w:after="0" w:line="164" w:lineRule="exact"/>
              <w:rPr>
                <w:sz w:val="20"/>
                <w:szCs w:val="20"/>
                <w:color w:val="auto"/>
              </w:rPr>
            </w:pPr>
            <w:r>
              <w:rPr>
                <w:rFonts w:ascii="Arial" w:cs="Arial" w:eastAsia="Arial" w:hAnsi="Arial"/>
                <w:sz w:val="16"/>
                <w:szCs w:val="16"/>
                <w:color w:val="auto"/>
              </w:rPr>
              <w:t>Filed herewith.</w:t>
            </w: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within Exhibit 101)</w:t>
            </w:r>
          </w:p>
        </w:tc>
        <w:tc>
          <w:tcPr>
            <w:tcW w:w="44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SIGNATURES</w:t>
      </w:r>
    </w:p>
    <w:p>
      <w:pPr>
        <w:spacing w:after="0" w:line="10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MOLINA HEALTHCARE, INC.</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(Registrant)</w:t>
      </w:r>
    </w:p>
    <w:p>
      <w:pPr>
        <w:spacing w:after="0" w:line="28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July 25, 2024</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30003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Joseph M. Zubretsky</w:t>
      </w:r>
    </w:p>
    <w:p>
      <w:pPr>
        <w:spacing w:after="0" w:line="39"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Executive Officer)</w:t>
      </w:r>
    </w:p>
    <w:p>
      <w:pPr>
        <w:spacing w:after="0" w:line="282"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July 25, 2024</w:t>
      </w:r>
      <w:r>
        <w:rPr>
          <w:sz w:val="20"/>
          <w:szCs w:val="20"/>
          <w:color w:val="auto"/>
        </w:rPr>
        <w:tab/>
      </w:r>
      <w:r>
        <w:rPr>
          <w:rFonts w:ascii="Arial" w:cs="Arial" w:eastAsia="Arial" w:hAnsi="Arial"/>
          <w:sz w:val="16"/>
          <w:szCs w:val="16"/>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3000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Mark L. Keim</w:t>
      </w:r>
    </w:p>
    <w:p>
      <w:pPr>
        <w:spacing w:after="0" w:line="39"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2024 Form 10-Q | 38</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17" w:lineRule="exact"/>
        <w:rPr>
          <w:sz w:val="20"/>
          <w:szCs w:val="20"/>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2024 of Molina Healthcare, Inc.;</w:t>
      </w:r>
    </w:p>
    <w:p>
      <w:pPr>
        <w:spacing w:after="0" w:line="117" w:lineRule="exact"/>
        <w:rPr>
          <w:rFonts w:ascii="Arial" w:cs="Arial" w:eastAsia="Arial" w:hAnsi="Arial"/>
          <w:sz w:val="18"/>
          <w:szCs w:val="18"/>
          <w:color w:val="auto"/>
        </w:rPr>
      </w:pPr>
    </w:p>
    <w:p>
      <w:pPr>
        <w:ind w:right="80" w:firstLine="453"/>
        <w:spacing w:after="0" w:line="268"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120" w:firstLine="453"/>
        <w:spacing w:after="0" w:line="287"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ind w:right="40" w:firstLine="453"/>
        <w:spacing w:after="0" w:line="268"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right="140" w:firstLine="899"/>
        <w:spacing w:after="0" w:line="268"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899"/>
        <w:spacing w:after="0" w:line="268"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80" w:firstLine="899"/>
        <w:spacing w:after="0" w:line="268" w:lineRule="auto"/>
        <w:tabs>
          <w:tab w:leader="none" w:pos="11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40" w:firstLine="899"/>
        <w:spacing w:after="0" w:line="268"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340" w:firstLine="453"/>
        <w:spacing w:after="0" w:line="268"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right="60" w:firstLine="899"/>
        <w:spacing w:after="0" w:line="287"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right="900" w:firstLine="899"/>
        <w:spacing w:after="0" w:line="287"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July 25, 2024</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4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 Mark L. Keim, certify that:</w:t>
      </w:r>
    </w:p>
    <w:p>
      <w:pPr>
        <w:spacing w:after="0" w:line="117" w:lineRule="exact"/>
        <w:rPr>
          <w:sz w:val="20"/>
          <w:szCs w:val="20"/>
          <w:color w:val="auto"/>
        </w:rPr>
      </w:pPr>
    </w:p>
    <w:p>
      <w:pPr>
        <w:ind w:left="660" w:hanging="20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2024 of Molina Healthcare, Inc.;</w:t>
      </w:r>
    </w:p>
    <w:p>
      <w:pPr>
        <w:spacing w:after="0" w:line="117" w:lineRule="exact"/>
        <w:rPr>
          <w:rFonts w:ascii="Arial" w:cs="Arial" w:eastAsia="Arial" w:hAnsi="Arial"/>
          <w:sz w:val="18"/>
          <w:szCs w:val="18"/>
          <w:color w:val="auto"/>
        </w:rPr>
      </w:pPr>
    </w:p>
    <w:p>
      <w:pPr>
        <w:ind w:right="80" w:firstLine="453"/>
        <w:spacing w:after="0" w:line="268"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120" w:firstLine="453"/>
        <w:spacing w:after="0" w:line="287"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ind w:right="40" w:firstLine="453"/>
        <w:spacing w:after="0" w:line="268"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right="140" w:firstLine="899"/>
        <w:spacing w:after="0" w:line="268"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899"/>
        <w:spacing w:after="0" w:line="268"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80" w:firstLine="899"/>
        <w:spacing w:after="0" w:line="268" w:lineRule="auto"/>
        <w:tabs>
          <w:tab w:leader="none" w:pos="1151"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40" w:firstLine="899"/>
        <w:spacing w:after="0" w:line="268"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340" w:firstLine="453"/>
        <w:spacing w:after="0" w:line="268"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right="60" w:firstLine="899"/>
        <w:spacing w:after="0" w:line="287"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right="900" w:firstLine="899"/>
        <w:spacing w:after="0" w:line="287"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July 25, 2024</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Mark L. Keim</w:t>
      </w:r>
    </w:p>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40" w:name="page41"/>
    <w:bookmarkEnd w:id="40"/>
    <w:p>
      <w:pPr>
        <w:ind w:left="10140"/>
        <w:spacing w:after="0"/>
        <w:rPr>
          <w:sz w:val="20"/>
          <w:szCs w:val="20"/>
          <w:color w:val="auto"/>
        </w:rPr>
      </w:pPr>
      <w:r>
        <w:rPr>
          <w:rFonts w:ascii="Arial" w:cs="Arial" w:eastAsia="Arial" w:hAnsi="Arial"/>
          <w:sz w:val="17"/>
          <w:szCs w:val="17"/>
          <w:b w:val="1"/>
          <w:bCs w:val="1"/>
          <w:color w:val="auto"/>
        </w:rPr>
        <w:t>EXHIBIT 32.1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In connection with the Quarterly Report of Molina Healthcare, Inc. (the “Company”) on Form 10-Q for the period ended June 30, 2024 (the “Report”), I, Joseph M. Zubretsky, Chief Executive Officer of the Company, certify, pursuant to 18 U.S.C. Section 1350, as adopted pursuant to Section 906 of the Sarbanes-Oxley Act of 2002, that:</w:t>
      </w:r>
    </w:p>
    <w:p>
      <w:pPr>
        <w:spacing w:after="0" w:line="63" w:lineRule="exact"/>
        <w:rPr>
          <w:sz w:val="20"/>
          <w:szCs w:val="20"/>
          <w:color w:val="auto"/>
        </w:rPr>
      </w:pPr>
    </w:p>
    <w:p>
      <w:pPr>
        <w:ind w:left="1160" w:hanging="26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9" w:lineRule="exact"/>
        <w:rPr>
          <w:rFonts w:ascii="Arial" w:cs="Arial" w:eastAsia="Arial" w:hAnsi="Arial"/>
          <w:sz w:val="18"/>
          <w:szCs w:val="18"/>
          <w:color w:val="auto"/>
        </w:rPr>
      </w:pPr>
    </w:p>
    <w:p>
      <w:pPr>
        <w:ind w:firstLine="899"/>
        <w:spacing w:after="0" w:line="287" w:lineRule="auto"/>
        <w:tabs>
          <w:tab w:leader="none" w:pos="11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July 25, 2024</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106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4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41" w:name="page42"/>
    <w:bookmarkEnd w:id="41"/>
    <w:p>
      <w:pPr>
        <w:ind w:left="10140"/>
        <w:spacing w:after="0"/>
        <w:rPr>
          <w:sz w:val="20"/>
          <w:szCs w:val="20"/>
          <w:color w:val="auto"/>
        </w:rPr>
      </w:pPr>
      <w:r>
        <w:rPr>
          <w:rFonts w:ascii="Arial" w:cs="Arial" w:eastAsia="Arial" w:hAnsi="Arial"/>
          <w:sz w:val="17"/>
          <w:szCs w:val="17"/>
          <w:b w:val="1"/>
          <w:bCs w:val="1"/>
          <w:color w:val="auto"/>
        </w:rPr>
        <w:t>EXHIBIT 32.2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jc w:val="both"/>
        <w:ind w:right="200" w:firstLine="445"/>
        <w:spacing w:after="0" w:line="268" w:lineRule="auto"/>
        <w:rPr>
          <w:sz w:val="20"/>
          <w:szCs w:val="20"/>
          <w:color w:val="auto"/>
        </w:rPr>
      </w:pPr>
      <w:r>
        <w:rPr>
          <w:rFonts w:ascii="Arial" w:cs="Arial" w:eastAsia="Arial" w:hAnsi="Arial"/>
          <w:sz w:val="18"/>
          <w:szCs w:val="18"/>
          <w:color w:val="auto"/>
        </w:rPr>
        <w:t>In connection with the Quarterly Report of Molina Healthcare, Inc. (the “Company”) on Form 10-Q for the period ended June 30, 2024 (the “Report”), I, Mark L. Keim, Chief Financial Officer of the Company, certify, pursuant to 18 U.S.C. Section 1350, as adopted pursuant to Section 906 of the Sarbanes-Oxley Act of 2002, that:</w:t>
      </w:r>
    </w:p>
    <w:p>
      <w:pPr>
        <w:spacing w:after="0" w:line="63" w:lineRule="exact"/>
        <w:rPr>
          <w:sz w:val="20"/>
          <w:szCs w:val="20"/>
          <w:color w:val="auto"/>
        </w:rPr>
      </w:pPr>
    </w:p>
    <w:p>
      <w:pPr>
        <w:ind w:left="1160" w:hanging="26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9" w:lineRule="exact"/>
        <w:rPr>
          <w:rFonts w:ascii="Arial" w:cs="Arial" w:eastAsia="Arial" w:hAnsi="Arial"/>
          <w:sz w:val="18"/>
          <w:szCs w:val="18"/>
          <w:color w:val="auto"/>
        </w:rPr>
      </w:pPr>
    </w:p>
    <w:p>
      <w:pPr>
        <w:ind w:firstLine="899"/>
        <w:spacing w:after="0" w:line="287" w:lineRule="auto"/>
        <w:tabs>
          <w:tab w:leader="none" w:pos="11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July 25, 2024</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Mark L. Keim</w:t>
      </w:r>
    </w:p>
    <w:p>
      <w:pPr>
        <w:spacing w:after="0" w:line="4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0"/>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2024-07-25T10:47:03Z</dcterms:created>
  <dcterms:modified xsi:type="dcterms:W3CDTF">2024-07-25T10:47:03Z</dcterms:modified>
</cp:coreProperties>
</file>