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1411605</wp:posOffset>
            </wp:positionH>
            <wp:positionV relativeFrom="paragraph">
              <wp:posOffset>165100</wp:posOffset>
            </wp:positionV>
            <wp:extent cx="4433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1419860</wp:posOffset>
            </wp:positionH>
            <wp:positionV relativeFrom="paragraph">
              <wp:posOffset>193675</wp:posOffset>
            </wp:positionV>
            <wp:extent cx="4408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March 31, 2019</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3" w:lineRule="exact"/>
        <w:rPr>
          <w:sz w:val="24"/>
          <w:szCs w:val="24"/>
          <w:color w:val="auto"/>
        </w:rPr>
      </w:pPr>
    </w:p>
    <w:p>
      <w:pPr>
        <w:ind w:left="37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219075</wp:posOffset>
            </wp:positionV>
            <wp:extent cx="4476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364490</wp:posOffset>
            </wp:positionV>
            <wp:extent cx="213550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550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MOLINA HEALTHCARE, INC.</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165100</wp:posOffset>
            </wp:positionV>
            <wp:extent cx="4476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720" w:type="dxa"/>
        <w:tblCellMar>
          <w:top w:w="0" w:type="dxa"/>
          <w:left w:w="0" w:type="dxa"/>
          <w:bottom w:w="0" w:type="dxa"/>
          <w:right w:w="0" w:type="dxa"/>
        </w:tblCellMar>
      </w:tblPr>
      <w:tr>
        <w:trPr>
          <w:trHeight w:val="229"/>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w w:val="99"/>
              </w:rPr>
              <w:t>Delaware</w:t>
            </w:r>
          </w:p>
        </w:tc>
        <w:tc>
          <w:tcPr>
            <w:tcW w:w="4600" w:type="dxa"/>
            <w:vAlign w:val="bottom"/>
          </w:tcPr>
          <w:p>
            <w:pPr>
              <w:jc w:val="right"/>
              <w:ind w:right="683"/>
              <w:spacing w:after="0"/>
              <w:rPr>
                <w:sz w:val="20"/>
                <w:szCs w:val="20"/>
                <w:color w:val="auto"/>
              </w:rPr>
            </w:pPr>
            <w:r>
              <w:rPr>
                <w:rFonts w:ascii="Arial" w:cs="Arial" w:eastAsia="Arial" w:hAnsi="Arial"/>
                <w:sz w:val="16"/>
                <w:szCs w:val="16"/>
                <w:b w:val="1"/>
                <w:bCs w:val="1"/>
                <w:color w:val="auto"/>
              </w:rPr>
              <w:t>13-4204626</w:t>
            </w:r>
          </w:p>
        </w:tc>
      </w:tr>
      <w:tr>
        <w:trPr>
          <w:trHeight w:val="222"/>
        </w:trPr>
        <w:tc>
          <w:tcPr>
            <w:tcW w:w="4260" w:type="dxa"/>
            <w:vAlign w:val="bottom"/>
          </w:tcPr>
          <w:p>
            <w:pPr>
              <w:jc w:val="center"/>
              <w:ind w:right="12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600" w:type="dxa"/>
            <w:vAlign w:val="bottom"/>
          </w:tcPr>
          <w:p>
            <w:pPr>
              <w:jc w:val="center"/>
              <w:ind w:left="2163"/>
              <w:spacing w:after="0"/>
              <w:rPr>
                <w:sz w:val="20"/>
                <w:szCs w:val="20"/>
                <w:color w:val="auto"/>
              </w:rPr>
            </w:pPr>
            <w:r>
              <w:rPr>
                <w:rFonts w:ascii="Arial" w:cs="Arial" w:eastAsia="Arial" w:hAnsi="Arial"/>
                <w:sz w:val="14"/>
                <w:szCs w:val="14"/>
                <w:b w:val="1"/>
                <w:bCs w:val="1"/>
                <w:color w:val="auto"/>
              </w:rPr>
              <w:t>(I.R.S. Employer Identification No.)</w:t>
            </w:r>
          </w:p>
        </w:tc>
      </w:tr>
      <w:tr>
        <w:trPr>
          <w:trHeight w:val="320"/>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rPr>
              <w:t>200 Oceangate, Suite 100</w:t>
            </w:r>
          </w:p>
        </w:tc>
        <w:tc>
          <w:tcPr>
            <w:tcW w:w="4600" w:type="dxa"/>
            <w:vAlign w:val="bottom"/>
          </w:tcPr>
          <w:p>
            <w:pPr>
              <w:spacing w:after="0"/>
              <w:rPr>
                <w:sz w:val="24"/>
                <w:szCs w:val="24"/>
                <w:color w:val="auto"/>
              </w:rPr>
            </w:pPr>
          </w:p>
        </w:tc>
      </w:tr>
      <w:tr>
        <w:trPr>
          <w:trHeight w:val="229"/>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rPr>
              <w:t>Long Beach, California</w:t>
            </w:r>
          </w:p>
        </w:tc>
        <w:tc>
          <w:tcPr>
            <w:tcW w:w="4600" w:type="dxa"/>
            <w:vAlign w:val="bottom"/>
          </w:tcPr>
          <w:p>
            <w:pPr>
              <w:jc w:val="right"/>
              <w:ind w:right="883"/>
              <w:spacing w:after="0"/>
              <w:rPr>
                <w:sz w:val="20"/>
                <w:szCs w:val="20"/>
                <w:color w:val="auto"/>
              </w:rPr>
            </w:pPr>
            <w:r>
              <w:rPr>
                <w:rFonts w:ascii="Arial" w:cs="Arial" w:eastAsia="Arial" w:hAnsi="Arial"/>
                <w:sz w:val="16"/>
                <w:szCs w:val="16"/>
                <w:b w:val="1"/>
                <w:bCs w:val="1"/>
                <w:color w:val="auto"/>
              </w:rPr>
              <w:t>90802</w:t>
            </w:r>
          </w:p>
        </w:tc>
      </w:tr>
      <w:tr>
        <w:trPr>
          <w:trHeight w:val="204"/>
        </w:trPr>
        <w:tc>
          <w:tcPr>
            <w:tcW w:w="4260" w:type="dxa"/>
            <w:vAlign w:val="bottom"/>
          </w:tcPr>
          <w:p>
            <w:pPr>
              <w:jc w:val="center"/>
              <w:ind w:right="123"/>
              <w:spacing w:after="0"/>
              <w:rPr>
                <w:sz w:val="20"/>
                <w:szCs w:val="20"/>
                <w:color w:val="auto"/>
              </w:rPr>
            </w:pPr>
            <w:r>
              <w:rPr>
                <w:rFonts w:ascii="Arial" w:cs="Arial" w:eastAsia="Arial" w:hAnsi="Arial"/>
                <w:sz w:val="14"/>
                <w:szCs w:val="14"/>
                <w:b w:val="1"/>
                <w:bCs w:val="1"/>
                <w:color w:val="auto"/>
              </w:rPr>
              <w:t>(Address of principal executive offices)</w:t>
            </w:r>
          </w:p>
        </w:tc>
        <w:tc>
          <w:tcPr>
            <w:tcW w:w="4600" w:type="dxa"/>
            <w:vAlign w:val="bottom"/>
          </w:tcPr>
          <w:p>
            <w:pPr>
              <w:jc w:val="center"/>
              <w:ind w:left="2163"/>
              <w:spacing w:after="0"/>
              <w:rPr>
                <w:sz w:val="20"/>
                <w:szCs w:val="20"/>
                <w:color w:val="auto"/>
              </w:rPr>
            </w:pPr>
            <w:r>
              <w:rPr>
                <w:rFonts w:ascii="Arial" w:cs="Arial" w:eastAsia="Arial" w:hAnsi="Arial"/>
                <w:sz w:val="14"/>
                <w:szCs w:val="14"/>
                <w:b w:val="1"/>
                <w:bCs w:val="1"/>
                <w:color w:val="auto"/>
              </w:rPr>
              <w:t>(Zip Code)</w:t>
            </w:r>
          </w:p>
        </w:tc>
      </w:tr>
      <w:tr>
        <w:trPr>
          <w:trHeight w:val="203"/>
        </w:trPr>
        <w:tc>
          <w:tcPr>
            <w:tcW w:w="4260" w:type="dxa"/>
            <w:vAlign w:val="bottom"/>
          </w:tcPr>
          <w:p>
            <w:pPr>
              <w:spacing w:after="0"/>
              <w:rPr>
                <w:sz w:val="17"/>
                <w:szCs w:val="17"/>
                <w:color w:val="auto"/>
              </w:rPr>
            </w:pPr>
          </w:p>
        </w:tc>
        <w:tc>
          <w:tcPr>
            <w:tcW w:w="4600" w:type="dxa"/>
            <w:vAlign w:val="bottom"/>
          </w:tcPr>
          <w:p>
            <w:pPr>
              <w:jc w:val="right"/>
              <w:ind w:right="3243"/>
              <w:spacing w:after="0"/>
              <w:rPr>
                <w:sz w:val="20"/>
                <w:szCs w:val="20"/>
                <w:color w:val="auto"/>
              </w:rPr>
            </w:pPr>
            <w:r>
              <w:rPr>
                <w:rFonts w:ascii="Arial" w:cs="Arial" w:eastAsia="Arial" w:hAnsi="Arial"/>
                <w:sz w:val="16"/>
                <w:szCs w:val="16"/>
                <w:b w:val="1"/>
                <w:bCs w:val="1"/>
                <w:color w:val="auto"/>
              </w:rPr>
              <w:t>(562) 435-3666</w:t>
            </w:r>
          </w:p>
        </w:tc>
      </w:tr>
    </w:tbl>
    <w:p>
      <w:pPr>
        <w:jc w:val="center"/>
        <w:ind w:right="-5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200660</wp:posOffset>
            </wp:positionV>
            <wp:extent cx="4476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399" w:lineRule="exact"/>
        <w:rPr>
          <w:sz w:val="24"/>
          <w:szCs w:val="24"/>
          <w:color w:val="auto"/>
        </w:rPr>
      </w:pPr>
    </w:p>
    <w:p>
      <w:pPr>
        <w:jc w:val="both"/>
        <w:ind w:right="10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4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113"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35" w:lineRule="exact"/>
        <w:rPr>
          <w:sz w:val="24"/>
          <w:szCs w:val="24"/>
          <w:color w:val="auto"/>
        </w:rPr>
      </w:pPr>
    </w:p>
    <w:p>
      <w:pPr>
        <w:ind w:right="2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April 26, 2019, was approximately 62,619,000.</w:t>
      </w:r>
    </w:p>
    <w:p>
      <w:pPr>
        <w:sectPr>
          <w:pgSz w:w="11900" w:h="16838" w:orient="portrait"/>
          <w:cols w:equalWidth="0" w:num="1">
            <w:col w:w="11380"/>
          </w:cols>
          <w:pgMar w:left="240" w:top="225"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color w:val="828282"/>
        </w:rPr>
        <w:t>FOR THE QUARTERLY PERIOD ENDED March 31, 2019</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ITEM NUMBER</w:t>
            </w:r>
          </w:p>
        </w:tc>
        <w:tc>
          <w:tcPr>
            <w:tcW w:w="40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91"/>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 - Financial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638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400" w:type="dxa"/>
            <w:vAlign w:val="bottom"/>
            <w:gridSpan w:val="4"/>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27">
              <w:r>
                <w:rPr>
                  <w:rFonts w:ascii="Arial" w:cs="Arial" w:eastAsia="Arial" w:hAnsi="Arial"/>
                  <w:sz w:val="16"/>
                  <w:szCs w:val="16"/>
                  <w:color w:val="0F7C7F"/>
                </w:rPr>
                <w:t>Management’s Discussion and Analysis of Financial Condition and Results of Operations</w:t>
              </w:r>
            </w:hyperlink>
          </w:p>
        </w:tc>
        <w:tc>
          <w:tcPr>
            <w:tcW w:w="4400" w:type="dxa"/>
            <w:vAlign w:val="bottom"/>
            <w:gridSpan w:val="4"/>
          </w:tcPr>
          <w:p>
            <w:pPr>
              <w:jc w:val="right"/>
              <w:spacing w:after="0"/>
              <w:rPr>
                <w:rFonts w:ascii="Arial" w:cs="Arial" w:eastAsia="Arial" w:hAnsi="Arial"/>
                <w:sz w:val="16"/>
                <w:szCs w:val="16"/>
                <w:color w:val="0F7C7F"/>
              </w:rPr>
            </w:pPr>
            <w:hyperlink w:anchor="page27">
              <w:r>
                <w:rPr>
                  <w:rFonts w:ascii="Arial" w:cs="Arial" w:eastAsia="Arial" w:hAnsi="Arial"/>
                  <w:sz w:val="16"/>
                  <w:szCs w:val="16"/>
                  <w:color w:val="0F7C7F"/>
                </w:rPr>
                <w:t>27</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20" w:type="dxa"/>
            <w:vAlign w:val="bottom"/>
            <w:shd w:val="clear" w:color="auto" w:fill="0F7C7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240" w:type="dxa"/>
            <w:vAlign w:val="bottom"/>
            <w:gridSpan w:val="7"/>
          </w:tcPr>
          <w:p>
            <w:pPr>
              <w:spacing w:after="0"/>
              <w:rPr>
                <w:rFonts w:ascii="Arial" w:cs="Arial" w:eastAsia="Arial" w:hAnsi="Arial"/>
                <w:sz w:val="16"/>
                <w:szCs w:val="16"/>
                <w:color w:val="0F7C7F"/>
              </w:rPr>
            </w:pPr>
            <w:hyperlink w:anchor="page42">
              <w:r>
                <w:rPr>
                  <w:rFonts w:ascii="Arial" w:cs="Arial" w:eastAsia="Arial" w:hAnsi="Arial"/>
                  <w:sz w:val="16"/>
                  <w:szCs w:val="16"/>
                  <w:color w:val="0F7C7F"/>
                </w:rPr>
                <w:t>Quantitative and Qualitative Disclosures About Market Risk</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2">
              <w:r>
                <w:rPr>
                  <w:rFonts w:ascii="Arial" w:cs="Arial" w:eastAsia="Arial" w:hAnsi="Arial"/>
                  <w:sz w:val="16"/>
                  <w:szCs w:val="16"/>
                  <w:color w:val="0F7C7F"/>
                </w:rPr>
                <w:t>42</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4240" w:type="dxa"/>
            <w:vAlign w:val="bottom"/>
            <w:gridSpan w:val="7"/>
          </w:tcPr>
          <w:p>
            <w:pPr>
              <w:spacing w:after="0"/>
              <w:rPr>
                <w:rFonts w:ascii="Arial" w:cs="Arial" w:eastAsia="Arial" w:hAnsi="Arial"/>
                <w:sz w:val="16"/>
                <w:szCs w:val="16"/>
                <w:color w:val="0F7C7F"/>
              </w:rPr>
            </w:pPr>
            <w:hyperlink w:anchor="page43">
              <w:r>
                <w:rPr>
                  <w:rFonts w:ascii="Arial" w:cs="Arial" w:eastAsia="Arial" w:hAnsi="Arial"/>
                  <w:sz w:val="16"/>
                  <w:szCs w:val="16"/>
                  <w:color w:val="0F7C7F"/>
                </w:rPr>
                <w:t>Controls and Procedures</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3">
              <w:r>
                <w:rPr>
                  <w:rFonts w:ascii="Arial" w:cs="Arial" w:eastAsia="Arial" w:hAnsi="Arial"/>
                  <w:sz w:val="16"/>
                  <w:szCs w:val="16"/>
                  <w:color w:val="0F7C7F"/>
                </w:rPr>
                <w:t>43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91"/>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II - Other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1340" w:type="dxa"/>
            <w:vAlign w:val="bottom"/>
            <w:gridSpan w:val="4"/>
          </w:tcPr>
          <w:p>
            <w:pPr>
              <w:spacing w:after="0"/>
              <w:rPr>
                <w:rFonts w:ascii="Arial" w:cs="Arial" w:eastAsia="Arial" w:hAnsi="Arial"/>
                <w:sz w:val="16"/>
                <w:szCs w:val="16"/>
                <w:color w:val="0F7C7F"/>
                <w:w w:val="99"/>
              </w:rPr>
            </w:pPr>
            <w:hyperlink w:anchor="page43">
              <w:r>
                <w:rPr>
                  <w:rFonts w:ascii="Arial" w:cs="Arial" w:eastAsia="Arial" w:hAnsi="Arial"/>
                  <w:sz w:val="16"/>
                  <w:szCs w:val="16"/>
                  <w:color w:val="0F7C7F"/>
                  <w:w w:val="99"/>
                </w:rPr>
                <w:t>Legal Proceedings</w:t>
              </w:r>
            </w:hyperlink>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3">
              <w:r>
                <w:rPr>
                  <w:rFonts w:ascii="Arial" w:cs="Arial" w:eastAsia="Arial" w:hAnsi="Arial"/>
                  <w:sz w:val="16"/>
                  <w:szCs w:val="16"/>
                  <w:color w:val="0F7C7F"/>
                </w:rPr>
                <w:t>43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1A.</w:t>
            </w:r>
          </w:p>
        </w:tc>
        <w:tc>
          <w:tcPr>
            <w:tcW w:w="900" w:type="dxa"/>
            <w:vAlign w:val="bottom"/>
            <w:gridSpan w:val="3"/>
          </w:tcPr>
          <w:p>
            <w:pPr>
              <w:spacing w:after="0"/>
              <w:rPr>
                <w:rFonts w:ascii="Arial" w:cs="Arial" w:eastAsia="Arial" w:hAnsi="Arial"/>
                <w:sz w:val="16"/>
                <w:szCs w:val="16"/>
                <w:color w:val="0F7C7F"/>
                <w:w w:val="98"/>
              </w:rPr>
            </w:pPr>
            <w:hyperlink w:anchor="page43">
              <w:r>
                <w:rPr>
                  <w:rFonts w:ascii="Arial" w:cs="Arial" w:eastAsia="Arial" w:hAnsi="Arial"/>
                  <w:sz w:val="16"/>
                  <w:szCs w:val="16"/>
                  <w:color w:val="0F7C7F"/>
                  <w:w w:val="98"/>
                </w:rPr>
                <w:t>Risk Factors</w:t>
              </w:r>
            </w:hyperlink>
          </w:p>
        </w:tc>
        <w:tc>
          <w:tcPr>
            <w:tcW w:w="440" w:type="dxa"/>
            <w:vAlign w:val="bottom"/>
          </w:tcPr>
          <w:p>
            <w:pPr>
              <w:spacing w:after="0"/>
              <w:rPr>
                <w:sz w:val="24"/>
                <w:szCs w:val="24"/>
                <w:color w:val="auto"/>
              </w:rPr>
            </w:pPr>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43">
              <w:r>
                <w:rPr>
                  <w:rFonts w:ascii="Arial" w:cs="Arial" w:eastAsia="Arial" w:hAnsi="Arial"/>
                  <w:sz w:val="16"/>
                  <w:szCs w:val="16"/>
                  <w:color w:val="0F7C7F"/>
                </w:rPr>
                <w:t>43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43">
              <w:r>
                <w:rPr>
                  <w:rFonts w:ascii="Arial" w:cs="Arial" w:eastAsia="Arial" w:hAnsi="Arial"/>
                  <w:sz w:val="16"/>
                  <w:szCs w:val="16"/>
                  <w:color w:val="0F7C7F"/>
                </w:rPr>
                <w:t>Unregistered Sales of Equity Securities and Use of Proceeds</w:t>
              </w:r>
            </w:hyperlink>
          </w:p>
        </w:tc>
        <w:tc>
          <w:tcPr>
            <w:tcW w:w="4400" w:type="dxa"/>
            <w:vAlign w:val="bottom"/>
            <w:gridSpan w:val="4"/>
          </w:tcPr>
          <w:p>
            <w:pPr>
              <w:jc w:val="right"/>
              <w:spacing w:after="0"/>
              <w:rPr>
                <w:rFonts w:ascii="Arial" w:cs="Arial" w:eastAsia="Arial" w:hAnsi="Arial"/>
                <w:sz w:val="16"/>
                <w:szCs w:val="16"/>
                <w:color w:val="0F7C7F"/>
              </w:rPr>
            </w:pPr>
            <w:hyperlink w:anchor="page43">
              <w:r>
                <w:rPr>
                  <w:rFonts w:ascii="Arial" w:cs="Arial" w:eastAsia="Arial" w:hAnsi="Arial"/>
                  <w:sz w:val="16"/>
                  <w:szCs w:val="16"/>
                  <w:color w:val="0F7C7F"/>
                </w:rPr>
                <w:t>43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3580" w:type="dxa"/>
            <w:vAlign w:val="bottom"/>
            <w:gridSpan w:val="6"/>
            <w:shd w:val="clear" w:color="auto" w:fill="0F7C7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83"/>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360" w:type="dxa"/>
            <w:vAlign w:val="bottom"/>
            <w:gridSpan w:val="8"/>
          </w:tcPr>
          <w:p>
            <w:pPr>
              <w:spacing w:after="0"/>
              <w:rPr>
                <w:sz w:val="20"/>
                <w:szCs w:val="20"/>
                <w:color w:val="auto"/>
              </w:rPr>
            </w:pPr>
            <w:r>
              <w:rPr>
                <w:rFonts w:ascii="Arial" w:cs="Arial" w:eastAsia="Arial" w:hAnsi="Arial"/>
                <w:sz w:val="16"/>
                <w:szCs w:val="16"/>
                <w:color w:val="0F7C7F"/>
              </w:rPr>
              <w:t>Defaults Upon Senior Securities</w:t>
            </w:r>
          </w:p>
        </w:tc>
        <w:tc>
          <w:tcPr>
            <w:tcW w:w="202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6380" w:type="dxa"/>
            <w:vAlign w:val="bottom"/>
            <w:gridSpan w:val="9"/>
          </w:tcPr>
          <w:p>
            <w:pPr>
              <w:spacing w:after="0"/>
              <w:rPr>
                <w:sz w:val="20"/>
                <w:szCs w:val="20"/>
                <w:color w:val="auto"/>
              </w:rPr>
            </w:pPr>
            <w:r>
              <w:rPr>
                <w:rFonts w:ascii="Arial" w:cs="Arial" w:eastAsia="Arial" w:hAnsi="Arial"/>
                <w:sz w:val="16"/>
                <w:szCs w:val="16"/>
                <w:color w:val="0F7C7F"/>
              </w:rPr>
              <w:t>Mine Safety Disclosures</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5.</w:t>
            </w:r>
          </w:p>
        </w:tc>
        <w:tc>
          <w:tcPr>
            <w:tcW w:w="6380" w:type="dxa"/>
            <w:vAlign w:val="bottom"/>
            <w:gridSpan w:val="9"/>
          </w:tcPr>
          <w:p>
            <w:pPr>
              <w:spacing w:after="0"/>
              <w:rPr>
                <w:sz w:val="20"/>
                <w:szCs w:val="20"/>
                <w:color w:val="auto"/>
              </w:rPr>
            </w:pPr>
            <w:r>
              <w:rPr>
                <w:rFonts w:ascii="Arial" w:cs="Arial" w:eastAsia="Arial" w:hAnsi="Arial"/>
                <w:sz w:val="16"/>
                <w:szCs w:val="16"/>
                <w:color w:val="0F7C7F"/>
              </w:rPr>
              <w:t>Other Information</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26"/>
        </w:trPr>
        <w:tc>
          <w:tcPr>
            <w:tcW w:w="580" w:type="dxa"/>
            <w:vAlign w:val="bottom"/>
          </w:tcPr>
          <w:p>
            <w:pPr>
              <w:spacing w:after="0"/>
              <w:rPr>
                <w:sz w:val="20"/>
                <w:szCs w:val="20"/>
                <w:color w:val="auto"/>
              </w:rPr>
            </w:pPr>
            <w:r>
              <w:rPr>
                <w:rFonts w:ascii="Arial" w:cs="Arial" w:eastAsia="Arial" w:hAnsi="Arial"/>
                <w:sz w:val="16"/>
                <w:szCs w:val="16"/>
                <w:color w:val="0F7C7F"/>
              </w:rPr>
              <w:t>6.</w:t>
            </w:r>
          </w:p>
        </w:tc>
        <w:tc>
          <w:tcPr>
            <w:tcW w:w="6380" w:type="dxa"/>
            <w:vAlign w:val="bottom"/>
            <w:gridSpan w:val="9"/>
          </w:tcPr>
          <w:p>
            <w:pPr>
              <w:spacing w:after="0"/>
              <w:rPr>
                <w:rFonts w:ascii="Arial" w:cs="Arial" w:eastAsia="Arial" w:hAnsi="Arial"/>
                <w:sz w:val="16"/>
                <w:szCs w:val="16"/>
                <w:color w:val="0F7C7F"/>
              </w:rPr>
            </w:pPr>
            <w:hyperlink w:anchor="page44">
              <w:r>
                <w:rPr>
                  <w:rFonts w:ascii="Arial" w:cs="Arial" w:eastAsia="Arial" w:hAnsi="Arial"/>
                  <w:sz w:val="16"/>
                  <w:szCs w:val="16"/>
                  <w:color w:val="0F7C7F"/>
                </w:rPr>
                <w:t>Exhibits</w:t>
              </w:r>
            </w:hyperlink>
          </w:p>
        </w:tc>
        <w:tc>
          <w:tcPr>
            <w:tcW w:w="4400" w:type="dxa"/>
            <w:vAlign w:val="bottom"/>
            <w:gridSpan w:val="4"/>
          </w:tcPr>
          <w:p>
            <w:pPr>
              <w:jc w:val="right"/>
              <w:spacing w:after="0"/>
              <w:rPr>
                <w:rFonts w:ascii="Arial" w:cs="Arial" w:eastAsia="Arial" w:hAnsi="Arial"/>
                <w:sz w:val="16"/>
                <w:szCs w:val="16"/>
                <w:color w:val="0F7C7F"/>
              </w:rPr>
            </w:pPr>
            <w:hyperlink w:anchor="page44">
              <w:r>
                <w:rPr>
                  <w:rFonts w:ascii="Arial" w:cs="Arial" w:eastAsia="Arial" w:hAnsi="Arial"/>
                  <w:sz w:val="16"/>
                  <w:szCs w:val="16"/>
                  <w:color w:val="0F7C7F"/>
                </w:rPr>
                <w:t>44</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780" w:type="dxa"/>
            <w:vAlign w:val="bottom"/>
            <w:tcBorders>
              <w:bottom w:val="single" w:sz="8" w:color="0F7C7F"/>
            </w:tcBorders>
            <w:gridSpan w:val="2"/>
          </w:tcPr>
          <w:p>
            <w:pPr>
              <w:spacing w:after="0"/>
              <w:rPr>
                <w:rFonts w:ascii="Arial" w:cs="Arial" w:eastAsia="Arial" w:hAnsi="Arial"/>
                <w:sz w:val="16"/>
                <w:szCs w:val="16"/>
                <w:color w:val="0F7C7F"/>
                <w:w w:val="99"/>
              </w:rPr>
            </w:pPr>
            <w:hyperlink w:anchor="page45">
              <w:r>
                <w:rPr>
                  <w:rFonts w:ascii="Arial" w:cs="Arial" w:eastAsia="Arial" w:hAnsi="Arial"/>
                  <w:sz w:val="16"/>
                  <w:szCs w:val="16"/>
                  <w:color w:val="0F7C7F"/>
                  <w:w w:val="99"/>
                </w:rPr>
                <w:t>Signatures</w:t>
              </w:r>
            </w:hyperlink>
          </w:p>
        </w:tc>
        <w:tc>
          <w:tcPr>
            <w:tcW w:w="5600" w:type="dxa"/>
            <w:vAlign w:val="bottom"/>
            <w:gridSpan w:val="7"/>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45</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c>
          <w:tcPr>
            <w:tcW w:w="10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00"/>
          </w:cols>
          <w:pgMar w:left="240" w:top="11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tcBorders>
              <w:top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(In millions, except per-share amounts)</w:t>
            </w:r>
          </w:p>
        </w:tc>
        <w:tc>
          <w:tcPr>
            <w:tcW w:w="0" w:type="dxa"/>
            <w:vAlign w:val="bottom"/>
          </w:tcPr>
          <w:p>
            <w:pPr>
              <w:spacing w:after="0"/>
              <w:rPr>
                <w:sz w:val="1"/>
                <w:szCs w:val="1"/>
                <w:color w:val="auto"/>
              </w:rPr>
            </w:pPr>
          </w:p>
        </w:tc>
      </w:t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5"/>
          </w:tcPr>
          <w:p>
            <w:pPr>
              <w:jc w:val="center"/>
              <w:ind w:right="279"/>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160" w:type="dxa"/>
            <w:vAlign w:val="bottom"/>
            <w:gridSpan w:val="2"/>
          </w:tcPr>
          <w:p>
            <w:pPr>
              <w:jc w:val="right"/>
              <w:ind w:right="746"/>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3,952</w:t>
            </w:r>
          </w:p>
        </w:tc>
        <w:tc>
          <w:tcPr>
            <w:tcW w:w="20" w:type="dxa"/>
            <w:vAlign w:val="bottom"/>
          </w:tcPr>
          <w:p>
            <w:pPr>
              <w:spacing w:after="0"/>
              <w:rPr>
                <w:sz w:val="22"/>
                <w:szCs w:val="22"/>
                <w:color w:val="auto"/>
              </w:rPr>
            </w:pP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Premium tax revenue</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Health insurer fees reimbursed</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4,119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56"/>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3,371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3,722</w:t>
            </w:r>
          </w:p>
        </w:tc>
        <w:tc>
          <w:tcPr>
            <w:tcW w:w="0" w:type="dxa"/>
            <w:vAlign w:val="bottom"/>
          </w:tcPr>
          <w:p>
            <w:pPr>
              <w:spacing w:after="0"/>
              <w:rPr>
                <w:sz w:val="1"/>
                <w:szCs w:val="1"/>
                <w:color w:val="auto"/>
              </w:rPr>
            </w:pP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Premium tax expenses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Health insurer fees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2"/>
        </w:trPr>
        <w:tc>
          <w:tcPr>
            <w:tcW w:w="812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w:t>
            </w:r>
          </w:p>
        </w:tc>
        <w:tc>
          <w:tcPr>
            <w:tcW w:w="2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3,839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56"/>
        </w:trPr>
        <w:tc>
          <w:tcPr>
            <w:tcW w:w="8120" w:type="dxa"/>
            <w:vAlign w:val="bottom"/>
          </w:tcPr>
          <w:p>
            <w:pPr>
              <w:ind w:left="40"/>
              <w:spacing w:after="0"/>
              <w:rPr>
                <w:sz w:val="20"/>
                <w:szCs w:val="20"/>
                <w:color w:val="auto"/>
              </w:rPr>
            </w:pPr>
            <w:r>
              <w:rPr>
                <w:rFonts w:ascii="Arial" w:cs="Arial" w:eastAsia="Arial" w:hAnsi="Arial"/>
                <w:sz w:val="16"/>
                <w:szCs w:val="16"/>
                <w:color w:val="auto"/>
              </w:rPr>
              <w:t>Other expenses, net:</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 expenses, net</w:t>
            </w: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other expenses, net</w:t>
            </w:r>
          </w:p>
        </w:tc>
        <w:tc>
          <w:tcPr>
            <w:tcW w:w="2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color w:val="auto"/>
              </w:rPr>
              <w:t>Income before income tax expense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2"/>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746"/>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24"/>
                <w:szCs w:val="24"/>
                <w:color w:val="auto"/>
              </w:rPr>
            </w:pP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79"/>
        </w:trPr>
        <w:tc>
          <w:tcPr>
            <w:tcW w:w="8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160" w:type="dxa"/>
            <w:vAlign w:val="bottom"/>
            <w:gridSpan w:val="2"/>
          </w:tcPr>
          <w:p>
            <w:pPr>
              <w:jc w:val="right"/>
              <w:ind w:right="746"/>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9"/>
                <w:szCs w:val="19"/>
                <w:color w:val="auto"/>
              </w:rPr>
            </w:pP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25"/>
                <w:szCs w:val="25"/>
                <w:b w:val="1"/>
                <w:bCs w:val="1"/>
                <w:color w:val="0F7C7F"/>
              </w:rPr>
              <w:t>CONSOLIDATED STATEMENTS OF COMPREHENSIVE INCOME</w:t>
            </w: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1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5"/>
          </w:tcPr>
          <w:p>
            <w:pPr>
              <w:jc w:val="right"/>
              <w:ind w:right="61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5"/>
          </w:tcPr>
          <w:p>
            <w:pPr>
              <w:jc w:val="right"/>
              <w:ind w:right="619"/>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gain (loss)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2"/>
        </w:trPr>
        <w:tc>
          <w:tcPr>
            <w:tcW w:w="8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68"/>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(Dollars in millions,</w:t>
            </w:r>
          </w:p>
        </w:tc>
      </w:tr>
      <w:tr>
        <w:trPr>
          <w:trHeight w:val="202"/>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except per-share amounts)</w:t>
            </w:r>
          </w:p>
        </w:tc>
      </w:tr>
      <w:tr>
        <w:trPr>
          <w:trHeight w:val="271"/>
        </w:trPr>
        <w:tc>
          <w:tcPr>
            <w:tcW w:w="8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4"/>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2,826</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1,681</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1,330</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149</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49"/>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6,462</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117</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77"/>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7,579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7,154</w:t>
            </w:r>
          </w:p>
        </w:tc>
      </w:tr>
      <w:tr>
        <w:trPr>
          <w:trHeight w:val="271"/>
        </w:trPr>
        <w:tc>
          <w:tcPr>
            <w:tcW w:w="8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9"/>
        </w:trPr>
        <w:tc>
          <w:tcPr>
            <w:tcW w:w="8340" w:type="dxa"/>
            <w:vAlign w:val="bottom"/>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1,961</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967</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390</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241</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49"/>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4,246</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1,020</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Finance lease liabilities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197</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5,507</w:t>
            </w:r>
          </w:p>
        </w:tc>
      </w:tr>
      <w:tr>
        <w:trPr>
          <w:trHeight w:val="189"/>
        </w:trPr>
        <w:tc>
          <w:tcPr>
            <w:tcW w:w="8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6"/>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$0.001 par value, 150 million shares authorized; outstanding: 63 million shares at March 31,</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2019 and 62 million shares at December 31, 2018</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2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1,012</w:t>
            </w: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1,647</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7,154</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44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04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new accounting standard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gain,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780" w:type="dxa"/>
            <w:vAlign w:val="bottom"/>
          </w:tcPr>
          <w:p>
            <w:pPr>
              <w:spacing w:after="0"/>
              <w:rPr>
                <w:sz w:val="24"/>
                <w:szCs w:val="24"/>
                <w:color w:val="auto"/>
              </w:rPr>
            </w:pPr>
          </w:p>
        </w:tc>
        <w:tc>
          <w:tcPr>
            <w:tcW w:w="244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04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new accounting standards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Exchange of 1.625% Convertible Notes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5</w:t>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168"/>
        </w:trPr>
        <w:tc>
          <w:tcPr>
            <w:tcW w:w="8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4"/>
                <w:szCs w:val="14"/>
                <w:color w:val="auto"/>
              </w:rPr>
            </w:pPr>
          </w:p>
        </w:tc>
      </w:tr>
      <w:tr>
        <w:trPr>
          <w:trHeight w:val="203"/>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convertible senior notes and finance lease liabilities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(Gain) loss on debt extinguishment</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restructuring costs</w:t>
            </w: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94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94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278"/>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r>
      <w:tr>
        <w:trPr>
          <w:trHeight w:val="256"/>
        </w:trPr>
        <w:tc>
          <w:tcPr>
            <w:tcW w:w="83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94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543</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investing activities</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256"/>
        </w:trPr>
        <w:tc>
          <w:tcPr>
            <w:tcW w:w="83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principal amount of 1.125% Convertible Notes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Cash paid for partial settlement of 1.125% Conversion Option</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received for partial termination of 1.125% Call Option</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Cash paid for partial termination of 1.125% Warrants</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borrowings under Term Loan</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4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534</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r>
      <w:tr>
        <w:trPr>
          <w:trHeight w:val="242"/>
        </w:trPr>
        <w:tc>
          <w:tcPr>
            <w:tcW w:w="83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4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3,298</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3,824</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6</w:t>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ind w:right="5500"/>
        <w:spacing w:after="0" w:line="306"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25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27305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168"/>
        </w:trPr>
        <w:tc>
          <w:tcPr>
            <w:tcW w:w="8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4"/>
                <w:szCs w:val="14"/>
                <w:color w:val="auto"/>
              </w:rPr>
            </w:pPr>
          </w:p>
        </w:tc>
      </w:tr>
      <w:tr>
        <w:trPr>
          <w:trHeight w:val="202"/>
        </w:trPr>
        <w:tc>
          <w:tcPr>
            <w:tcW w:w="8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32"/>
        </w:trPr>
        <w:tc>
          <w:tcPr>
            <w:tcW w:w="8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used for share-based compensation</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6"/>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Gain on 1.125% Call Option</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271"/>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1.125% Conversion Option</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82"/>
        </w:trPr>
        <w:tc>
          <w:tcPr>
            <w:tcW w:w="8120" w:type="dxa"/>
            <w:vAlign w:val="bottom"/>
          </w:tcPr>
          <w:p>
            <w:pPr>
              <w:ind w:left="500"/>
              <w:spacing w:after="0"/>
              <w:rPr>
                <w:sz w:val="20"/>
                <w:szCs w:val="20"/>
                <w:color w:val="auto"/>
              </w:rPr>
            </w:pPr>
            <w:r>
              <w:rPr>
                <w:rFonts w:ascii="Arial" w:cs="Arial" w:eastAsia="Arial" w:hAnsi="Arial"/>
                <w:sz w:val="16"/>
                <w:szCs w:val="16"/>
                <w:color w:val="auto"/>
              </w:rPr>
              <w:t>Change in fair value of derivatives, net</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06"/>
        </w:trPr>
        <w:tc>
          <w:tcPr>
            <w:tcW w:w="81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1.625% Convertible Notes exchange transaction:</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issued in exchange for 1.625% Convertible Notes</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Component allocated to additional paid-in capital, net of income taxes</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42"/>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increase to additional paid-in capital</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7</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828282"/>
        </w:rPr>
        <w:t>March 31, 2019</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Molina Healthcare, Inc. provides managed health care services under the Medicaid and Medicare programs and through the insurance marketplaces (the “Marketplace”). We currently have two reportable segments: our Health Plans segment and our Other segment. We manage the vast majority of our operations through our Health Plans segment. The Other segment includes the historical results of the Medicaid management information systems (“MMIS”) and behavioral health subsidiaries that were sold in the fourth quarter of 2018, as well as certain corporate amounts not allocated to the Health Plans segment. Prior to the fourth quarter of 2018, the MMIS subsidiary was reported as a stand-alone segment.</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March 31, 2019, these health plans served approximately 3.4 million members eligible for Medicaid, Medicare, and other government-sponsored health care programs for low-income families and individuals including Marketplace members, most of whom receive government subsidies for premiums. The health plans are generally operated by our respective wholly owned subsidiaries in those states, each of which is licensed as a health maintenance organization (“HMO”).</w:t>
      </w:r>
    </w:p>
    <w:p>
      <w:pPr>
        <w:spacing w:after="0" w:line="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health plans’ state Medicaid contracts generally have terms of three to five years. These contracts typically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three months ended March 31, 2019, are not necessarily indicative of the results for the entire year ending December 31, 2019.</w:t>
      </w:r>
    </w:p>
    <w:p>
      <w:pPr>
        <w:spacing w:after="0" w:line="6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2018. Accordingly, certain disclosures that would substantially duplicate the disclosures contained in our December 31, 2018, audited consolidated financial statements have been omitted. These unaudited consolidated interim financial statements should be read in conjunction with our audited consolidated financial statements for the fiscal year ended December 31,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3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plans’ contractual provisions that may limit revenue recognition based upon the costs incurred or the profits realized under a specific contract;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plans’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8</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determination of reserves for litigation outcomes;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30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non-current “Restricted investments” in the accompanying consolidated balance sheets.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3,224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4"/>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 and cash equivalents presented in the statements of cash</w:t>
            </w:r>
          </w:p>
        </w:tc>
        <w:tc>
          <w:tcPr>
            <w:tcW w:w="1020" w:type="dxa"/>
            <w:vAlign w:val="bottom"/>
            <w:vMerge w:val="restart"/>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flows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w:t>
      </w:r>
    </w:p>
    <w:p>
      <w:pPr>
        <w:spacing w:after="0" w:line="22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Premium revenue is fixed in advance of the periods covered and, except as described below, is not generally subject to significant accounting estimates. Premium revenues are recognized in the month that members are entitled to receive health care services, and premiums collected in advance are deferred. Certain components of premium revenue are subject to accounting estimates and fall into the following categories: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spent on defined medical care costs. In the aggregate, we recorded a liability under the terms of such contract provisions of $98 million and $103 million at March 31, 2019 and December 31, 2018, respectively. Approximately $87 million of the liability accrued at both March 31, 2019 and December 31, 2018, relates to our participation in Medicaid Expansion programs.</w:t>
      </w:r>
    </w:p>
    <w:p>
      <w:pPr>
        <w:spacing w:after="0" w:line="17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certain circumstances, the health plans may receive additional premiums if amounts spent on medical care costs exceed a defined maximum threshold. Receivables relating to such provisions were insignificant at March 31, 2019 and December 31, 2018.</w:t>
      </w:r>
    </w:p>
    <w:p>
      <w:pPr>
        <w:spacing w:after="0" w:line="14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Profit Sharing and Profit Ceiling. </w:t>
      </w:r>
      <w:r>
        <w:rPr>
          <w:rFonts w:ascii="Arial" w:cs="Arial" w:eastAsia="Arial" w:hAnsi="Arial"/>
          <w:sz w:val="18"/>
          <w:szCs w:val="18"/>
          <w:color w:val="auto"/>
        </w:rPr>
        <w:t>Our contracts with certain states contain profit-sharing or profit ceiling provisions under which we refund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the states if our health plans 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March 31, 2019 and December 31, 2018.</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 must</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learn of the adjustment, rather than in the months of service to which the retroactive adjustment applies.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Risk Adjusted Premiums: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 Consolidated balance sheet</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9</w:t>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amounts related to anticipated Medicare risk adjusted premiums and Medicare Part D settlements were insignificant at March 31, 2019 and December 31, 2018.</w:t>
      </w:r>
    </w:p>
    <w:p>
      <w:pPr>
        <w:spacing w:after="0" w:line="14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has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 The amounts payable for the Medicare Minimum MLR was not significant at March 31, 2019 and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March 31, 2019, and December 31, 2018, the Marketplace risk adjustment payable amounted to $568 million and $466 million, respectively. As of March 31, 2019, and December 31, 2018, the Marketplace risk adjustment receivable amounted to $51 million and $34 million, respectively.</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pay rebates to our Marketplace policyholders. The Marketplace risk adjustment program is taken into consideration when computing the Minimum MLR. We recognize estimated rebates under the Minimum MLR as an adjustment to premium revenue in our consolidated statements of income. Aggregate balance sheet amounts related to the Minimum MLR were insignificant at March 31, 2019 and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227" w:lineRule="exact"/>
        <w:rPr>
          <w:sz w:val="20"/>
          <w:szCs w:val="20"/>
          <w:color w:val="auto"/>
        </w:rPr>
      </w:pPr>
    </w:p>
    <w:p>
      <w:pPr>
        <w:ind w:right="960"/>
        <w:spacing w:after="0" w:line="292"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w:t>
      </w:r>
    </w:p>
    <w:p>
      <w:pPr>
        <w:spacing w:after="0" w:line="1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March 31, 2019, are not known, we have no reason to believe that the adjustments to prior years noted below are not indicative of the potential future changes in our estimates as of March 31,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264"/>
        </w:trPr>
        <w:tc>
          <w:tcPr>
            <w:tcW w:w="8020" w:type="dxa"/>
            <w:vAlign w:val="bottom"/>
          </w:tcPr>
          <w:p>
            <w:pPr>
              <w:spacing w:after="0"/>
              <w:rPr>
                <w:sz w:val="22"/>
                <w:szCs w:val="22"/>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12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r>
      <w:tr>
        <w:trPr>
          <w:trHeight w:val="20"/>
        </w:trPr>
        <w:tc>
          <w:tcPr>
            <w:tcW w:w="8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65"/>
        </w:trPr>
        <w:tc>
          <w:tcPr>
            <w:tcW w:w="8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in current period:</w:t>
            </w: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2"/>
        </w:trPr>
        <w:tc>
          <w:tcPr>
            <w:tcW w:w="8020" w:type="dxa"/>
            <w:vAlign w:val="bottom"/>
          </w:tcPr>
          <w:p>
            <w:pPr>
              <w:ind w:left="180"/>
              <w:spacing w:after="0"/>
              <w:rPr>
                <w:sz w:val="20"/>
                <w:szCs w:val="20"/>
                <w:color w:val="auto"/>
              </w:rPr>
            </w:pPr>
            <w:r>
              <w:rPr>
                <w:rFonts w:ascii="Arial" w:cs="Arial" w:eastAsia="Arial" w:hAnsi="Arial"/>
                <w:sz w:val="16"/>
                <w:szCs w:val="16"/>
                <w:color w:val="auto"/>
              </w:rPr>
              <w:t>Earned current period</w:t>
            </w:r>
          </w:p>
        </w:tc>
        <w:tc>
          <w:tcPr>
            <w:tcW w:w="1120" w:type="dxa"/>
            <w:vAlign w:val="bottom"/>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24</w:t>
            </w:r>
          </w:p>
        </w:tc>
      </w:tr>
      <w:tr>
        <w:trPr>
          <w:trHeight w:val="27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prior periods</w:t>
            </w:r>
          </w:p>
        </w:tc>
        <w:tc>
          <w:tcPr>
            <w:tcW w:w="1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r>
      <w:tr>
        <w:trPr>
          <w:trHeight w:val="282"/>
        </w:trPr>
        <w:tc>
          <w:tcPr>
            <w:tcW w:w="8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2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r>
      <w:tr>
        <w:trPr>
          <w:trHeight w:val="265"/>
        </w:trPr>
        <w:tc>
          <w:tcPr>
            <w:tcW w:w="80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56"/>
        </w:trPr>
        <w:tc>
          <w:tcPr>
            <w:tcW w:w="8020" w:type="dxa"/>
            <w:vAlign w:val="bottom"/>
          </w:tcPr>
          <w:p>
            <w:pPr>
              <w:ind w:left="40"/>
              <w:spacing w:after="0"/>
              <w:rPr>
                <w:sz w:val="20"/>
                <w:szCs w:val="20"/>
                <w:color w:val="auto"/>
              </w:rPr>
            </w:pPr>
            <w:r>
              <w:rPr>
                <w:rFonts w:ascii="Arial" w:cs="Arial" w:eastAsia="Arial" w:hAnsi="Arial"/>
                <w:sz w:val="16"/>
                <w:szCs w:val="16"/>
                <w:color w:val="auto"/>
              </w:rPr>
              <w:t>Quality incentive premium revenue recognized as a percentage of total premium revenue</w:t>
            </w:r>
          </w:p>
        </w:tc>
        <w:tc>
          <w:tcPr>
            <w:tcW w:w="1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0"/>
        </w:trPr>
        <w:tc>
          <w:tcPr>
            <w:tcW w:w="8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10</w:t>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categories of amounts due government agencies is as follows: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32"/>
        </w:trPr>
        <w:tc>
          <w:tcPr>
            <w:tcW w:w="8300" w:type="dxa"/>
            <w:vAlign w:val="bottom"/>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6"/>
        </w:trPr>
        <w:tc>
          <w:tcPr>
            <w:tcW w:w="8300" w:type="dxa"/>
            <w:vAlign w:val="bottom"/>
          </w:tcPr>
          <w:p>
            <w:pPr>
              <w:spacing w:after="0"/>
              <w:rPr>
                <w:sz w:val="21"/>
                <w:szCs w:val="21"/>
                <w:color w:val="auto"/>
              </w:rPr>
            </w:pPr>
          </w:p>
        </w:tc>
        <w:tc>
          <w:tcPr>
            <w:tcW w:w="3060" w:type="dxa"/>
            <w:vAlign w:val="bottom"/>
            <w:gridSpan w:val="5"/>
          </w:tcPr>
          <w:p>
            <w:pPr>
              <w:jc w:val="right"/>
              <w:ind w:right="999"/>
              <w:spacing w:after="0"/>
              <w:rPr>
                <w:sz w:val="20"/>
                <w:szCs w:val="20"/>
                <w:color w:val="auto"/>
              </w:rPr>
            </w:pPr>
            <w:r>
              <w:rPr>
                <w:rFonts w:ascii="Arial" w:cs="Arial" w:eastAsia="Arial" w:hAnsi="Arial"/>
                <w:sz w:val="16"/>
                <w:szCs w:val="16"/>
                <w:b w:val="1"/>
                <w:bCs w:val="1"/>
                <w:color w:val="auto"/>
              </w:rPr>
              <w:t>(In millions)</w:t>
            </w:r>
          </w:p>
        </w:tc>
      </w:tr>
      <w:tr>
        <w:trPr>
          <w:trHeight w:val="270"/>
        </w:trPr>
        <w:tc>
          <w:tcPr>
            <w:tcW w:w="8300" w:type="dxa"/>
            <w:vAlign w:val="bottom"/>
          </w:tcPr>
          <w:p>
            <w:pPr>
              <w:ind w:left="20"/>
              <w:spacing w:after="0"/>
              <w:rPr>
                <w:sz w:val="20"/>
                <w:szCs w:val="20"/>
                <w:color w:val="auto"/>
              </w:rPr>
            </w:pPr>
            <w:r>
              <w:rPr>
                <w:rFonts w:ascii="Arial" w:cs="Arial" w:eastAsia="Arial" w:hAnsi="Arial"/>
                <w:sz w:val="16"/>
                <w:szCs w:val="16"/>
                <w:color w:val="auto"/>
              </w:rPr>
              <w:t>Medicaid program:</w:t>
            </w: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8"/>
        </w:trPr>
        <w:tc>
          <w:tcPr>
            <w:tcW w:w="8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Medical cost floors and corridors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r>
      <w:tr>
        <w:trPr>
          <w:trHeight w:val="262"/>
        </w:trPr>
        <w:tc>
          <w:tcPr>
            <w:tcW w:w="8300" w:type="dxa"/>
            <w:vAlign w:val="bottom"/>
          </w:tcPr>
          <w:p>
            <w:pPr>
              <w:ind w:left="160"/>
              <w:spacing w:after="0"/>
              <w:rPr>
                <w:sz w:val="20"/>
                <w:szCs w:val="20"/>
                <w:color w:val="auto"/>
              </w:rPr>
            </w:pPr>
            <w:r>
              <w:rPr>
                <w:rFonts w:ascii="Arial" w:cs="Arial" w:eastAsia="Arial" w:hAnsi="Arial"/>
                <w:sz w:val="16"/>
                <w:szCs w:val="16"/>
                <w:color w:val="auto"/>
              </w:rPr>
              <w:t>Other amounts due to states</w:t>
            </w:r>
          </w:p>
        </w:tc>
        <w:tc>
          <w:tcPr>
            <w:tcW w:w="108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w:t>
            </w:r>
          </w:p>
        </w:tc>
      </w:tr>
      <w:tr>
        <w:trPr>
          <w:trHeight w:val="278"/>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 program:</w:t>
            </w: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2"/>
        </w:trPr>
        <w:tc>
          <w:tcPr>
            <w:tcW w:w="8300" w:type="dxa"/>
            <w:vAlign w:val="bottom"/>
          </w:tcPr>
          <w:p>
            <w:pPr>
              <w:ind w:left="160"/>
              <w:spacing w:after="0"/>
              <w:rPr>
                <w:sz w:val="20"/>
                <w:szCs w:val="20"/>
                <w:color w:val="auto"/>
              </w:rPr>
            </w:pPr>
            <w:r>
              <w:rPr>
                <w:rFonts w:ascii="Arial" w:cs="Arial" w:eastAsia="Arial" w:hAnsi="Arial"/>
                <w:sz w:val="16"/>
                <w:szCs w:val="16"/>
                <w:color w:val="auto"/>
              </w:rPr>
              <w:t>Risk adjustment</w:t>
            </w:r>
          </w:p>
        </w:tc>
        <w:tc>
          <w:tcPr>
            <w:tcW w:w="108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568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466</w:t>
            </w:r>
          </w:p>
        </w:tc>
      </w:tr>
      <w:tr>
        <w:trPr>
          <w:trHeight w:val="278"/>
        </w:trPr>
        <w:tc>
          <w:tcPr>
            <w:tcW w:w="8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sharing reduction</w:t>
            </w:r>
          </w:p>
        </w:tc>
        <w:tc>
          <w:tcPr>
            <w:tcW w:w="10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r>
      <w:tr>
        <w:trPr>
          <w:trHeight w:val="26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7"/>
              </w:rPr>
              <w:t>176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w:t>
            </w:r>
          </w:p>
        </w:tc>
      </w:tr>
      <w:tr>
        <w:trPr>
          <w:trHeight w:val="237"/>
        </w:trPr>
        <w:tc>
          <w:tcPr>
            <w:tcW w:w="8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932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r>
      <w:tr>
        <w:trPr>
          <w:trHeight w:val="20"/>
        </w:trPr>
        <w:tc>
          <w:tcPr>
            <w:tcW w:w="8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first quarter of 2018, we recognized a benefit of approximately $70 million in reduced medical care costs related to 2017 dates of service as a result of the federal government’s confirmation that the reconciliation of 2017 Marketplace cost sharing reduction (“CSR”) subsidies would be performed on an annual basis. In the fourth quarter of 2017, we had assumed a nine-month reconciliation of this item pending confirmation of the time period to which the 2017 reconciliation would be applied.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Right-of-use (“ROU”) assets represent our right to use the underlying assets over the lease term, and lease liabilities represent our obligation to make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Operating lease ROU assets are reported in other assets, and operating lease liabilities are reported in accounts payable and accrued liabilities (current), and other long-term liabilities (non-current) in our consolidated balance sheets. Finance lease ROU assets are reported in property, equipment, and capitalized software, and finance lease liabilities are reported in accounts payable and accrued liabilities (current), and finance lease liabilities (non-current) in our consolidated balance sheets.</w:t>
      </w:r>
    </w:p>
    <w:p>
      <w:pPr>
        <w:spacing w:after="0" w:line="6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Short-term leases (with a term of 12 months or less) are not recorded as ROU assets or liabilities in the consolidated balance sheets. We account for lease and non-lease components as a single lease component. For certain leases that represent a portfolio of similar assets, such as a fleet of vehicles, we apply a portfolio approach to account for the related operating lease ROU assets and liabilities, rather than account for such assets and liabilities on an individual basis. A nominal number of our lease agreements include rental payments that adjust periodically for inflation. Our lease agreements do not contain any material residual value guarantees or material restrictive covenants.</w:t>
      </w:r>
    </w:p>
    <w:p>
      <w:pPr>
        <w:spacing w:after="0" w:line="6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For further information regarding our adoption of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see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Adopted, </w:t>
      </w:r>
      <w:r>
        <w:rPr>
          <w:rFonts w:ascii="Arial" w:cs="Arial" w:eastAsia="Arial" w:hAnsi="Arial"/>
          <w:sz w:val="18"/>
          <w:szCs w:val="18"/>
          <w:color w:val="auto"/>
        </w:rPr>
        <w:t>below.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a</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11</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maximum maturity of 10 years. Restricted investments are invested principally in certificates of deposit and U.S. Treasury securities. Concentration of credit risk with respect to accounts receivable is generally limited because our payors consist principally of the governments of each state in which our health plan subsidiaries operate.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nondeductible expenses such as the Health Insurer Fee (“HIF”), certain compensation, and other general and administrative expenses. The effective tax rate will not be impacted by HIF in 2019 given the 2019 HIF moratorium.</w:t>
      </w:r>
    </w:p>
    <w:p>
      <w:pPr>
        <w:spacing w:after="0" w:line="16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(“FASB”) issued Topic 842, which was subsequently modified by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ASUs issued in 2017 and 2018. Topic 842 was issued to increase transparency and comparability among organizations by requiring the recognition of ROU assets and lease liabilities on the balance sheet. Most prominent among the changes in Topic 842 is the recognition of ROU assets and lease liabilities by lessees for those leases classified as operating leases. In addition, Topic 842’s disclosures are required to meet the objective of enabling users of financial statements to assess the amount, timing and uncertainty of cash flows arising from leases. Topic 842’s transition provisions are applied using a modified retrospective approach under which entities may not retrospectively adjust any periods prior to the earliest comparative period presented, or at the beginning of the period of adoption, whichever is later. Entities may elect whether to apply the transition provisions, including disclosure requirements, at the beginning of the earliest comparative period presented or on the adoption date.</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adopted Topic 842 effective January 1, 2019, and have elected to apply the transition provisions as of January 1, 2019. Accordingly, we recognized the cumulative effect of initially applying the standard as an adjustment to the opening balance of retained earnings on January 1, 2019. In addition, we elected the available practical expedients and implemented internal controls and key system functionality to enable the preparation of financial information on adoption.</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indicated in the accompanying consolidated statements of stockholders’ equity, the cumulative effect adjustment was an increase of $85 million to retained earnings, relating primarily to the transition provisions for sale-leaseback arrangements that did not qualify for sale treatment. Accordingly, such arrangements for certain office buildings were de-recognized and recorded as finance lease ROU assets and lease liabilities. The difference between the de-recognized assets and lease financing obligations resulted in an increase to retained earnings. The recognition of these arrangements as finance lease ROU assets and lease liabilities will not materially impact our consolidated results of operations throughout the terms of the leases.</w:t>
      </w:r>
    </w:p>
    <w:p>
      <w:pPr>
        <w:spacing w:after="0" w:line="178"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See Note 13, “Leases,” for the required disclosures under Topic 842, including the amount and location of the ROU assets and lease liabilities recognized.</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i w:val="1"/>
          <w:iCs w:val="1"/>
          <w:color w:val="auto"/>
        </w:rPr>
        <w:t xml:space="preserve">Software Licenses.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Customer’s Accounting for Implementation Costs Incurred in a Cloud Computing Arrangement That Is a Service Contract, </w:t>
      </w:r>
      <w:r>
        <w:rPr>
          <w:rFonts w:ascii="Arial" w:cs="Arial" w:eastAsia="Arial" w:hAnsi="Arial"/>
          <w:sz w:val="18"/>
          <w:szCs w:val="18"/>
          <w:color w:val="auto"/>
        </w:rPr>
        <w:t>which aligns the requirements for capitalizing implementation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implementation costs incurred to develop or obtain internal-use software. We early adopted ASU 2018-15 effective January 1, 2019, using the prospective method</w:t>
      </w:r>
      <w:r>
        <w:rPr>
          <w:rFonts w:ascii="Times New Roman" w:cs="Times New Roman" w:eastAsia="Times New Roman" w:hAnsi="Times New Roman"/>
          <w:sz w:val="19"/>
          <w:szCs w:val="19"/>
          <w:color w:val="auto"/>
        </w:rPr>
        <w:t>,</w:t>
      </w:r>
      <w:r>
        <w:rPr>
          <w:rFonts w:ascii="Arial" w:cs="Arial" w:eastAsia="Arial" w:hAnsi="Arial"/>
          <w:sz w:val="18"/>
          <w:szCs w:val="18"/>
          <w:color w:val="auto"/>
        </w:rPr>
        <w:t xml:space="preserve"> with no material impact to our financial condition, results of operations or cash flows. Adoption of this guidance may be significant to us in the future depending on the extent to which we use cloud computing arrangements that qualify as service contracts.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Rather than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credit losses when it is probable that the loss has been incurred, the revised guidance requires companies to recognize an allowance for credit losses for the difference between the amortized cost basis of a financial instrument and the amount companies expect to collect over the instrument’s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12</w:t>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contractual life. ASU 2016-13 is effective beginning January 1, 2020, and must be adopted as a cumulative effect adjustment to retained earnings; early adoption is permitted. We are in the early stages of evaluating the effect of this guidance.</w:t>
      </w:r>
    </w:p>
    <w:p>
      <w:pPr>
        <w:spacing w:after="0" w:line="3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264"/>
        </w:trPr>
        <w:tc>
          <w:tcPr>
            <w:tcW w:w="8340" w:type="dxa"/>
            <w:vAlign w:val="bottom"/>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9"/>
              <w:spacing w:after="0"/>
              <w:rPr>
                <w:sz w:val="20"/>
                <w:szCs w:val="20"/>
                <w:color w:val="auto"/>
              </w:rPr>
            </w:pPr>
            <w:r>
              <w:rPr>
                <w:rFonts w:ascii="Arial" w:cs="Arial" w:eastAsia="Arial" w:hAnsi="Arial"/>
                <w:sz w:val="14"/>
                <w:szCs w:val="14"/>
                <w:b w:val="1"/>
                <w:bCs w:val="1"/>
                <w:color w:val="auto"/>
              </w:rPr>
              <w:t>(In millions, except net income per share)</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9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r>
      <w:tr>
        <w:trPr>
          <w:trHeight w:val="252"/>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0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6"/>
                <w:szCs w:val="16"/>
                <w:color w:val="auto"/>
              </w:rPr>
              <w:t>Exchange of 1.625% Convertible Notes</w:t>
            </w:r>
          </w:p>
        </w:tc>
        <w:tc>
          <w:tcPr>
            <w:tcW w:w="100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5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net income per share</w:t>
            </w:r>
          </w:p>
        </w:tc>
        <w:tc>
          <w:tcPr>
            <w:tcW w:w="10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62.1</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1.625% Convertible Notes</w:t>
            </w:r>
          </w:p>
        </w:tc>
        <w:tc>
          <w:tcPr>
            <w:tcW w:w="100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8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Denominator for diluted net income per share</w:t>
            </w: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65.2</w:t>
            </w:r>
          </w:p>
        </w:tc>
      </w:tr>
      <w:tr>
        <w:trPr>
          <w:trHeight w:val="306"/>
        </w:trPr>
        <w:tc>
          <w:tcPr>
            <w:tcW w:w="8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Net income per share: </w:t>
            </w:r>
            <w:r>
              <w:rPr>
                <w:rFonts w:ascii="Arial" w:cs="Arial" w:eastAsia="Arial" w:hAnsi="Arial"/>
                <w:sz w:val="21"/>
                <w:szCs w:val="21"/>
                <w:color w:val="auto"/>
                <w:vertAlign w:val="superscript"/>
              </w:rPr>
              <w:t>(2)</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r>
      <w:tr>
        <w:trPr>
          <w:trHeight w:val="306"/>
        </w:trPr>
        <w:tc>
          <w:tcPr>
            <w:tcW w:w="8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Potentially dilutive common shares excluded from calculations: </w:t>
            </w:r>
            <w:r>
              <w:rPr>
                <w:rFonts w:ascii="Arial" w:cs="Arial" w:eastAsia="Arial" w:hAnsi="Arial"/>
                <w:sz w:val="21"/>
                <w:szCs w:val="21"/>
                <w:color w:val="auto"/>
                <w:vertAlign w:val="superscript"/>
              </w:rPr>
              <w:t>(1)</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90" w:lineRule="exact"/>
        <w:rPr>
          <w:sz w:val="20"/>
          <w:szCs w:val="20"/>
          <w:color w:val="auto"/>
        </w:rPr>
      </w:pPr>
    </w:p>
    <w:p>
      <w:pPr>
        <w:ind w:left="340" w:right="60" w:hanging="332"/>
        <w:spacing w:after="0" w:line="269"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more information and definitions regarding the 1.125% Warrants, including partial termination transactions, refer to Note 9, “Stockholders' Equity.” The dilutive effect of all potentially dilutive common shares is calculated using the treasury stock method. Certain potentially dilutive common shares issuable were not included in the computation of diluted net income per share because to do so would have been anti-dilutive.</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3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consider the carrying amounts of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4, “Fair Value Measurements,” in our 2018 Annual Report on Form 10-K.</w:t>
      </w:r>
    </w:p>
    <w:p>
      <w:pPr>
        <w:spacing w:after="0" w:line="6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(see Note 8 “Derivatives,” for definitions and further information). These derivatives are not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13</w:t>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actively traded and are valued based on an option pricing model that uses observable and unobservable market data for inputs. Significant market data inputs used to determine fair value as of March 31, 2019, included the price of our common stock, the time to maturity of the derivative instruments, the risk-free interest rate, and the implied volatility of our common stock. The 1.125% Call Option derivative asset and the 1.125% Conversion Option derivative liability were designed such that changes in their fair values would offset, with minimal impact to the consolidated statements of income. Therefore, the sensitivity of changes in the unobservable inputs to the option pricing model for such derivative instruments is mitigated.</w:t>
      </w:r>
    </w:p>
    <w:p>
      <w:pPr>
        <w:spacing w:after="0" w:line="6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income for the three months ended March 31,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2019,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Directly or Indirectly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Observable Inputs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rPr>
              <w:t>Unobservable</w:t>
            </w:r>
          </w:p>
        </w:tc>
      </w:tr>
      <w:tr>
        <w:trPr>
          <w:trHeight w:val="203"/>
        </w:trPr>
        <w:tc>
          <w:tcPr>
            <w:tcW w:w="5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ind w:left="10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 of deposit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1,508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Call Option derivative asset</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516</w:t>
            </w:r>
          </w:p>
        </w:tc>
      </w:tr>
      <w:tr>
        <w:trPr>
          <w:trHeight w:val="242"/>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516</w:t>
            </w:r>
          </w:p>
        </w:tc>
      </w:tr>
      <w:tr>
        <w:trPr>
          <w:trHeight w:val="242"/>
        </w:trPr>
        <w:tc>
          <w:tcPr>
            <w:tcW w:w="50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516</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8"/>
        </w:trPr>
        <w:tc>
          <w:tcPr>
            <w:tcW w:w="8760" w:type="dxa"/>
            <w:vAlign w:val="bottom"/>
            <w:gridSpan w:val="10"/>
          </w:tcPr>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2018, were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Directly or Indirectly</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Observable Inputs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0"/>
              <w:spacing w:after="0"/>
              <w:rPr>
                <w:sz w:val="20"/>
                <w:szCs w:val="20"/>
                <w:color w:val="auto"/>
              </w:rPr>
            </w:pPr>
            <w:r>
              <w:rPr>
                <w:rFonts w:ascii="Arial" w:cs="Arial" w:eastAsia="Arial" w:hAnsi="Arial"/>
                <w:sz w:val="14"/>
                <w:szCs w:val="14"/>
                <w:b w:val="1"/>
                <w:bCs w:val="1"/>
                <w:color w:val="auto"/>
              </w:rPr>
              <w:t>Unobservable</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1"/>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9"/>
        </w:trPr>
        <w:tc>
          <w:tcPr>
            <w:tcW w:w="5040" w:type="dxa"/>
            <w:vAlign w:val="bottom"/>
          </w:tcPr>
          <w:p>
            <w:pPr>
              <w:ind w:left="260"/>
              <w:spacing w:after="0"/>
              <w:rPr>
                <w:sz w:val="20"/>
                <w:szCs w:val="20"/>
                <w:color w:val="auto"/>
              </w:rPr>
            </w:pPr>
            <w:r>
              <w:rPr>
                <w:rFonts w:ascii="Arial" w:cs="Arial" w:eastAsia="Arial" w:hAnsi="Arial"/>
                <w:sz w:val="16"/>
                <w:szCs w:val="16"/>
                <w:color w:val="auto"/>
              </w:rPr>
              <w:t>Subtotal - current investments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7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w:t>
            </w: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w:t>
            </w:r>
          </w:p>
        </w:tc>
      </w:tr>
      <w:tr>
        <w:trPr>
          <w:trHeight w:val="237"/>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14</w:t>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Term Loan is classified as a Level 3 financial instrument, because certain inputs used to determine its fair value are not observable. As of March 31, 2019, the carrying amount of the Term Loan approximates fair value because its interest rate is a variable rate that approximates rates currently available to us.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760"/>
              <w:spacing w:after="0"/>
              <w:rPr>
                <w:sz w:val="20"/>
                <w:szCs w:val="20"/>
                <w:color w:val="auto"/>
              </w:rPr>
            </w:pPr>
            <w:r>
              <w:rPr>
                <w:rFonts w:ascii="Arial" w:cs="Arial" w:eastAsia="Arial" w:hAnsi="Arial"/>
                <w:sz w:val="14"/>
                <w:szCs w:val="14"/>
                <w:b w:val="1"/>
                <w:bCs w:val="1"/>
                <w:color w:val="auto"/>
              </w:rPr>
              <w:t>March 31, 2019</w:t>
            </w:r>
          </w:p>
        </w:tc>
        <w:tc>
          <w:tcPr>
            <w:tcW w:w="400" w:type="dxa"/>
            <w:vAlign w:val="bottom"/>
          </w:tcPr>
          <w:p>
            <w:pPr>
              <w:spacing w:after="0"/>
              <w:rPr>
                <w:sz w:val="17"/>
                <w:szCs w:val="17"/>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62"/>
        </w:trPr>
        <w:tc>
          <w:tcPr>
            <w:tcW w:w="600" w:type="dxa"/>
            <w:vAlign w:val="bottom"/>
          </w:tcPr>
          <w:p>
            <w:pPr>
              <w:ind w:left="40"/>
              <w:spacing w:after="0"/>
              <w:rPr>
                <w:sz w:val="20"/>
                <w:szCs w:val="20"/>
                <w:color w:val="auto"/>
              </w:rPr>
            </w:pPr>
            <w:r>
              <w:rPr>
                <w:rFonts w:ascii="Arial" w:cs="Arial" w:eastAsia="Arial" w:hAnsi="Arial"/>
                <w:sz w:val="16"/>
                <w:szCs w:val="16"/>
                <w:color w:val="auto"/>
                <w:w w:val="99"/>
              </w:rPr>
              <w:t>4.875%</w:t>
            </w:r>
          </w:p>
        </w:tc>
        <w:tc>
          <w:tcPr>
            <w:tcW w:w="4560" w:type="dxa"/>
            <w:vAlign w:val="bottom"/>
          </w:tcPr>
          <w:p>
            <w:pPr>
              <w:ind w:left="20"/>
              <w:spacing w:after="0"/>
              <w:rPr>
                <w:sz w:val="20"/>
                <w:szCs w:val="20"/>
                <w:color w:val="auto"/>
              </w:rPr>
            </w:pPr>
            <w:r>
              <w:rPr>
                <w:rFonts w:ascii="Arial" w:cs="Arial" w:eastAsia="Arial" w:hAnsi="Arial"/>
                <w:sz w:val="16"/>
                <w:szCs w:val="16"/>
                <w:color w:val="auto"/>
              </w:rPr>
              <w:t>Notes</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78"/>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1.125%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Term Loan</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40" w:hanging="332"/>
        <w:spacing w:after="0" w:line="25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 1.125% Conversion Option (the embedded cash conversion option), which is reflected in the fair value amounts presented above, amounted to $516 million and $476 million as of March 31, 2019, and December 31, 2018, respectively. See further discussion at Note 7, “Debt,” and Note 8, “Derivatives.”</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more information on debt repayments in the first quarter of 2019, refer to Note 7, “Debt.”</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1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investments as of the dates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March 31, 2019</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8"/>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3"/>
          </w:tcPr>
          <w:p>
            <w:pPr>
              <w:jc w:val="right"/>
              <w:ind w:right="84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947</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168</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112</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23</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1,508</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15</w:t>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8"/>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4"/>
          </w:tcPr>
          <w:p>
            <w:pPr>
              <w:ind w:left="1000"/>
              <w:spacing w:after="0"/>
              <w:rPr>
                <w:sz w:val="20"/>
                <w:szCs w:val="20"/>
                <w:color w:val="auto"/>
              </w:rPr>
            </w:pPr>
            <w:r>
              <w:rPr>
                <w:rFonts w:ascii="Arial" w:cs="Arial" w:eastAsia="Arial" w:hAnsi="Arial"/>
                <w:sz w:val="14"/>
                <w:szCs w:val="14"/>
                <w:b w:val="1"/>
                <w:bCs w:val="1"/>
                <w:color w:val="auto"/>
              </w:rPr>
              <w:t>Gross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center"/>
              <w:ind w:right="28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4"/>
          </w:tcPr>
          <w:p>
            <w:pPr>
              <w:ind w:left="78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1,123</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181</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163</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114</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30"/>
        </w:trPr>
        <w:tc>
          <w:tcPr>
            <w:tcW w:w="5160" w:type="dxa"/>
            <w:vAlign w:val="bottom"/>
          </w:tcPr>
          <w:p>
            <w:pPr>
              <w:ind w:left="280"/>
              <w:spacing w:after="0"/>
              <w:rPr>
                <w:sz w:val="20"/>
                <w:szCs w:val="20"/>
                <w:color w:val="auto"/>
              </w:rPr>
            </w:pPr>
            <w:r>
              <w:rPr>
                <w:rFonts w:ascii="Arial" w:cs="Arial" w:eastAsia="Arial" w:hAnsi="Arial"/>
                <w:sz w:val="16"/>
                <w:szCs w:val="16"/>
                <w:color w:val="auto"/>
              </w:rPr>
              <w:t>Total current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0"/>
                <w:szCs w:val="20"/>
                <w:color w:val="auto"/>
              </w:rPr>
            </w:pP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1,681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5"/>
        </w:trPr>
        <w:tc>
          <w:tcPr>
            <w:tcW w:w="8780" w:type="dxa"/>
            <w:vAlign w:val="bottom"/>
            <w:gridSpan w:val="9"/>
          </w:tcPr>
          <w:p>
            <w:pPr>
              <w:spacing w:after="0"/>
              <w:rPr>
                <w:sz w:val="20"/>
                <w:szCs w:val="20"/>
                <w:color w:val="auto"/>
              </w:rPr>
            </w:pPr>
            <w:r>
              <w:rPr>
                <w:rFonts w:ascii="Arial" w:cs="Arial" w:eastAsia="Arial" w:hAnsi="Arial"/>
                <w:sz w:val="18"/>
                <w:szCs w:val="18"/>
                <w:color w:val="auto"/>
              </w:rPr>
              <w:t>The contractual maturities of our available-for-sale investments as of March 31, 2019 are summarized below:</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203"/>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926</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547</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ten years</w:t>
            </w: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w:t>
            </w: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1,508</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right="560"/>
        <w:spacing w:after="0" w:line="271"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for the three months ended March 31, 2019 and 2018, were insignificant.</w:t>
      </w:r>
    </w:p>
    <w:p>
      <w:pPr>
        <w:spacing w:after="0" w:line="5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determined that unrealized losses at March 31, 2019, and December 31, 2018,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6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March 31,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6"/>
          </w:tcPr>
          <w:p>
            <w:pPr>
              <w:jc w:val="center"/>
              <w:ind w:left="41"/>
              <w:spacing w:after="0"/>
              <w:rPr>
                <w:sz w:val="20"/>
                <w:szCs w:val="20"/>
                <w:color w:val="auto"/>
              </w:rPr>
            </w:pPr>
            <w:r>
              <w:rPr>
                <w:rFonts w:ascii="Arial" w:cs="Arial" w:eastAsia="Arial" w:hAnsi="Arial"/>
                <w:sz w:val="14"/>
                <w:szCs w:val="14"/>
                <w:b w:val="1"/>
                <w:bCs w:val="1"/>
                <w:color w:val="auto"/>
              </w:rPr>
              <w:t>In a Continuous Loss Position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jc w:val="center"/>
              <w:ind w:left="863"/>
              <w:spacing w:after="0"/>
              <w:rPr>
                <w:sz w:val="20"/>
                <w:szCs w:val="20"/>
                <w:color w:val="auto"/>
              </w:rPr>
            </w:pPr>
            <w:r>
              <w:rPr>
                <w:rFonts w:ascii="Arial" w:cs="Arial" w:eastAsia="Arial" w:hAnsi="Arial"/>
                <w:sz w:val="14"/>
                <w:szCs w:val="14"/>
                <w:b w:val="1"/>
                <w:bCs w:val="1"/>
                <w:color w:val="auto"/>
              </w:rPr>
              <w:t>In a Continuous Loss Position</w:t>
            </w:r>
          </w:p>
        </w:tc>
        <w:tc>
          <w:tcPr>
            <w:tcW w:w="1180" w:type="dxa"/>
            <w:vAlign w:val="bottom"/>
          </w:tcPr>
          <w:p>
            <w:pPr>
              <w:spacing w:after="0"/>
              <w:rPr>
                <w:sz w:val="14"/>
                <w:szCs w:val="14"/>
                <w:color w:val="auto"/>
              </w:rPr>
            </w:pPr>
          </w:p>
        </w:tc>
      </w:tr>
      <w:tr>
        <w:trPr>
          <w:trHeight w:val="203"/>
        </w:trPr>
        <w:tc>
          <w:tcPr>
            <w:tcW w:w="19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for 12 Months or More</w:t>
            </w:r>
          </w:p>
        </w:tc>
        <w:tc>
          <w:tcPr>
            <w:tcW w:w="1180" w:type="dxa"/>
            <w:vAlign w:val="bottom"/>
            <w:tcBorders>
              <w:bottom w:val="single" w:sz="8" w:color="auto"/>
            </w:tcBorders>
          </w:tcPr>
          <w:p>
            <w:pPr>
              <w:spacing w:after="0"/>
              <w:rPr>
                <w:sz w:val="17"/>
                <w:szCs w:val="17"/>
                <w:color w:val="auto"/>
              </w:rPr>
            </w:pPr>
          </w:p>
        </w:tc>
      </w:tr>
      <w:tr>
        <w:trPr>
          <w:trHeight w:val="168"/>
        </w:trPr>
        <w:tc>
          <w:tcPr>
            <w:tcW w:w="1960" w:type="dxa"/>
            <w:vAlign w:val="bottom"/>
          </w:tcPr>
          <w:p>
            <w:pPr>
              <w:spacing w:after="0"/>
              <w:rPr>
                <w:sz w:val="14"/>
                <w:szCs w:val="14"/>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rPr>
              <w:t>Estimated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2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960" w:type="dxa"/>
            <w:vAlign w:val="bottom"/>
          </w:tcPr>
          <w:p>
            <w:pPr>
              <w:spacing w:after="0"/>
              <w:rPr>
                <w:sz w:val="14"/>
                <w:szCs w:val="14"/>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220" w:type="dxa"/>
            <w:vAlign w:val="bottom"/>
          </w:tcPr>
          <w:p>
            <w:pPr>
              <w:jc w:val="center"/>
              <w:ind w:right="20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Pr>
          <w:p>
            <w:pPr>
              <w:jc w:val="center"/>
              <w:ind w:right="223"/>
              <w:spacing w:after="0"/>
              <w:rPr>
                <w:sz w:val="20"/>
                <w:szCs w:val="20"/>
                <w:color w:val="auto"/>
              </w:rPr>
            </w:pPr>
            <w:r>
              <w:rPr>
                <w:rFonts w:ascii="Arial" w:cs="Arial" w:eastAsia="Arial" w:hAnsi="Arial"/>
                <w:sz w:val="14"/>
                <w:szCs w:val="14"/>
                <w:b w:val="1"/>
                <w:bCs w:val="1"/>
                <w:color w:val="auto"/>
              </w:rPr>
              <w:t>Number of</w:t>
            </w:r>
          </w:p>
        </w:tc>
      </w:tr>
      <w:tr>
        <w:trPr>
          <w:trHeight w:val="203"/>
        </w:trPr>
        <w:tc>
          <w:tcPr>
            <w:tcW w:w="1960" w:type="dxa"/>
            <w:vAlign w:val="bottom"/>
          </w:tcPr>
          <w:p>
            <w:pPr>
              <w:spacing w:after="0"/>
              <w:rPr>
                <w:sz w:val="17"/>
                <w:szCs w:val="17"/>
                <w:color w:val="auto"/>
              </w:rPr>
            </w:pPr>
          </w:p>
        </w:tc>
        <w:tc>
          <w:tcPr>
            <w:tcW w:w="11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rPr>
              <w:t>Losses</w:t>
            </w: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Positions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80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1"/>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debt securities  $</w:t>
            </w: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7"/>
              </w:rPr>
              <w:t>207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280</w:t>
            </w:r>
          </w:p>
        </w:tc>
      </w:tr>
      <w:tr>
        <w:trPr>
          <w:trHeight w:val="262"/>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GSEs</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71</w:t>
            </w:r>
          </w:p>
        </w:tc>
      </w:tr>
      <w:tr>
        <w:trPr>
          <w:trHeight w:val="271"/>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1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91</w:t>
            </w:r>
          </w:p>
        </w:tc>
      </w:tr>
      <w:tr>
        <w:trPr>
          <w:trHeight w:val="237"/>
        </w:trPr>
        <w:tc>
          <w:tcPr>
            <w:tcW w:w="3060" w:type="dxa"/>
            <w:vAlign w:val="bottom"/>
            <w:gridSpan w:val="2"/>
          </w:tcPr>
          <w:p>
            <w:pPr>
              <w:jc w:val="right"/>
              <w:ind w:right="90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w w:val="97"/>
              </w:rPr>
              <w:t>207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612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442</w:t>
            </w:r>
          </w:p>
        </w:tc>
      </w:tr>
      <w:tr>
        <w:trPr>
          <w:trHeight w:val="20"/>
        </w:trPr>
        <w:tc>
          <w:tcPr>
            <w:tcW w:w="1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16</w:t>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6"/>
          </w:tcPr>
          <w:p>
            <w:pPr>
              <w:jc w:val="center"/>
              <w:ind w:left="40"/>
              <w:spacing w:after="0"/>
              <w:rPr>
                <w:sz w:val="20"/>
                <w:szCs w:val="20"/>
                <w:color w:val="auto"/>
              </w:rPr>
            </w:pPr>
            <w:r>
              <w:rPr>
                <w:rFonts w:ascii="Arial" w:cs="Arial" w:eastAsia="Arial" w:hAnsi="Arial"/>
                <w:sz w:val="14"/>
                <w:szCs w:val="14"/>
                <w:b w:val="1"/>
                <w:bCs w:val="1"/>
                <w:color w:val="auto"/>
              </w:rPr>
              <w:t>In a Continuous Loss Position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6"/>
          </w:tcPr>
          <w:p>
            <w:pPr>
              <w:jc w:val="center"/>
              <w:ind w:left="863"/>
              <w:spacing w:after="0"/>
              <w:rPr>
                <w:sz w:val="20"/>
                <w:szCs w:val="20"/>
                <w:color w:val="auto"/>
              </w:rPr>
            </w:pPr>
            <w:r>
              <w:rPr>
                <w:rFonts w:ascii="Arial" w:cs="Arial" w:eastAsia="Arial" w:hAnsi="Arial"/>
                <w:sz w:val="14"/>
                <w:szCs w:val="14"/>
                <w:b w:val="1"/>
                <w:bCs w:val="1"/>
                <w:color w:val="auto"/>
              </w:rPr>
              <w:t>In a Continuous Loss Position</w:t>
            </w:r>
          </w:p>
        </w:tc>
        <w:tc>
          <w:tcPr>
            <w:tcW w:w="1180" w:type="dxa"/>
            <w:vAlign w:val="bottom"/>
          </w:tcPr>
          <w:p>
            <w:pPr>
              <w:spacing w:after="0"/>
              <w:rPr>
                <w:sz w:val="14"/>
                <w:szCs w:val="14"/>
                <w:color w:val="auto"/>
              </w:rPr>
            </w:pPr>
          </w:p>
        </w:tc>
      </w:tr>
      <w:tr>
        <w:trPr>
          <w:trHeight w:val="203"/>
        </w:trPr>
        <w:tc>
          <w:tcPr>
            <w:tcW w:w="19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for 12 Months or More</w:t>
            </w:r>
          </w:p>
        </w:tc>
        <w:tc>
          <w:tcPr>
            <w:tcW w:w="1180" w:type="dxa"/>
            <w:vAlign w:val="bottom"/>
            <w:tcBorders>
              <w:bottom w:val="single" w:sz="8" w:color="auto"/>
            </w:tcBorders>
          </w:tcPr>
          <w:p>
            <w:pPr>
              <w:spacing w:after="0"/>
              <w:rPr>
                <w:sz w:val="17"/>
                <w:szCs w:val="17"/>
                <w:color w:val="auto"/>
              </w:rPr>
            </w:pPr>
          </w:p>
        </w:tc>
      </w:tr>
      <w:tr>
        <w:trPr>
          <w:trHeight w:val="168"/>
        </w:trPr>
        <w:tc>
          <w:tcPr>
            <w:tcW w:w="1960" w:type="dxa"/>
            <w:vAlign w:val="bottom"/>
          </w:tcPr>
          <w:p>
            <w:pPr>
              <w:spacing w:after="0"/>
              <w:rPr>
                <w:sz w:val="14"/>
                <w:szCs w:val="14"/>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rPr>
              <w:t>Estimated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960" w:type="dxa"/>
            <w:vAlign w:val="bottom"/>
          </w:tcPr>
          <w:p>
            <w:pPr>
              <w:spacing w:after="0"/>
              <w:rPr>
                <w:sz w:val="14"/>
                <w:szCs w:val="14"/>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220" w:type="dxa"/>
            <w:vAlign w:val="bottom"/>
          </w:tcPr>
          <w:p>
            <w:pPr>
              <w:jc w:val="center"/>
              <w:ind w:right="20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rPr>
              <w:t>Number of</w:t>
            </w:r>
          </w:p>
        </w:tc>
      </w:tr>
      <w:tr>
        <w:trPr>
          <w:trHeight w:val="203"/>
        </w:trPr>
        <w:tc>
          <w:tcPr>
            <w:tcW w:w="1960" w:type="dxa"/>
            <w:vAlign w:val="bottom"/>
          </w:tcPr>
          <w:p>
            <w:pPr>
              <w:spacing w:after="0"/>
              <w:rPr>
                <w:sz w:val="17"/>
                <w:szCs w:val="17"/>
                <w:color w:val="auto"/>
              </w:rPr>
            </w:pPr>
          </w:p>
        </w:tc>
        <w:tc>
          <w:tcPr>
            <w:tcW w:w="11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rPr>
              <w:t>Losses</w:t>
            </w: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Positions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80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1"/>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debt securities  $</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509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298</w:t>
            </w:r>
          </w:p>
        </w:tc>
      </w:tr>
      <w:tr>
        <w:trPr>
          <w:trHeight w:val="262"/>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GSEs</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76</w:t>
            </w:r>
          </w:p>
        </w:tc>
      </w:tr>
      <w:tr>
        <w:trPr>
          <w:trHeight w:val="278"/>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52</w:t>
            </w:r>
          </w:p>
        </w:tc>
      </w:tr>
      <w:tr>
        <w:trPr>
          <w:trHeight w:val="237"/>
        </w:trPr>
        <w:tc>
          <w:tcPr>
            <w:tcW w:w="3060" w:type="dxa"/>
            <w:vAlign w:val="bottom"/>
            <w:gridSpan w:val="2"/>
            <w:shd w:val="clear" w:color="auto" w:fill="CCEEFF"/>
          </w:tcPr>
          <w:p>
            <w:pPr>
              <w:ind w:left="19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509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694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516</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6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Our held-to-maturity restricted investments are carried at amortized cost, which approximates fair value. Such investments amounted to $100 million at March 31, 2019, and mature in one year or less.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Fee-for-service claims incurred but not paid (“IBNP”)</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1,562</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Pharmacy payable</w:t>
            </w:r>
          </w:p>
        </w:tc>
        <w:tc>
          <w:tcPr>
            <w:tcW w:w="26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115</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 payable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232</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1,961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$278 million and $107 million as of March 31, 2019 and December 31, 2018, respectively.</w:t>
      </w:r>
    </w:p>
    <w:p>
      <w:pPr>
        <w:spacing w:after="0" w:line="5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 period were more than the actual amount of the liability based on information (principally the payment of claims) developed since that liability was first reported.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17</w:t>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27305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27305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 xml:space="preserve">Prior periods </w:t>
            </w:r>
            <w:r>
              <w:rPr>
                <w:rFonts w:ascii="Arial" w:cs="Arial" w:eastAsia="Arial" w:hAnsi="Arial"/>
                <w:sz w:val="21"/>
                <w:szCs w:val="21"/>
                <w:color w:val="auto"/>
                <w:vertAlign w:val="superscript"/>
              </w:rPr>
              <w:t>(1)</w:t>
            </w:r>
          </w:p>
        </w:tc>
        <w:tc>
          <w:tcPr>
            <w:tcW w:w="5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44"/>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3,722</w:t>
            </w:r>
          </w:p>
        </w:tc>
        <w:tc>
          <w:tcPr>
            <w:tcW w:w="0" w:type="dxa"/>
            <w:vAlign w:val="bottom"/>
          </w:tcPr>
          <w:p>
            <w:pPr>
              <w:spacing w:after="0"/>
              <w:rPr>
                <w:sz w:val="1"/>
                <w:szCs w:val="1"/>
                <w:color w:val="auto"/>
              </w:rPr>
            </w:pPr>
          </w:p>
        </w:tc>
      </w:tr>
      <w:tr>
        <w:trPr>
          <w:trHeight w:val="122"/>
        </w:trPr>
        <w:tc>
          <w:tcPr>
            <w:tcW w:w="8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22"/>
        </w:trPr>
        <w:tc>
          <w:tcPr>
            <w:tcW w:w="8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34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5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5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3,936</w:t>
            </w: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  March 31, 2018, includes the 2018 benefit of the 2017 Marketplace CSR reimbursement of $70 million.</w:t>
      </w:r>
    </w:p>
    <w:p>
      <w:pPr>
        <w:spacing w:after="0" w:line="108"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Our estimates of medical claims and benefits payable recorded at December 31, 2018, and 2017 developed favorably by approximately $189 million and $311 million as of March 31, 2019, and 2018, respectively.</w:t>
      </w:r>
    </w:p>
    <w:p>
      <w:pPr>
        <w:spacing w:after="0" w:line="37"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The favorable prior year development recognized in the first quarter of 2019, was primarily due to lower than expected utilization of medical services by our Medicaid and Marketplace members and improved operating performance. Consequently, the ultimate costs recognized in 2019, as claims payment were processed, was lower than our original estimates in 2018.</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828282"/>
        </w:rPr>
        <w:t>7. Debt</w:t>
      </w:r>
    </w:p>
    <w:p>
      <w:pPr>
        <w:spacing w:after="0" w:line="12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As of March 31, 2019, contractual maturities of debt were as follows. All amounts represent the principal amounts of the debt instruments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Thereafter</w:t>
            </w:r>
          </w:p>
        </w:tc>
      </w:tr>
      <w:tr>
        <w:trPr>
          <w:trHeight w:val="385"/>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1"/>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5.375%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2"/>
        </w:trPr>
        <w:tc>
          <w:tcPr>
            <w:tcW w:w="1960" w:type="dxa"/>
            <w:vAlign w:val="bottom"/>
          </w:tcPr>
          <w:p>
            <w:pPr>
              <w:ind w:left="40"/>
              <w:spacing w:after="0"/>
              <w:rPr>
                <w:sz w:val="20"/>
                <w:szCs w:val="20"/>
                <w:color w:val="auto"/>
              </w:rPr>
            </w:pPr>
            <w:r>
              <w:rPr>
                <w:rFonts w:ascii="Arial" w:cs="Arial" w:eastAsia="Arial" w:hAnsi="Arial"/>
                <w:sz w:val="16"/>
                <w:szCs w:val="16"/>
                <w:color w:val="auto"/>
              </w:rPr>
              <w:t>4.875% Notes</w:t>
            </w:r>
          </w:p>
        </w:tc>
        <w:tc>
          <w:tcPr>
            <w:tcW w:w="28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330</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Convertible Notes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Term Loan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0"/>
        </w:trPr>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2019 Form 10-Q | 18</w:t>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All of our debt is held at the parent, which is reported, for segment purposes, in the Other segment. The following table summarizes our outstanding debt obligations and their classification in the accompanying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center"/>
              <w:ind w:right="14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portion of long-term debt: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1.125% Convertible Notes, net of unamortized discount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financing obligations</w:t>
            </w:r>
          </w:p>
        </w:tc>
        <w:tc>
          <w:tcPr>
            <w:tcW w:w="2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Debt issuance costs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Non-current portion of long-term debt: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3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5.375%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4.875% Notes</w:t>
            </w:r>
          </w:p>
        </w:tc>
        <w:tc>
          <w:tcPr>
            <w:tcW w:w="26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Debt issuance costs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w w:val="99"/>
              </w:rPr>
              <w:t>Interest cost recognized relating to our convertible senior notes for the periods presented was as follows: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14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center"/>
              <w:ind w:right="14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party to a Credit Agreement, which provides for an unsecured delayed draw term loan facility described below (the “Term Loan”), and an unsecured $500 million revolving credit facility (the “Credit Facility”). Borrowings under our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As of March 31, 2019, we were in compliance with all financial and non-financial covenants under the Credit Agreement and other long-term debt. Effective as of the date of the Sixth Amendment to the Credit Agreement described below, there are no guarantors as parties to the Credit Agreement.</w:t>
      </w:r>
    </w:p>
    <w:p>
      <w:pPr>
        <w:spacing w:after="0" w:line="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January 2019, we entered into a Sixth Amendment to the Credit Agreement that provided for a delayed draw term loan facility in an aggregate principal amount of $600 million, under which we may request up to ten advances, each in a minimum principal amount of $50 million, until July 31, 2020. The Term Loan will amortize in quarterly installments, commencing on September 30, 2020, equal to the principal amount of the Term Loan outstanding multiplied by rates ranging from 1.25% to 2.50% (depending on the applicable fiscal quarter) for each fiscal quarter. The Term Loan expires on January 31, 2024; therefore, any remaining outstanding balance under the Term Loan will be due and payable on that date. As of March 31, 2019, $100 million was outstanding under the Term Loan. Each advance under the Term Loan results in a permanent reduction to its borrowing capacity; therefore, our borrowing capacity under the Term Loan as of March 31, 2019, was $500 million.</w:t>
      </w:r>
    </w:p>
    <w:p>
      <w:pPr>
        <w:spacing w:after="0" w:line="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Credit Facility expires on January 31, 2022; therefore, any amounts outstanding under the Credit Facility will be due and payable on that date. As of March 31, 2019, no amounts were outstanding under the Credit Facility, and outstanding letters of credit amounting to $2 million reduced our borrowing capacity under the Credit Facility to $498 million.</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19</w:t>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had $700 million aggregate principal amount of senior notes (the “5.375% Notes”) outstanding as of March 31, 2019, which are due November 15, 2022, unless earlier redeemed. Interest on the 5.375% Notes at a rate of 5.375% per annum is payable semiannually in arrears on May 15 and November 15. The 5.375% Notes contain customary non-financial covenants and change in control provisions.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had $ 330 million aggregate principal amount of senior notes (the “4.875% Notes”) outstanding as of March 31, 2019, which are due June 15, 2025, unless earlier redeemed. Interest on the 4.875% Notes at a rate of 4.875% per annum is payable semiannually in arrears on June 15 and December 15. The 4.875% Notes contain customary non-financial covenants and change of control provisions.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225" w:lineRule="exact"/>
        <w:rPr>
          <w:sz w:val="20"/>
          <w:szCs w:val="20"/>
          <w:color w:val="auto"/>
        </w:rPr>
      </w:pPr>
    </w:p>
    <w:p>
      <w:pPr>
        <w:jc w:val="both"/>
        <w:ind w:right="400"/>
        <w:spacing w:after="0" w:line="260" w:lineRule="auto"/>
        <w:rPr>
          <w:sz w:val="20"/>
          <w:szCs w:val="20"/>
          <w:color w:val="auto"/>
        </w:rPr>
      </w:pPr>
      <w:r>
        <w:rPr>
          <w:rFonts w:ascii="Arial" w:cs="Arial" w:eastAsia="Arial" w:hAnsi="Arial"/>
          <w:sz w:val="18"/>
          <w:szCs w:val="18"/>
          <w:color w:val="auto"/>
        </w:rPr>
        <w:t>In the first quarter of 2019, we entered into a privately negotiated note purchase agreement with certain holders of our outstanding 1.125% cash convertible senior notes due January 15, 2020 (the “1.125% Convertible Notes”), pursuant to which we repaid $46 million aggregate principal amount, or $44 million aggregate carrying amount, of the 1.125% Convertible Notes. In addition, we paid $115 million to settle the 1.125% Convertible Notes’ embedded cash conversion option feature at fair value (which is a derivative liability we refer to as the “1.125% Conversion Option”).</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three months ended March 31, 2019, we recorded a gain on debt extinguishment of $ 3 million for the 1.125% Convertible Notes purchase (net of accelerated original issuance discount amortization), primarily relating to a favorable mark to market valuation on the partial termination of the Call Spread Overlay executed in connection with the related debt extinguishment. This gain is reported in “Other (income) expenses, net” in the accompanying consolidated statements of income. No common shares were issued in connection with the transaction.</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connection with the 1.125% Convertible Notes purchases, we also entered into privately negotiated agreements in the first quarter of 2019, to partially terminate the Call Spread Overlay, defined and further discussed in Note 8, “Derivatives,” and Note 9, “Stockholders' Equity.” The net cash proceeds from the Call Spread Overlay partial termination transactions partially offset the cash paid to settle the 1.125% Convertible Notes.</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Following the transaction described above, we had $206 million aggregate principal amount of the 1.125% Convertible Notes outstanding at March 31, 2019. Interest at a rate of 1.125% per annum is payable semiannually in arrears on January 15 and July 15. The 1.125% Convertible Notes are convertible only into cash, and not into shares of our common stock or any other securities. The initial conversion rate is 24.5277 shares of our common stock per $1,000 principal amount, or approximately $40.77 per share of our common stock. Upon conversion, in lieu of receiving shares of our common stock, a holder will receive an amount in cash, per $ 1,000 principal amount, equal to the settlement amount, determined in the manner set forth in the indenture. We may not redeem the 1.125% Convertible Notes prior to the maturity date. The 1.125% Convertible Notes are convertible by the holders within one year of the current balance sheet date until they mature; therefore, they are reported in current portion of long-term debt.</w:t>
      </w:r>
    </w:p>
    <w:p>
      <w:pPr>
        <w:spacing w:after="0" w:line="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Concurrent with the issuance of the 1.125% Convertible Notes in 2013, the 1.125% Conversion Option was separated from the 1.125% Convertible Notes and accounted for separately as a derivative liability, with changes in fair value reported in our consolidated statements of income until the 1.125% Conversion Option fully settles or expires. This initial liability simultaneously reduced the carrying value of the 1.125% Convertible Notes’ principal amount (effectively an original issuance discount), which is amortized to the principal amount through the recognition of non-cash interest expense over the expected life of the debt. The effective interest rate of 6% approximates the interest rate we would have incurred had we issued nonconvertible debt with otherwise similar terms. As of March 31, 2019, the 1.125% Convertible Notes had a remaining amortization period of less than one year, and their ‘if-converted’ value exceeded their principal amount by approximately $456 million and $581 million as of March 31, 2019 and December 31, 2018,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indentures governing the 4.875% Notes, the 5.375% Notes and the 1.125% Convertible Notes contain cross-default provisions that are triggered upon default by us or any of our subsidiaries on any indebtedness in excess of the amount specified in the applicable indenture.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20</w:t>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1.125% Convertible Notes</w:t>
      </w:r>
      <w:r>
        <w:rPr>
          <w:rFonts w:ascii="Arial" w:cs="Arial" w:eastAsia="Arial" w:hAnsi="Arial"/>
          <w:sz w:val="18"/>
          <w:szCs w:val="18"/>
          <w:color w:val="auto"/>
        </w:rPr>
        <w:t>. In April 2019, we entered into privately negotiated note purchase agreements with certain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1.125% Convertible Notes. Under these agreements, we repaid $128 million aggregate principal amount, or approximately $123 million aggregate carrying amount, of the 1.125% Convertible Notes. In addition, we paid $332 million to settle the 1.125% Convertible Notes’ embedded cash conversion option feature at fair value.</w:t>
      </w:r>
    </w:p>
    <w:p>
      <w:pPr>
        <w:spacing w:after="0" w:line="62"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i w:val="1"/>
          <w:iCs w:val="1"/>
          <w:color w:val="auto"/>
        </w:rPr>
        <w:t>Credit Agreement</w:t>
      </w:r>
      <w:r>
        <w:rPr>
          <w:rFonts w:ascii="Arial" w:cs="Arial" w:eastAsia="Arial" w:hAnsi="Arial"/>
          <w:sz w:val="18"/>
          <w:szCs w:val="18"/>
          <w:color w:val="auto"/>
        </w:rPr>
        <w:t>. We drew down an additional $120 million under the Term Loan in April 2019, further reducing borrowing capacity by that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permanently.</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828282"/>
        </w:rPr>
        <w:t>8. Derivatives</w:t>
      </w:r>
    </w:p>
    <w:p>
      <w:pPr>
        <w:spacing w:after="0" w:line="17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accompanying consolidated balance sheets: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4120" w:type="dxa"/>
            <w:vAlign w:val="bottom"/>
          </w:tcPr>
          <w:p>
            <w:pPr>
              <w:spacing w:after="0"/>
              <w:rPr>
                <w:sz w:val="17"/>
                <w:szCs w:val="17"/>
                <w:color w:val="auto"/>
              </w:rPr>
            </w:pPr>
          </w:p>
        </w:tc>
        <w:tc>
          <w:tcPr>
            <w:tcW w:w="4240" w:type="dxa"/>
            <w:vAlign w:val="bottom"/>
            <w:gridSpan w:val="2"/>
          </w:tcPr>
          <w:p>
            <w:pPr>
              <w:ind w:left="1260"/>
              <w:spacing w:after="0"/>
              <w:rPr>
                <w:sz w:val="20"/>
                <w:szCs w:val="20"/>
                <w:color w:val="auto"/>
              </w:rPr>
            </w:pPr>
            <w:r>
              <w:rPr>
                <w:rFonts w:ascii="Arial" w:cs="Arial" w:eastAsia="Arial" w:hAnsi="Arial"/>
                <w:sz w:val="14"/>
                <w:szCs w:val="14"/>
                <w:b w:val="1"/>
                <w:bCs w:val="1"/>
                <w:color w:val="auto"/>
              </w:rPr>
              <w:t>Balance Sheet Location</w:t>
            </w:r>
          </w:p>
        </w:tc>
        <w:tc>
          <w:tcPr>
            <w:tcW w:w="1080" w:type="dxa"/>
            <w:vAlign w:val="bottom"/>
          </w:tcPr>
          <w:p>
            <w:pPr>
              <w:jc w:val="right"/>
              <w:ind w:right="103"/>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64"/>
        </w:trPr>
        <w:tc>
          <w:tcPr>
            <w:tcW w:w="4120" w:type="dxa"/>
            <w:vAlign w:val="bottom"/>
          </w:tcPr>
          <w:p>
            <w:pPr>
              <w:spacing w:after="0"/>
              <w:rPr>
                <w:sz w:val="22"/>
                <w:szCs w:val="22"/>
                <w:color w:val="auto"/>
              </w:rPr>
            </w:pPr>
          </w:p>
        </w:tc>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asset:</w:t>
            </w:r>
          </w:p>
        </w:tc>
        <w:tc>
          <w:tcPr>
            <w:tcW w:w="4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96"/>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1.125% Call Option</w:t>
            </w:r>
          </w:p>
        </w:tc>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Current assets: Derivative asset</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476</w:t>
            </w:r>
          </w:p>
        </w:tc>
      </w:tr>
      <w:tr>
        <w:trPr>
          <w:trHeight w:val="252"/>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liability:</w:t>
            </w:r>
          </w:p>
        </w:tc>
        <w:tc>
          <w:tcPr>
            <w:tcW w:w="4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6"/>
        </w:trPr>
        <w:tc>
          <w:tcPr>
            <w:tcW w:w="4120" w:type="dxa"/>
            <w:vAlign w:val="bottom"/>
          </w:tcPr>
          <w:p>
            <w:pPr>
              <w:ind w:left="380"/>
              <w:spacing w:after="0"/>
              <w:rPr>
                <w:sz w:val="20"/>
                <w:szCs w:val="20"/>
                <w:color w:val="auto"/>
              </w:rPr>
            </w:pPr>
            <w:r>
              <w:rPr>
                <w:rFonts w:ascii="Arial" w:cs="Arial" w:eastAsia="Arial" w:hAnsi="Arial"/>
                <w:sz w:val="16"/>
                <w:szCs w:val="16"/>
                <w:color w:val="auto"/>
              </w:rPr>
              <w:t>1.125% Conversion Option</w:t>
            </w:r>
          </w:p>
        </w:tc>
        <w:tc>
          <w:tcPr>
            <w:tcW w:w="4240" w:type="dxa"/>
            <w:vAlign w:val="bottom"/>
            <w:gridSpan w:val="2"/>
          </w:tcPr>
          <w:p>
            <w:pPr>
              <w:ind w:left="40"/>
              <w:spacing w:after="0"/>
              <w:rPr>
                <w:sz w:val="20"/>
                <w:szCs w:val="20"/>
                <w:color w:val="auto"/>
              </w:rPr>
            </w:pPr>
            <w:r>
              <w:rPr>
                <w:rFonts w:ascii="Arial" w:cs="Arial" w:eastAsia="Arial" w:hAnsi="Arial"/>
                <w:sz w:val="16"/>
                <w:szCs w:val="16"/>
                <w:color w:val="auto"/>
              </w:rPr>
              <w:t>Current liabilities: Derivative liability</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476</w:t>
            </w:r>
          </w:p>
        </w:tc>
      </w:tr>
      <w:tr>
        <w:trPr>
          <w:trHeight w:val="20"/>
        </w:trPr>
        <w:tc>
          <w:tcPr>
            <w:tcW w:w="4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income, and reported in “Other (income) expenses, net.” Gains and losses for our derivative financial instruments are presented individually in the accompanying consolidated statements of cash flows, “Supplemental cash flow information.”</w:t>
      </w:r>
    </w:p>
    <w:p>
      <w:pPr>
        <w:spacing w:after="0" w:line="22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1.125% Convertible Notes Call Spread Overlay. </w:t>
      </w:r>
      <w:r>
        <w:rPr>
          <w:rFonts w:ascii="Arial" w:cs="Arial" w:eastAsia="Arial" w:hAnsi="Arial"/>
          <w:sz w:val="17"/>
          <w:szCs w:val="17"/>
          <w:color w:val="auto"/>
        </w:rPr>
        <w:t>Concurrent with the issuance of the 1.125% Convertible Notes in 2013, we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 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 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21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the first quarter of 2019, in connection with the 1.125% Convertible Notes purchases (described in Note 7, “Debt”), we entered into privately negotiated termination agreements with each of the Counterparties to partially terminate the Call Spread Overlay, in notional amounts corresponding to the aggregate principal amount of the 1.125% Convertible Notes purchased. In the first quarter of 2019, this resulted in our receipt of $ 115 million for the settlement of the 1.125% Call Option (which is a derivative asset), and the payment of $103 million for the partial termination of the 1.125% Warrants, for an aggregate net cash receipt of $12 million from the Counterparties.</w:t>
      </w:r>
    </w:p>
    <w:p>
      <w:pPr>
        <w:spacing w:after="0" w:line="22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 xml:space="preserve">1.125% Call Option. </w:t>
      </w:r>
      <w:r>
        <w:rPr>
          <w:rFonts w:ascii="Arial" w:cs="Arial" w:eastAsia="Arial" w:hAnsi="Arial"/>
          <w:sz w:val="18"/>
          <w:szCs w:val="18"/>
          <w:color w:val="auto"/>
        </w:rPr>
        <w:t>The 1.125% Call Option, which is indexed to our common stock, is a derivative asset that requires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due to cash settlement features until the 1.125% Call Option settles or expires. For further discussion of the inputs used to determine the fair value of the 1.125% Call Option, refer to Note 4, “Fair Value Measurements.”</w:t>
      </w:r>
    </w:p>
    <w:p>
      <w:pPr>
        <w:spacing w:after="0" w:line="21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i w:val="1"/>
          <w:iCs w:val="1"/>
          <w:color w:val="auto"/>
        </w:rPr>
        <w:t xml:space="preserve">1.125% Conversion Option. </w:t>
      </w:r>
      <w:r>
        <w:rPr>
          <w:rFonts w:ascii="Arial" w:cs="Arial" w:eastAsia="Arial" w:hAnsi="Arial"/>
          <w:sz w:val="18"/>
          <w:szCs w:val="18"/>
          <w:color w:val="auto"/>
        </w:rPr>
        <w:t>The embedded cash conversion option within the 1.125% Convertible Notes is accounted for separately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 with changes in fair value reported in our consolidated statements of income until the cash conversion option settles or expires. For further discussion of the inputs used to determine the fair value of the 1.125% Conversion Option, refer to Note 4, “Fair Value Measurements.”</w:t>
      </w:r>
    </w:p>
    <w:p>
      <w:pPr>
        <w:spacing w:after="0" w:line="62"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auto"/>
        </w:rPr>
        <w:t>As of March 31, 2019, the 1.125% Call Option and the 1.125% Conversion Option were classified as a current asset and current liability, respectively, because the 1.125% Convertible Notes may be converted within twelve months of March 31, 2019, as described in Note 7, “Debt.”</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21</w:t>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Call Spread Overlay transaction described in Note 8, “Derivatives,” in 2013, we issued 13.5 million warrants with a strike price of $53.8475 per share. Under certain circumstances, beginning in April 2020, if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w:t>
      </w:r>
    </w:p>
    <w:p>
      <w:pPr>
        <w:spacing w:after="0" w:line="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1.125% Warrants. Refer to Note 3, “Net Income per Share,” for dilution information for the periods presented. We will not receive any additional proceeds if the 1.125% Warrants are exercised. Following the transactions described below, 5.1 million of the 1.125% Warrants remain outstanding.</w:t>
      </w:r>
    </w:p>
    <w:p>
      <w:pPr>
        <w:spacing w:after="0" w:line="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described in Note 8, “Derivatives,” in the first quarter of 2019, we entered into privately negotiated termination agreements with each of the Counterparties to partially terminate the Call Spread Overlay, in notional amounts corresponding to the aggregate principal amount of the</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1.125% Convertible Notes purchased. In the first quarter of 2019, we paid $103 million to the Counterparties for the termination of 1.1 million of the 1.125% Warrants outstanding, which resulted in a reduction of additional paid-in-capital for the same amount.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April 2019, we entered into privately negotiated termination agreements with each of the Counterparties to partially terminate the Call Spread Overlay, in notional amounts corresponding to the aggregate principal amount of the 1.125% Convertible Notes purchased. Pursuant to these transactions, we paid $298 million to the Counterparties for the termination of 3.1 million of the 1.125% Warrants outstanding, which resulted in a reduction of additional paid-in-capital for the same amount.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In connection with our employee stock plans, approximately 84,000 shares of common stock vested or were purchased, net of shares used to settle employees’ income tax obligations, during the three months ended March 31, 2019.</w:t>
      </w:r>
    </w:p>
    <w:p>
      <w:pPr>
        <w:spacing w:after="0" w:line="14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Share-based compensation is generally recorded to “General and administrative expenses” in the accompanying consolidated statements of income. Total share-based compensation expense for the three months ended March 31, 2019 and 2018, amounted to $9 million and $6 million, respectively.</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2019, there was $71 million of total unrecognized compensation expense related to unvested restricted stock awards (“RSAs”), and performance stock units (“PSUs”), which we expect to recognize over a remaining weighted-average period of 2.9 years and 2.3 years, respectively. This unrecognized compensation cost assumes an estimated forfeiture rate of 14.1% for non-executive employees as of March 31, 2019.</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Also as of March 31, 2019, there was $8 million of total unrecognized compensation expense related to unvested stock options, which we expect to recognize over a weighted-average period of 1.5 years. No stock options were granted or exercised in the three months ended March 31, 2019.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performance stock awards (“PSAs”) and PSUs, for the three months ended March 31, 2019, is summarized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Grant Date</w:t>
            </w:r>
          </w:p>
        </w:tc>
      </w:tr>
      <w:tr>
        <w:trPr>
          <w:trHeight w:val="203"/>
        </w:trPr>
        <w:tc>
          <w:tcPr>
            <w:tcW w:w="35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RSAs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PSAs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PSUs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r>
      <w:tr>
        <w:trPr>
          <w:trHeight w:val="251"/>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2018</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399,795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201,383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604,310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71.50</w:t>
            </w:r>
          </w:p>
        </w:tc>
      </w:tr>
      <w:tr>
        <w:trPr>
          <w:trHeight w:val="262"/>
        </w:trPr>
        <w:tc>
          <w:tcPr>
            <w:tcW w:w="35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215,178</w:t>
            </w:r>
          </w:p>
        </w:tc>
        <w:tc>
          <w:tcPr>
            <w:tcW w:w="1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138,994</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354,172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137.37</w:t>
            </w: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(119,994)</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68.24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(14,220)</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74.03</w:t>
            </w:r>
          </w:p>
        </w:tc>
      </w:tr>
      <w:tr>
        <w:trPr>
          <w:trHeight w:val="242"/>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March 31, 2019</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480,759</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325,709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806,468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100.91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22</w:t>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values of RSAs, PSAs and PSUs granted and vested are presented in the following table: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7"/>
                <w:szCs w:val="17"/>
                <w:color w:val="auto"/>
              </w:rPr>
            </w:pPr>
          </w:p>
        </w:tc>
      </w:tr>
      <w:tr>
        <w:trPr>
          <w:trHeight w:val="264"/>
        </w:trPr>
        <w:tc>
          <w:tcPr>
            <w:tcW w:w="8340" w:type="dxa"/>
            <w:vAlign w:val="bottom"/>
          </w:tcPr>
          <w:p>
            <w:pPr>
              <w:spacing w:after="0"/>
              <w:rPr>
                <w:sz w:val="22"/>
                <w:szCs w:val="2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r>
      <w:tr>
        <w:trPr>
          <w:trHeight w:val="250"/>
        </w:trPr>
        <w:tc>
          <w:tcPr>
            <w:tcW w:w="8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RSAs</w:t>
            </w:r>
          </w:p>
        </w:tc>
        <w:tc>
          <w:tcPr>
            <w:tcW w:w="104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10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77"/>
        </w:trPr>
        <w:tc>
          <w:tcPr>
            <w:tcW w:w="83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RSAs</w:t>
            </w:r>
          </w:p>
        </w:tc>
        <w:tc>
          <w:tcPr>
            <w:tcW w:w="104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6"/>
                <w:szCs w:val="16"/>
                <w:color w:val="auto"/>
              </w:rPr>
              <w:t>PSAs</w:t>
            </w:r>
          </w:p>
        </w:tc>
        <w:tc>
          <w:tcPr>
            <w:tcW w:w="104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3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color w:val="828282"/>
        </w:rPr>
        <w:t>10. Restructuring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are reported by the same name in the accompanying consolidated statements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Restructuring Plan</w:t>
      </w:r>
    </w:p>
    <w:p>
      <w:pPr>
        <w:spacing w:after="0" w:line="225"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Management is focused on a margin recovery plan that includes identification and implementation of various profit improvement initiatives. To that end, we began a plan to restructure our information technology department (the “IT Restructuring Plan”) in 2018. In early 2019, we have entered into services agreements with Infosys Limited under which Infosys manages certain of our information technology services.</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expect to complete the IT Restructuring Plan by the end of 2019, incurring cumulative total costs of approximately $ 15 million in the Other segment. This total has decreased compared with the $20 million reported in the 2018 Form 10-K due to more of our IT employees transitioned to Infosys than originally contemplated, resulting in lower one-time termination benefit costs.</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As of March 31, 2019, we had incurred cumulative restructuring costs under the IT Restructuring Plan of $11 million, including $7 million of one-time termination benefits and $4 million of other restructuring costs (consulting fees).</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2018, there was $6 million accrued under the IT Restructuring Plan, primarily for one-time termination benefits that require cash settlement. In the first quarter of 2019, we incurred $2 million of other restructuring costs, and paid $ 2 million to settle one-time termination benefits and $1 million to settle other restructuring costs. As of March 31, 2019, there was $5 million accrued under the IT Restructuring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Restructuring Plan</w:t>
      </w:r>
    </w:p>
    <w:p>
      <w:pPr>
        <w:spacing w:after="0" w:line="22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As of December 31, 2018, we had $18 million of accrued liabilities for the 2017 Restructuring Plan. In the first quarter of 2019, we incurred $1 million of restructuring costs for adjustments to previously recorded lease contract termination costs implemented pursuant to the restructuring and profitability improvement plan approved by our Board in June 2017 (the “2017 Restructuring Plan”), and paid $3 million to settle one-time termination and lease contract termination costs. As of March 31, 2019, there was $16 million accrued for lease contract termination costs under the 2017 Restructuring Plan. We expect to continue to settle these liabilities through 2025, unless the leases are terminated sooner.</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color w:val="828282"/>
        </w:rPr>
        <w:t>11. Segments</w:t>
      </w:r>
    </w:p>
    <w:p>
      <w:pPr>
        <w:spacing w:after="0" w:line="12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currently have two reportable segments: our Health Plans segment and our Other segment. Our reportable segments are consistent with how we currently manage the business and view the markets we serve.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Earnings Measures for Reportable Segments</w:t>
      </w:r>
    </w:p>
    <w:p>
      <w:pPr>
        <w:spacing w:after="0" w:line="22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23</w:t>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Margin for our Health Plans segment is referred to as “Medical margin,” which represents the amount earned by the segments after medical costs are deducted from premium revenue. The medical care ratio represents the amount of medical care costs as a percentage of premium revenue, and is one of the key metrics used to assess the performance of the segments. Therefore, the underlying medical margin is the most important measure of earnings reviewed by the chief operating decision maker.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341"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27305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4,509</w:t>
            </w:r>
          </w:p>
        </w:tc>
      </w:tr>
      <w:tr>
        <w:trPr>
          <w:trHeight w:val="271"/>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137</w:t>
            </w:r>
          </w:p>
        </w:tc>
      </w:tr>
      <w:tr>
        <w:trPr>
          <w:trHeight w:val="242"/>
        </w:trPr>
        <w:tc>
          <w:tcPr>
            <w:tcW w:w="8340" w:type="dxa"/>
            <w:vAlign w:val="bottom"/>
          </w:tcPr>
          <w:p>
            <w:pPr>
              <w:ind w:left="500"/>
              <w:spacing w:after="0"/>
              <w:rPr>
                <w:sz w:val="20"/>
                <w:szCs w:val="20"/>
                <w:color w:val="auto"/>
              </w:rPr>
            </w:pPr>
            <w:r>
              <w:rPr>
                <w:rFonts w:ascii="Arial" w:cs="Arial" w:eastAsia="Arial" w:hAnsi="Arial"/>
                <w:sz w:val="16"/>
                <w:szCs w:val="16"/>
                <w:color w:val="auto"/>
              </w:rPr>
              <w:t>Consolidated</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4,119</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4,646</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6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34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9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2"/>
                <w:szCs w:val="22"/>
                <w:color w:val="auto"/>
              </w:rPr>
            </w:pPr>
          </w:p>
        </w:tc>
        <w:tc>
          <w:tcPr>
            <w:tcW w:w="104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Total margin</w:t>
            </w:r>
          </w:p>
        </w:tc>
        <w:tc>
          <w:tcPr>
            <w:tcW w:w="9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(582)</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 net</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and investment income and other revenue.</w:t>
      </w:r>
    </w:p>
    <w:p>
      <w:pPr>
        <w:spacing w:after="0" w:line="25" w:lineRule="exact"/>
        <w:rPr>
          <w:rFonts w:ascii="Arial" w:cs="Arial" w:eastAsia="Arial" w:hAnsi="Arial"/>
          <w:sz w:val="16"/>
          <w:szCs w:val="16"/>
          <w:color w:val="auto"/>
        </w:rPr>
      </w:pPr>
    </w:p>
    <w:p>
      <w:pPr>
        <w:ind w:left="340" w:right="260" w:hanging="332"/>
        <w:spacing w:after="0" w:line="26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restructuring costs.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828282"/>
        </w:rPr>
        <w:t>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health 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or factual development to enable us to reasonably estimate a range of possible loss. An adverse determination in one or more of these pending matters could have a material adverse effect on our consolidated financial position, results of operations, or cash flows.</w:t>
      </w:r>
    </w:p>
    <w:p>
      <w:pPr>
        <w:spacing w:after="0" w:line="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Steamfitters Local 449 Pension Plan v. Molina Healthcare, Inc., et al. </w:t>
      </w:r>
      <w:r>
        <w:rPr>
          <w:rFonts w:ascii="Arial" w:cs="Arial" w:eastAsia="Arial" w:hAnsi="Arial"/>
          <w:sz w:val="18"/>
          <w:szCs w:val="18"/>
          <w:color w:val="auto"/>
        </w:rPr>
        <w:t>On October 5, 2018, the Steamfitters Local 449 Pension Plan filed its first</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class action securities complaint in the Central District Court of California against the Company and its former executive officers, J. Mario Molina, John C. Molina, Terry P. Bayer, and Rick Hopfer, Case 2:18-cv-03579. The amended complaint purports to seek recovery on behalf of all persons or entities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24</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who purchased Molina common stock between October 31, 2014, and August 2, 2017, for alleged violations under Sections 10(b) and 20(a) of the Securities Exchange Act of 1934, as amended, and Rule 10b-5 promulgated thereunder. The plaintiff alleges the defendants misled investors regarding the scalability of the Company’s administrative infrastructure during the identified class period. On December 13, 2018, the Court granted the Company’s motion to dismiss in its entirety and closed the case. On January 9, 2019, plaintiffs appealed to the United States Court of Appeals for the Ninth Circuit. The Company believes it has meritorious defenses to the alleged claims and intends to defend the matter vigorously. At this time, we are not able to estimate a possible loss or range of loss that may result from this matter or to determine whether such loss, if any, would have a material adverse effect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1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Children’s Health Insurance Program (“CHIP”) programs. The states and Commonwealth in which we operate our health plans regularly face significant budgetary pressures.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828282"/>
        </w:rPr>
        <w:t>13. Leases</w:t>
      </w:r>
    </w:p>
    <w:p>
      <w:pPr>
        <w:spacing w:after="0" w:line="12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 xml:space="preserve">As discussed in Note 2, “Significant Accounting Policies,” we elected the Topic 842 transition provision that allows entities to continue to apply the legacy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its disclosure requirements, in the comparative periods presented in the year of adoption. Accordingly, the Topic 842 disclosures below are presented as of and for the three-month period ended March 31, 2019, only.</w:t>
      </w:r>
    </w:p>
    <w:p>
      <w:pPr>
        <w:spacing w:after="0" w:line="5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are a party to operating and finance leases primarily for our corporate and health plan offices. Our operating leases have remaining lease terms up to 10 years, some of which include options to extend the leases for up to 10 years. Our finance leases have remaining lease terms of 3 to 19 years, some of which include options to extend the leases for up to 25 years.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Ended March 31,</w:t>
            </w:r>
          </w:p>
        </w:tc>
      </w:tr>
      <w:tr>
        <w:trPr>
          <w:trHeight w:val="203"/>
        </w:trPr>
        <w:tc>
          <w:tcPr>
            <w:tcW w:w="9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2019</w:t>
            </w:r>
          </w:p>
        </w:tc>
      </w:tr>
      <w:tr>
        <w:trPr>
          <w:trHeight w:val="250"/>
        </w:trPr>
        <w:tc>
          <w:tcPr>
            <w:tcW w:w="9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06"/>
        </w:trPr>
        <w:tc>
          <w:tcPr>
            <w:tcW w:w="9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lease cost: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5"/>
        </w:trPr>
        <w:tc>
          <w:tcPr>
            <w:tcW w:w="9940" w:type="dxa"/>
            <w:vAlign w:val="bottom"/>
          </w:tcPr>
          <w:p>
            <w:pPr>
              <w:ind w:left="180"/>
              <w:spacing w:after="0"/>
              <w:rPr>
                <w:sz w:val="20"/>
                <w:szCs w:val="20"/>
                <w:color w:val="auto"/>
              </w:rPr>
            </w:pPr>
            <w:r>
              <w:rPr>
                <w:rFonts w:ascii="Arial" w:cs="Arial" w:eastAsia="Arial" w:hAnsi="Arial"/>
                <w:sz w:val="16"/>
                <w:szCs w:val="16"/>
                <w:color w:val="auto"/>
              </w:rPr>
              <w:t>Amortization of ROU assets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w:t>
            </w:r>
          </w:p>
        </w:tc>
      </w:tr>
      <w:tr>
        <w:trPr>
          <w:trHeight w:val="244"/>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r>
      <w:tr>
        <w:trPr>
          <w:trHeight w:val="242"/>
        </w:trPr>
        <w:tc>
          <w:tcPr>
            <w:tcW w:w="9940" w:type="dxa"/>
            <w:vAlign w:val="bottom"/>
          </w:tcPr>
          <w:p>
            <w:pPr>
              <w:ind w:left="500"/>
              <w:spacing w:after="0"/>
              <w:rPr>
                <w:sz w:val="20"/>
                <w:szCs w:val="20"/>
                <w:color w:val="auto"/>
              </w:rPr>
            </w:pPr>
            <w:r>
              <w:rPr>
                <w:rFonts w:ascii="Arial" w:cs="Arial" w:eastAsia="Arial" w:hAnsi="Arial"/>
                <w:sz w:val="16"/>
                <w:szCs w:val="16"/>
                <w:color w:val="auto"/>
              </w:rPr>
              <w:t>Total finance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consolidated cash flow information related to leases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Ended March 31,</w:t>
            </w:r>
          </w:p>
        </w:tc>
      </w:tr>
      <w:tr>
        <w:trPr>
          <w:trHeight w:val="203"/>
        </w:trPr>
        <w:tc>
          <w:tcPr>
            <w:tcW w:w="9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2019</w:t>
            </w:r>
          </w:p>
        </w:tc>
      </w:tr>
      <w:tr>
        <w:trPr>
          <w:trHeight w:val="250"/>
        </w:trPr>
        <w:tc>
          <w:tcPr>
            <w:tcW w:w="9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operating activities: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5"/>
        </w:trPr>
        <w:tc>
          <w:tcPr>
            <w:tcW w:w="994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9</w:t>
            </w:r>
          </w:p>
        </w:tc>
      </w:tr>
      <w:tr>
        <w:trPr>
          <w:trHeight w:val="251"/>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r>
      <w:tr>
        <w:trPr>
          <w:trHeight w:val="262"/>
        </w:trPr>
        <w:tc>
          <w:tcPr>
            <w:tcW w:w="9940" w:type="dxa"/>
            <w:vAlign w:val="bottom"/>
          </w:tcPr>
          <w:p>
            <w:pPr>
              <w:ind w:left="40"/>
              <w:spacing w:after="0"/>
              <w:rPr>
                <w:sz w:val="20"/>
                <w:szCs w:val="20"/>
                <w:color w:val="auto"/>
              </w:rPr>
            </w:pPr>
            <w:r>
              <w:rPr>
                <w:rFonts w:ascii="Arial" w:cs="Arial" w:eastAsia="Arial" w:hAnsi="Arial"/>
                <w:sz w:val="16"/>
                <w:szCs w:val="16"/>
                <w:color w:val="auto"/>
              </w:rPr>
              <w:t>Cash used in financing activities: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1"/>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62"/>
        </w:trPr>
        <w:tc>
          <w:tcPr>
            <w:tcW w:w="9940" w:type="dxa"/>
            <w:vAlign w:val="bottom"/>
          </w:tcPr>
          <w:p>
            <w:pPr>
              <w:ind w:left="40"/>
              <w:spacing w:after="0"/>
              <w:rPr>
                <w:sz w:val="20"/>
                <w:szCs w:val="20"/>
                <w:color w:val="auto"/>
              </w:rPr>
            </w:pPr>
            <w:r>
              <w:rPr>
                <w:rFonts w:ascii="Arial" w:cs="Arial" w:eastAsia="Arial" w:hAnsi="Arial"/>
                <w:sz w:val="16"/>
                <w:szCs w:val="16"/>
                <w:color w:val="auto"/>
              </w:rPr>
              <w:t>ROU assets recognized in exchange for lease obligations: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1"/>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94</w:t>
            </w:r>
          </w:p>
        </w:tc>
      </w:tr>
      <w:tr>
        <w:trPr>
          <w:trHeight w:val="228"/>
        </w:trPr>
        <w:tc>
          <w:tcPr>
            <w:tcW w:w="994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241</w:t>
            </w:r>
          </w:p>
        </w:tc>
      </w:tr>
    </w:tbl>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25</w:t>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including location of amounts reported in the accompanying consolidated balance sheets,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March 31, 2019</w:t>
            </w:r>
          </w:p>
        </w:tc>
      </w:tr>
      <w:tr>
        <w:trPr>
          <w:trHeight w:val="193"/>
        </w:trPr>
        <w:tc>
          <w:tcPr>
            <w:tcW w:w="8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(Dollars in</w:t>
            </w:r>
          </w:p>
        </w:tc>
      </w:tr>
      <w:tr>
        <w:trPr>
          <w:trHeight w:val="229"/>
        </w:trPr>
        <w:tc>
          <w:tcPr>
            <w:tcW w:w="8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b w:val="1"/>
                <w:bCs w:val="1"/>
                <w:color w:val="auto"/>
              </w:rPr>
              <w:t>millions)</w:t>
            </w:r>
          </w:p>
        </w:tc>
      </w:tr>
      <w:tr>
        <w:trPr>
          <w:trHeight w:val="27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Operating leases</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83</w:t>
            </w:r>
          </w:p>
        </w:tc>
      </w:tr>
      <w:tr>
        <w:trPr>
          <w:trHeight w:val="20"/>
        </w:trPr>
        <w:tc>
          <w:tcPr>
            <w:tcW w:w="8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6"/>
        </w:trPr>
        <w:tc>
          <w:tcPr>
            <w:tcW w:w="8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6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r>
      <w:tr>
        <w:trPr>
          <w:trHeight w:val="242"/>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r>
      <w:tr>
        <w:trPr>
          <w:trHeight w:val="20"/>
        </w:trPr>
        <w:tc>
          <w:tcPr>
            <w:tcW w:w="8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03"/>
        </w:trPr>
        <w:tc>
          <w:tcPr>
            <w:tcW w:w="8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Finance leases</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6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237</w:t>
            </w:r>
          </w:p>
        </w:tc>
      </w:tr>
      <w:tr>
        <w:trPr>
          <w:trHeight w:val="252"/>
        </w:trPr>
        <w:tc>
          <w:tcPr>
            <w:tcW w:w="8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5"/>
        </w:trPr>
        <w:tc>
          <w:tcPr>
            <w:tcW w:w="834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w:t>
            </w:r>
          </w:p>
        </w:tc>
      </w:tr>
      <w:tr>
        <w:trPr>
          <w:trHeight w:val="24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lease liabilities</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234</w:t>
            </w:r>
          </w:p>
        </w:tc>
      </w:tr>
      <w:tr>
        <w:trPr>
          <w:trHeight w:val="282"/>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finance lease liabilities</w:t>
            </w:r>
          </w:p>
        </w:tc>
        <w:tc>
          <w:tcPr>
            <w:tcW w:w="6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241</w:t>
            </w:r>
          </w:p>
        </w:tc>
      </w:tr>
      <w:tr>
        <w:trPr>
          <w:trHeight w:val="103"/>
        </w:trPr>
        <w:tc>
          <w:tcPr>
            <w:tcW w:w="83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Weighted average remaining lease term</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7"/>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 years</w:t>
            </w:r>
          </w:p>
        </w:tc>
      </w:tr>
      <w:tr>
        <w:trPr>
          <w:trHeight w:val="235"/>
        </w:trPr>
        <w:tc>
          <w:tcPr>
            <w:tcW w:w="834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17 years</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discount rate</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5"/>
        </w:trPr>
        <w:tc>
          <w:tcPr>
            <w:tcW w:w="834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1"/>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436"/>
        </w:trPr>
        <w:tc>
          <w:tcPr>
            <w:tcW w:w="8340" w:type="dxa"/>
            <w:vAlign w:val="bottom"/>
          </w:tcPr>
          <w:p>
            <w:pPr>
              <w:spacing w:after="0"/>
              <w:rPr>
                <w:sz w:val="20"/>
                <w:szCs w:val="20"/>
                <w:color w:val="auto"/>
              </w:rPr>
            </w:pPr>
            <w:r>
              <w:rPr>
                <w:rFonts w:ascii="Arial" w:cs="Arial" w:eastAsia="Arial" w:hAnsi="Arial"/>
                <w:sz w:val="18"/>
                <w:szCs w:val="18"/>
                <w:color w:val="auto"/>
              </w:rPr>
              <w:t>Maturities of lease liabilities as of March 31, 2019, were as follows: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7"/>
        </w:trPr>
        <w:tc>
          <w:tcPr>
            <w:tcW w:w="8340" w:type="dxa"/>
            <w:vAlign w:val="bottom"/>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Finance Leases</w:t>
            </w:r>
          </w:p>
        </w:tc>
      </w:tr>
      <w:tr>
        <w:trPr>
          <w:trHeight w:val="250"/>
        </w:trPr>
        <w:tc>
          <w:tcPr>
            <w:tcW w:w="8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80" w:type="dxa"/>
            <w:vAlign w:val="bottom"/>
            <w:gridSpan w:val="5"/>
          </w:tcPr>
          <w:p>
            <w:pPr>
              <w:jc w:val="right"/>
              <w:ind w:right="999"/>
              <w:spacing w:after="0"/>
              <w:rPr>
                <w:sz w:val="20"/>
                <w:szCs w:val="20"/>
                <w:color w:val="auto"/>
              </w:rPr>
            </w:pPr>
            <w:r>
              <w:rPr>
                <w:rFonts w:ascii="Arial" w:cs="Arial" w:eastAsia="Arial" w:hAnsi="Arial"/>
                <w:sz w:val="16"/>
                <w:szCs w:val="16"/>
                <w:b w:val="1"/>
                <w:bCs w:val="1"/>
                <w:color w:val="auto"/>
              </w:rPr>
              <w:t>(In millions)</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(excluding the three months ended March 31, 2019)</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2020</w:t>
            </w: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w:t>
            </w: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lease payments</w:t>
            </w: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imputed interest</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37"/>
        </w:trPr>
        <w:tc>
          <w:tcPr>
            <w:tcW w:w="83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26</w:t>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ind w:right="180"/>
        <w:spacing w:after="0" w:line="306"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2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included in this quarterly report, other than statements of historical fact,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or expected. Those known risks and uncertainties include, but are not limited to, the following:</w:t>
      </w:r>
    </w:p>
    <w:p>
      <w:pPr>
        <w:spacing w:after="0" w:line="71" w:lineRule="exact"/>
        <w:rPr>
          <w:sz w:val="20"/>
          <w:szCs w:val="20"/>
          <w:color w:val="auto"/>
        </w:rPr>
      </w:pPr>
    </w:p>
    <w:p>
      <w:pPr>
        <w:ind w:left="340" w:right="580" w:hanging="332"/>
        <w:spacing w:after="0" w:line="262"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 or “Obamacare,” including the ultimate outcome on appeal of the Texas et al. v. U.S. et al. matter;</w:t>
      </w:r>
    </w:p>
    <w:p>
      <w:pPr>
        <w:ind w:left="340" w:right="28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adjustment requirements, the potential for disproportionate enrollment of higher acuity members, the discontinuation of premium tax credits, and the adequacy of agreed rates;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the Company’s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predict with a reasonable degree of accuracy utilization rates, including utilization rates associated with seasonal flu patterns or other newly emergent diseases;</w:t>
      </w:r>
    </w:p>
    <w:p>
      <w:pPr>
        <w:ind w:left="340" w:right="68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70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efforts to retain existing or awarded government contracts, including the success of any requests for proposal protest filings or defenses;</w:t>
      </w:r>
    </w:p>
    <w:p>
      <w:pPr>
        <w:ind w:left="340" w:right="52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manage its operations, including maintaining and creating adequate internal systems and controls relating to authorizations, approvals, provider payments, and the overall success of its care management initiatives;</w:t>
      </w:r>
    </w:p>
    <w:p>
      <w:pPr>
        <w:ind w:left="340" w:right="26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receipt of adequate premium rates to support increasing pharmacy costs, including costs associated with specialty drugs and costs resulting from formulary changes that allow the option of higher-priced non-generic drugs;</w:t>
      </w:r>
    </w:p>
    <w:p>
      <w:pPr>
        <w:ind w:left="340" w:right="4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340" w:right="26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estimates of amounts owed for such cost expenditure floors, administrative cost and profit ceilings, premium stabilization programs, profit-sharing arrangements, and risk adjustment provisions;</w:t>
      </w:r>
    </w:p>
    <w:p>
      <w:pPr>
        <w:ind w:left="340" w:right="20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160" w:hanging="332"/>
        <w:spacing w:after="0" w:line="266"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the Company’s ability to recognize revenue amounts associated therewith;</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27</w:t>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29" w:lineRule="exact"/>
        <w:rPr>
          <w:rFonts w:ascii="Arial" w:cs="Arial" w:eastAsia="Arial" w:hAnsi="Arial"/>
          <w:sz w:val="16"/>
          <w:szCs w:val="16"/>
          <w:i w:val="1"/>
          <w:iCs w:val="1"/>
          <w:color w:val="auto"/>
        </w:rPr>
      </w:pPr>
    </w:p>
    <w:p>
      <w:pPr>
        <w:ind w:left="340" w:right="32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the Company’s health plan in Puerto Rico, including the resolution of the debt crisis and the effect of the PROMESA law, and the impact of any future significant weather events;</w:t>
      </w:r>
    </w:p>
    <w:p>
      <w:pPr>
        <w:ind w:left="340" w:hanging="332"/>
        <w:spacing w:after="0"/>
        <w:tabs>
          <w:tab w:leader="none" w:pos="3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success and renewal of the Company’s duals demonstration programs in California, Illinois, Michigan, Ohio, South Carolina, and Texas;</w:t>
      </w:r>
    </w:p>
    <w:p>
      <w:pPr>
        <w:spacing w:after="0" w:line="20" w:lineRule="exact"/>
        <w:rPr>
          <w:rFonts w:ascii="Arial" w:cs="Arial" w:eastAsia="Arial" w:hAnsi="Arial"/>
          <w:sz w:val="17"/>
          <w:szCs w:val="17"/>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the Company’s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eligibility redeterminations, or enrollment backlogs related to the annual renewal of Medicaid coverage;</w:t>
      </w:r>
    </w:p>
    <w:p>
      <w:pPr>
        <w:spacing w:after="0" w:line="9" w:lineRule="exact"/>
        <w:rPr>
          <w:rFonts w:ascii="Arial" w:cs="Arial" w:eastAsia="Arial" w:hAnsi="Arial"/>
          <w:sz w:val="16"/>
          <w:szCs w:val="16"/>
          <w:i w:val="1"/>
          <w:iCs w:val="1"/>
          <w:color w:val="auto"/>
        </w:rPr>
      </w:pPr>
    </w:p>
    <w:p>
      <w:pPr>
        <w:ind w:left="340" w:right="12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reviews, comment letters, or potential investigations, and any fine, sanction, enrollment freeze, monitoring program, or premium recovery that may result therefrom;</w:t>
      </w: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the Company’s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the Company’s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the Company’s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22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are not a direct party;</w:t>
      </w:r>
    </w:p>
    <w:p>
      <w:pPr>
        <w:ind w:left="340" w:right="76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the Company’s California, Ohio, Texas, and Washington health plans;</w:t>
      </w:r>
    </w:p>
    <w:p>
      <w:pPr>
        <w:ind w:left="340" w:right="30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availability of adequate financing on acceptable terms to fund and capitalize the Company’s expansion and growth, repay the Company’s outstanding indebtedness at maturity and meet its liquidity needs, including the interest expense and other costs associated with such financing;</w:t>
      </w:r>
    </w:p>
    <w:p>
      <w:pPr>
        <w:spacing w:after="0" w:line="1" w:lineRule="exact"/>
        <w:rPr>
          <w:rFonts w:ascii="Arial" w:cs="Arial" w:eastAsia="Arial" w:hAnsi="Arial"/>
          <w:sz w:val="16"/>
          <w:szCs w:val="16"/>
          <w:i w:val="1"/>
          <w:iCs w:val="1"/>
          <w:color w:val="auto"/>
        </w:rPr>
      </w:pPr>
    </w:p>
    <w:p>
      <w:pPr>
        <w:ind w:left="340" w:right="340" w:hanging="332"/>
        <w:spacing w:after="0" w:line="250"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Company’s failure to comply with the financial or other covenants in its credit agreement or the indentures governing its outstanding notes;</w:t>
      </w: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the Company’s funds on hand to pay the amounts due upon conversion or maturity of its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9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Readers should refer to the section entitled “Risk Factors” in our Annual Report on Form 10-K for the year ended December 31, 2018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Molina Healthcare, Inc., a FORTUNE 500, multi-state healthcare organization, arranges for the delivery of health care services to individuals and families who receive their care through the Medicaid and Medicare programs, and through the insurance marketplaces (the “Marketplace”). Through our locally operated health plans in 14 states and the Commonwealth of Puerto Rico, we served approximately 3.4 million members as of March 31, 2019. The health plans are generally operated by our respective wholly owned subsidiaries in those states, each of which is licensed as a health maintenance organization (“HMO”).</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currently have two reportable segments: our Health Plans segment and our Other segment. We manage the vast majority of our operations through our Health Plans segment. The Other segment includes the historical results of the Medicaid management information systems (“MMIS”) and behavioral health subsidiaries that were sold in the fourth quarter of 2018, as well as certain corporate amounts not allocated to the Health Plans segment. Prior to the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28</w:t>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fourth quarter of 2018, the MMIS subsidiary was reported as a stand-alone segment. Beginning in 2019, we no longer report service revenue or cost of service revenue as a result of the sales of the MMIS and behavioral health subsidiaries noted above.</w:t>
      </w: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color w:val="828282"/>
        </w:rPr>
        <w:t>FIRST QUARTER 2019 HIGHLIGHTS</w:t>
      </w:r>
    </w:p>
    <w:p>
      <w:pPr>
        <w:spacing w:after="0" w:line="233"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color w:val="auto"/>
        </w:rPr>
        <w:t>In summary, we produced pretax earnings of $260 million and net income of $198 million in the first quarter of 2019, resulting in after-tax margin of 4.8%. These results include, on a consolidated basis, a medical care ratio (“MCR”) of 85.3% and a general and administrative (“G&amp;A”) expense ratio of 7.3%.</w:t>
      </w:r>
    </w:p>
    <w:p>
      <w:pPr>
        <w:spacing w:after="0" w:line="55"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Overall, the MCR decreased by 80 basis points in the first quarter of 2019, from 86.1% in the first quarter of 2018, driven by year-over-year improvement in the underlying performance across all our programs.</w:t>
      </w:r>
    </w:p>
    <w:p>
      <w:pPr>
        <w:spacing w:after="0" w:line="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Program Performance. </w:t>
      </w:r>
      <w:r>
        <w:rPr>
          <w:rFonts w:ascii="Arial" w:cs="Arial" w:eastAsia="Arial" w:hAnsi="Arial"/>
          <w:sz w:val="18"/>
          <w:szCs w:val="18"/>
          <w:color w:val="auto"/>
        </w:rPr>
        <w:t>The underlying performance improved across all our programs on a year-over-year basis. The Medicaid MCR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to 88.5% from 90.8%, and the combined Medicare MCR improved 10 basis points, from 84.8% to 84.7%. The Marketplace MCR also improved on a year-over-year basis, excluding a $70 million benefit of the 2017 Marketplace cost sharing reduction (“CSR”) subsidies recognized in the first quarter of 2018.</w:t>
      </w:r>
    </w:p>
    <w:p>
      <w:pPr>
        <w:spacing w:after="0" w:line="17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 xml:space="preserve">Health Plan Performance. </w:t>
      </w:r>
      <w:r>
        <w:rPr>
          <w:rFonts w:ascii="Arial" w:cs="Arial" w:eastAsia="Arial" w:hAnsi="Arial"/>
          <w:sz w:val="18"/>
          <w:szCs w:val="18"/>
          <w:color w:val="auto"/>
        </w:rPr>
        <w:t>We significantly improved the performance of our locally operated health plans in 2018, and our largest health plans,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revenue standpoint going forward, have continued to perform well into 2019. California, Illinois, Michigan and Texas, four of our largest plans, performed well during the quarter, and Florida effectively managed the transition of lost regions. In Ohio, our MCR increased year-over-year, mainly due to cost pressures in Medicaid from a shift in the Medicaid Expansion risk pool and a newly carved-in behavioral health benefit, both of which have not been adequately rated.</w:t>
      </w:r>
    </w:p>
    <w:p>
      <w:pPr>
        <w:spacing w:after="0" w:line="17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i w:val="1"/>
          <w:iCs w:val="1"/>
          <w:color w:val="auto"/>
        </w:rPr>
        <w:t xml:space="preserve">Operational Improvements. </w:t>
      </w:r>
      <w:r>
        <w:rPr>
          <w:rFonts w:ascii="Arial" w:cs="Arial" w:eastAsia="Arial" w:hAnsi="Arial"/>
          <w:sz w:val="18"/>
          <w:szCs w:val="18"/>
          <w:color w:val="auto"/>
        </w:rPr>
        <w:t>We continue to gain operating efficiencies, as our G&amp;A expense ratio has improved 30 basis points year over year,</w:t>
      </w:r>
      <w:r>
        <w:rPr>
          <w:rFonts w:ascii="Arial" w:cs="Arial" w:eastAsia="Arial" w:hAnsi="Arial"/>
          <w:sz w:val="18"/>
          <w:szCs w:val="18"/>
          <w:i w:val="1"/>
          <w:iCs w:val="1"/>
          <w:color w:val="auto"/>
        </w:rPr>
        <w:t xml:space="preserve"> </w:t>
      </w:r>
      <w:r>
        <w:rPr>
          <w:rFonts w:ascii="Arial" w:cs="Arial" w:eastAsia="Arial" w:hAnsi="Arial"/>
          <w:sz w:val="18"/>
          <w:szCs w:val="18"/>
          <w:color w:val="auto"/>
        </w:rPr>
        <w:t>from 7.6% in the first quarter of 2018. Additionally, we have recently announced new partnerships to upgrade our technology to improve claims payment processes, and to enhance utilization management of certain specialty areas.</w:t>
      </w:r>
    </w:p>
    <w:p>
      <w:pPr>
        <w:spacing w:after="0" w:line="16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 xml:space="preserve">Balance Sheet and Capital Management. </w:t>
      </w:r>
      <w:r>
        <w:rPr>
          <w:rFonts w:ascii="Arial" w:cs="Arial" w:eastAsia="Arial" w:hAnsi="Arial"/>
          <w:sz w:val="18"/>
          <w:szCs w:val="18"/>
          <w:color w:val="auto"/>
        </w:rPr>
        <w:t>In the first quarter of 2019, we repaid $46 million aggregate principal amount of our 1.125%</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and entered into privately negotiated termination agreements to terminate the respective portion of the related 1.125% Call Option and 1.125% Warrants.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2019, we repaid an additional $128 million aggregate principal amount of our 1.125% Convertible Notes and entered into privately negotiated termination agreements to terminate the respective portion of the related 1.125% Call Option and 1.125% Warrants. Following these transactions, the remaining principal amount outstanding of our 1.125% Convertible Notes is $78 million. In addition, we have received a conversion notice for $7 million principal amount that will be settled in August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29</w:t>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SUMMARY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7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195"/>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3"/>
          </w:tcPr>
          <w:p>
            <w:pPr>
              <w:jc w:val="center"/>
              <w:ind w:right="99"/>
              <w:spacing w:after="0"/>
              <w:rPr>
                <w:sz w:val="20"/>
                <w:szCs w:val="20"/>
                <w:color w:val="auto"/>
              </w:rPr>
            </w:pPr>
            <w:r>
              <w:rPr>
                <w:rFonts w:ascii="Arial" w:cs="Arial" w:eastAsia="Arial" w:hAnsi="Arial"/>
                <w:sz w:val="16"/>
                <w:szCs w:val="16"/>
                <w:b w:val="1"/>
                <w:bCs w:val="1"/>
                <w:i w:val="1"/>
                <w:iCs w:val="1"/>
                <w:color w:val="auto"/>
              </w:rPr>
              <w:t>(Dollars in millions, except per-share</w:t>
            </w:r>
          </w:p>
        </w:tc>
      </w:tr>
      <w:tr>
        <w:trPr>
          <w:trHeight w:val="230"/>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left="919"/>
              <w:spacing w:after="0"/>
              <w:rPr>
                <w:sz w:val="20"/>
                <w:szCs w:val="20"/>
                <w:color w:val="auto"/>
              </w:rPr>
            </w:pPr>
            <w:r>
              <w:rPr>
                <w:rFonts w:ascii="Arial" w:cs="Arial" w:eastAsia="Arial" w:hAnsi="Arial"/>
                <w:sz w:val="16"/>
                <w:szCs w:val="16"/>
                <w:b w:val="1"/>
                <w:bCs w:val="1"/>
                <w:i w:val="1"/>
                <w:iCs w:val="1"/>
                <w:color w:val="auto"/>
                <w:w w:val="99"/>
              </w:rPr>
              <w:t>amounts)</w:t>
            </w:r>
          </w:p>
        </w:tc>
        <w:tc>
          <w:tcPr>
            <w:tcW w:w="1180" w:type="dxa"/>
            <w:vAlign w:val="bottom"/>
          </w:tcPr>
          <w:p>
            <w:pPr>
              <w:spacing w:after="0"/>
              <w:rPr>
                <w:sz w:val="20"/>
                <w:szCs w:val="20"/>
                <w:color w:val="auto"/>
              </w:rPr>
            </w:pPr>
          </w:p>
        </w:tc>
      </w:tr>
      <w:tr>
        <w:trPr>
          <w:trHeight w:val="274"/>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3,952</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4,323</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Premium tax revenue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104</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 reimbursed</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Investment income and other revenue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24</w:t>
            </w:r>
          </w:p>
        </w:tc>
      </w:tr>
      <w:tr>
        <w:trPr>
          <w:trHeight w:val="291"/>
        </w:trPr>
        <w:tc>
          <w:tcPr>
            <w:tcW w:w="7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3,371</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3,722</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302</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352</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Premium tax expenses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104</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25</w:t>
            </w:r>
          </w:p>
        </w:tc>
      </w:tr>
      <w:tr>
        <w:trPr>
          <w:trHeight w:val="291"/>
        </w:trPr>
        <w:tc>
          <w:tcPr>
            <w:tcW w:w="7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280</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222</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Other (income) expenses, net</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198</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107</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diluted share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w:t>
            </w:r>
          </w:p>
        </w:tc>
      </w:tr>
      <w:tr>
        <w:trPr>
          <w:trHeight w:val="284"/>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Ending total membership</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3,393,000</w:t>
            </w:r>
          </w:p>
        </w:tc>
        <w:tc>
          <w:tcPr>
            <w:tcW w:w="5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4,061,000</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r>
      <w:tr>
        <w:trPr>
          <w:trHeight w:val="270"/>
        </w:trPr>
        <w:tc>
          <w:tcPr>
            <w:tcW w:w="7980" w:type="dxa"/>
            <w:vAlign w:val="bottom"/>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w:t>
            </w: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62"/>
        </w:trPr>
        <w:tc>
          <w:tcPr>
            <w:tcW w:w="7980" w:type="dxa"/>
            <w:vAlign w:val="bottom"/>
          </w:tcPr>
          <w:p>
            <w:pPr>
              <w:ind w:left="40"/>
              <w:spacing w:after="0"/>
              <w:rPr>
                <w:sz w:val="20"/>
                <w:szCs w:val="20"/>
                <w:color w:val="auto"/>
              </w:rPr>
            </w:pPr>
            <w:r>
              <w:rPr>
                <w:rFonts w:ascii="Arial" w:cs="Arial" w:eastAsia="Arial" w:hAnsi="Arial"/>
                <w:sz w:val="16"/>
                <w:szCs w:val="16"/>
                <w:color w:val="auto"/>
              </w:rPr>
              <w:t>Effective income tax expense rate</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w:t>
            </w:r>
          </w:p>
        </w:tc>
        <w:tc>
          <w:tcPr>
            <w:tcW w:w="5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78"/>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74"/>
        </w:trPr>
        <w:tc>
          <w:tcPr>
            <w:tcW w:w="798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86" w:lineRule="exact"/>
        <w:rPr>
          <w:sz w:val="20"/>
          <w:szCs w:val="20"/>
          <w:color w:val="auto"/>
        </w:rPr>
      </w:pPr>
    </w:p>
    <w:p>
      <w:pPr>
        <w:ind w:left="340" w:hanging="332"/>
        <w:spacing w:after="0" w:line="259"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spacing w:after="0" w:line="1" w:lineRule="exact"/>
        <w:rPr>
          <w:rFonts w:ascii="Arial" w:cs="Arial" w:eastAsia="Arial" w:hAnsi="Arial"/>
          <w:sz w:val="16"/>
          <w:szCs w:val="16"/>
          <w:color w:val="auto"/>
        </w:rPr>
      </w:pPr>
    </w:p>
    <w:p>
      <w:pPr>
        <w:ind w:left="340" w:right="20" w:hanging="332"/>
        <w:spacing w:after="0" w:line="26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 G&amp;A ratio represents general and administrative expenses as a percentage of total revenue.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table below, under “Summary of Significant Items,” for details relating to significant non-run rate items.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income in the first quarter of 2019 amounted to $ 198 million, or $2.99 per diluted share, compared with $107 million, or $1.64 per diluted share, for the first quarter of 2018. The improvement was driven by an increase in operating income, which amounted to $280 million in the first quarter of 2019, compared with $222 million in the first quarter of 2018. The year-over-year improvement was mainly driven by declines in both the MCR and G&amp;A ratios.</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2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Premium revenue decreased $371 million in the first quarter of 2019, when compared with the first quarter of 2018. Member months declined 17%, partially offset by a per-member per-month (“PMPM”) revenue increase of 9%.</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30</w:t>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Lower premium revenue was driven by decreases in Medicaid and Marketplace membership, partially offset by Medicaid and Marketplace premium rate increases.</w:t>
      </w: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Overall, the MCR decreased to 85.3% in the first quarter of 2019, from 86.1% in the first quarter of 2018. Excluding the $70 million benefit of the 2017 Marketplace CSR reimbursement recognized in first quarter of 2018, the MCR would have been 87.7% in the first quarter of 2018. The improvement in the first quarter of 2019 was mainly due to year-over-year improvement in the underlying performance across all of our programs.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233"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3.4% in the first quarter of 2019, compared with 2.3% in the first quarter of 2018. The increase is attributed to the state of Michigan implementing an insurance provider assessment in 2019.</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2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Investment income and other revenue increased to $29 million in the first quarter of 2019, compared with $24 million in the first quarter of 2018, mainly due to improved annualized portfolio yields.</w:t>
      </w: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(“G&amp;A”) EXPENSES</w:t>
      </w:r>
    </w:p>
    <w:p>
      <w:pPr>
        <w:spacing w:after="0" w:line="125"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The G&amp;A expense ratio decreased to 7.3% in the first quarter of 2019, from 7.6% in the first quarter of 2018. This improvement was primarily the result of lower expenses and the timing of certain expenditures, which were partially offset by the impact associated with lower premium revenue.</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w:t>
      </w:r>
    </w:p>
    <w:p>
      <w:pPr>
        <w:spacing w:after="0" w:line="233"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There are no health insurer fees (“HIF”) expensed or reimbursed in 2019 due to the moratorium under Public Law No. 115-120. In the first quarter of 2018, the HIF amounted to $75 million, and HIF reimbursements amounted to $61 million.</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828282"/>
        </w:rPr>
        <w:t>RESTRUCTURING COSTS</w:t>
      </w:r>
    </w:p>
    <w:p>
      <w:pPr>
        <w:spacing w:after="0" w:line="12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In the first quarter of 2019, we incurred restructuring costs of $3 million, mainly in connection with our IT Restructuring Plan that commenced in the third quarter of 2018. In the first quarter of 2018, we incurred restructuring costs of $25 million related to our 2017 Restructuring Plan.</w:t>
      </w: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3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Interest expense was $23 million in the first quarter of 2019, compared with $33 million in the first quarter of 2018. As further described below in “Liquidity,” we reduced the principal amount of outstanding debt by $46 million in the first quarter of 2019, and $759 million in the year ended December 31, 2018.</w:t>
      </w:r>
    </w:p>
    <w:p>
      <w:pPr>
        <w:spacing w:after="0" w:line="16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Interest expense includes non-cash interest expense relating primarily to the amortization of the discount on convertible senior notes, which amounted to $3 million and $ 7 million in the first quarter of 2019, and 2018, respectively. The decline in the first quarter of 2019 is due to repayment of our convertible senior notes throughout 2018 and in the first quarter of 2019. See further discussion in Notes to Consolidated Financial Statements, Note 7, “Debt.”</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color w:val="828282"/>
        </w:rPr>
        <w:t>OTHER (INCOME) EXPENSES, NET</w:t>
      </w:r>
    </w:p>
    <w:p>
      <w:pPr>
        <w:spacing w:after="0" w:line="12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the first quarter of 2019, we recognized debt extinguishment gains of $3 million, and in the first quarter of 2018, we recognized debt extinguishment losses of $10 million in connection with convertible senior notes repayment transactions in both periods, and an exchange transaction in the first quarter of 2018. The gain in the first quarter of 2019 was attributed to a favorable mark to market valuation on the partial termination of the Call Spread Overlay executed in connection with the related debt extinguishment. See further discussion in Notes to Consolidated Financial Statements, Note 7, “Debt.”</w:t>
      </w:r>
    </w:p>
    <w:p>
      <w:pPr>
        <w:spacing w:after="0" w:line="60"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2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provision for income taxes was recorded at an effective rate of 23.8% in the first quarter of 2019, compared with 40.3% in the first quarter of 2018. The effective tax rate for 2019 differs from 2018 as a result of higher non-</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31</w:t>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deductible expenses in 2018, primarily related to the non-deductible HIF. The HIF is not applicable in 2019 due to the moratorium under Public Law No. 115-120.</w:t>
      </w:r>
    </w:p>
    <w:p>
      <w:pPr>
        <w:spacing w:after="0" w:line="29" w:lineRule="exact"/>
        <w:rPr>
          <w:sz w:val="20"/>
          <w:szCs w:val="20"/>
          <w:color w:val="auto"/>
        </w:rPr>
      </w:pPr>
    </w:p>
    <w:p>
      <w:pPr>
        <w:spacing w:after="0"/>
        <w:rPr>
          <w:sz w:val="20"/>
          <w:szCs w:val="20"/>
          <w:color w:val="auto"/>
        </w:rPr>
      </w:pPr>
      <w:r>
        <w:rPr>
          <w:rFonts w:ascii="Arial" w:cs="Arial" w:eastAsia="Arial" w:hAnsi="Arial"/>
          <w:sz w:val="25"/>
          <w:szCs w:val="25"/>
          <w:color w:val="828282"/>
        </w:rPr>
        <w:t>SUMMARY OF SIGNIFICANT ITEMS</w:t>
      </w:r>
    </w:p>
    <w:p>
      <w:pPr>
        <w:spacing w:after="0" w:line="12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table below summarizes the impact of certain items significant to our financial performance in the periods presented. The individual items presented below increase (decrease) income before income tax expense.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64"/>
        </w:trPr>
        <w:tc>
          <w:tcPr>
            <w:tcW w:w="56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bottom w:val="single" w:sz="8" w:color="auto"/>
            </w:tcBorders>
          </w:tcPr>
          <w:p>
            <w:pPr>
              <w:spacing w:after="0"/>
              <w:rPr>
                <w:sz w:val="22"/>
                <w:szCs w:val="22"/>
                <w:color w:val="auto"/>
              </w:rPr>
            </w:pPr>
          </w:p>
        </w:tc>
      </w:tr>
      <w:tr>
        <w:trPr>
          <w:trHeight w:val="193"/>
        </w:trPr>
        <w:tc>
          <w:tcPr>
            <w:tcW w:w="5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Per Diluted</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 Diluted</w:t>
            </w:r>
          </w:p>
        </w:tc>
      </w:tr>
      <w:tr>
        <w:trPr>
          <w:trHeight w:val="236"/>
        </w:trPr>
        <w:tc>
          <w:tcPr>
            <w:tcW w:w="5620" w:type="dxa"/>
            <w:vAlign w:val="bottom"/>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line="236"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9"/>
              <w:spacing w:after="0" w:line="23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(1)</w:t>
            </w:r>
          </w:p>
        </w:tc>
      </w:tr>
      <w:tr>
        <w:trPr>
          <w:trHeight w:val="129"/>
        </w:trPr>
        <w:tc>
          <w:tcPr>
            <w:tcW w:w="5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 CSR subsidies, for 2017 dates of service</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104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(0.30)</w:t>
            </w: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debt extinguishment</w:t>
            </w:r>
          </w:p>
        </w:tc>
        <w:tc>
          <w:tcPr>
            <w:tcW w:w="10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64"/>
        </w:trPr>
        <w:tc>
          <w:tcPr>
            <w:tcW w:w="5620" w:type="dxa"/>
            <w:vAlign w:val="bottom"/>
          </w:tcPr>
          <w:p>
            <w:pPr>
              <w:spacing w:after="0"/>
              <w:rPr>
                <w:sz w:val="22"/>
                <w:szCs w:val="22"/>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0.38</w:t>
            </w:r>
          </w:p>
        </w:tc>
      </w:tr>
      <w:tr>
        <w:trPr>
          <w:trHeight w:val="20"/>
        </w:trPr>
        <w:tc>
          <w:tcPr>
            <w:tcW w:w="5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22" w:lineRule="exact"/>
        <w:rPr>
          <w:sz w:val="20"/>
          <w:szCs w:val="20"/>
          <w:color w:val="auto"/>
        </w:rPr>
      </w:pPr>
    </w:p>
    <w:p>
      <w:pPr>
        <w:ind w:left="340" w:right="180" w:hanging="332"/>
        <w:spacing w:after="0" w:line="29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for permanent differences between GAAP and tax (such as certain expenses that are not deductible for tax purposes), per diluted share amounts are generally calculated at the statutory income tax rate of 22.6% and 22% for the first quarter of 2019 and 2018,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33"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37"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One of the key metrics used to assess the performance of our Health Plans segment is the MCR, which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Margin for our Health Plans segment is referred to as “Medical Margin.” Medical Margin amounted to $581 million in the first quarter of 2019, and $601 million in the first quarter of 2018. Management’s discussion and analysis of the changes in the individual components of Medical Margin follows.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11, “Segments,” for more information on our reportable segments.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23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March 31, 2019, these health plans served approximately 3.4 million members eligible for Medicaid, Medicare, and other government-sponsored health care programs for low-income families and individuals, including Marketplace members, most of whom receive government premium subsidies.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 in Membership and Premium Revenue</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As reported throughout 2018, our Medicaid contracts in New Mexico and in all but two regions in Florida terminated in late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early 2019. As a result, our Medicaid membership has decreased to 94,000 members in the aggregate in those states as of March 31, 2019, from 468,000 members as of December 31, 2018. During 2019, we continue to serve Medicare and Marketplace members in both Florida and New Mexico, as well as Medicaid members in two regions in Florida. In addition, our Medicaid membership has declined further in Puerto Rico as a result of the entry of more manage care organizations to that market late last year. We served approximately 207,000 members in Puerto Rico as of March 31, 2019, compared with 252,000 members as of</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32</w:t>
      </w:r>
    </w:p>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As a result of these market changes, we expect our Medicaid revenues to decrease in 2019.</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Marketplace</w:t>
      </w:r>
      <w:r>
        <w:rPr>
          <w:rFonts w:ascii="Arial" w:cs="Arial" w:eastAsia="Arial" w:hAnsi="Arial"/>
          <w:sz w:val="18"/>
          <w:szCs w:val="18"/>
          <w:color w:val="auto"/>
        </w:rPr>
        <w:t>. We estimate that our 2019 Marketplace end-of-year enrollment will range from 270,000 to 280,000 members. This enrollment is</w:t>
      </w:r>
      <w:r>
        <w:rPr>
          <w:rFonts w:ascii="Arial" w:cs="Arial" w:eastAsia="Arial" w:hAnsi="Arial"/>
          <w:sz w:val="18"/>
          <w:szCs w:val="18"/>
          <w:i w:val="1"/>
          <w:iCs w:val="1"/>
          <w:color w:val="auto"/>
        </w:rPr>
        <w:t xml:space="preserve"> </w:t>
      </w:r>
      <w:r>
        <w:rPr>
          <w:rFonts w:ascii="Arial" w:cs="Arial" w:eastAsia="Arial" w:hAnsi="Arial"/>
          <w:sz w:val="18"/>
          <w:szCs w:val="18"/>
          <w:color w:val="auto"/>
        </w:rPr>
        <w:t>lower than the 332,000 members enrolled as of March 31, 2019, due to expected attrition. Consequently, we expect our Marketplace revenues to decrease in 2019 compared with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Upcoming Contract Reprocurements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In November 2018, our Texas health plan submitted two separate RFP responses: one with regard to the Texas ABD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known in Texas as the STAR+PLUS program; and the other with regard to the Texas TANF and CHIP programs, known in Texas as the STAR and CHIP programs. We expect the STAR+PLUS award to be announced in the second quarter of 2019, with an effective date of June 1, 2020. We expect the STAR and CHIP awards to be announced in the third quarter of 2019, with an effective date of September 1, 2020. As of March 31, 2019, the membership of our Texas health plan under the existing STAR+PLUS contract was 86,000 members. We estimate annualized premium revenues of approximately $1,650 million in 2019 under our existing STAR+PLUS contract. As of March 31, 2019, the membership of our Texas health plan under the existing STAR and CHIP contracts was 120,000 members. We estimate annualized premium revenues of approximately $310 million in 2019 under our existing STAR and CHIP contracts.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received information that the Medicaid contracts of our Ohio and California health plans may be subject to RFP in late 2019 and 2020, respectively. A loss of any of our Texas, Ohio, or California Medicaid contracts would have a material adverse effect on our business, financial condition, cash flows, and results of operations.</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Medicaid-Medicare Plans (“MMPs”). </w:t>
      </w:r>
      <w:r>
        <w:rPr>
          <w:rFonts w:ascii="Arial" w:cs="Arial" w:eastAsia="Arial" w:hAnsi="Arial"/>
          <w:sz w:val="18"/>
          <w:szCs w:val="18"/>
          <w:color w:val="auto"/>
        </w:rPr>
        <w:t>In late April 2019, CMS approved the California Medicaid agency’s request for a three-year extension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duals demonstration program, through December 31, 2022. We estimate annualized premium revenues of approximately $180 million in 2019 under our California MMP program.</w:t>
      </w:r>
    </w:p>
    <w:p>
      <w:pPr>
        <w:spacing w:after="0" w:line="16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current authority for our MMP programs in Illinois and Ohio ends December 31, 2019. In March 2019, the Illinois Medicaid agency submitted a request to CMS for a one-year extension of its duals demonstration program, through December 31, 2020, with a possible three-year extension through 2022. We estimate annualized premium revenues of approximately $100 million in 2019 under our Illinois MMP program. In July 2018, the Ohio Medicaid agency submitted a request to Centers for Medicare and Medicaid Services (“CMS”) for a three-year extension of its duals demonstration program, through December 31, 2022. We estimate annualized premium revenues of approximately $570 million in 2019 under our Ohio MMP program.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Pressures on Medicaid Funding</w:t>
      </w:r>
    </w:p>
    <w:p>
      <w:pPr>
        <w:spacing w:after="0" w:line="1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Due to states’ budget challenges and political agendas at both the state and federal levels, there are a number of different legislative proposals being considered, some of which would involve significantly reduced federal or state spending on the Medicaid program, constitute a fundamental change to the federal role in health care and, if enacted, could have a material adverse effect on our business, financial condition, cash flows and results of operations. These proposals include elements such as the following, as well as numerous other potential changes and reforms:</w:t>
      </w:r>
    </w:p>
    <w:p>
      <w:pPr>
        <w:spacing w:after="0" w:line="67" w:lineRule="exact"/>
        <w:rPr>
          <w:sz w:val="20"/>
          <w:szCs w:val="20"/>
          <w:color w:val="auto"/>
        </w:rPr>
      </w:pPr>
    </w:p>
    <w:p>
      <w:pPr>
        <w:ind w:left="660" w:right="2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Ending the entitlement nature of Medicaid (and perhaps Medicare as well) by capping future increases in federal health spending for these programs, and shifting much more of the risk for health costs in the future to states and consumers;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Medicaid beneficiaries to work;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 and the Marketplace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election of President Trump, the Republican party’s control of the Senate and the former Republican party’s control of the House, several changes have been made to the provisions of the ACA, including reduced funding. Accordingly, the future of the ACA and its underlying programs are subject to continuing and substantial uncertainty, making long-term business planning difficult. In December 2018, in a case brought by the state of Texas and nineteen other states, a federal judge in Texas struck down the ACA based on his determination that the ACA’s individual mandate is unconstitutional and, since that mandate cannot be separated from the rest of the ACA, the judge ruled that the rest of the ACA is also unconstitutional. The decision has been appealed to the U.S. Court of Appeals for the Fifth Circuit. Other proposed changes and reforms to the ACA have included, or may include the following:</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33</w:t>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the federal government from operating Marketplaces;</w:t>
      </w:r>
    </w:p>
    <w:p>
      <w:pPr>
        <w:spacing w:after="0" w:line="3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Eliminating the advanced premium tax credits, and cost sharing reductions for low income individuals who purchase their health insurance through the Marketplaces;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and encouraging the use of private health savings accounts;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insurance plans that offer fewer and less extensive health insurance benefits than under the ACA’s essential health benefits package, including broader use of catastrophic coverage plans, or short-term health insurance;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funding high risk pools or reinsurance programs for individuals with chronic or high cost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Allowing insurers to sell insurance across state lines.</w:t>
      </w:r>
    </w:p>
    <w:p>
      <w:pPr>
        <w:spacing w:after="0" w:line="9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Any final, not-appealable determination that the ACA is unconstitutional, or the passage of any of these changes or other reforms, would have a material adverse effect on our business, financial condition, cash flows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828282"/>
        </w:rPr>
        <w:t>MEMBERSHIP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25"/>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74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40"/>
              <w:spacing w:after="0"/>
              <w:rPr>
                <w:sz w:val="20"/>
                <w:szCs w:val="20"/>
                <w:color w:val="auto"/>
              </w:rPr>
            </w:pPr>
            <w:r>
              <w:rPr>
                <w:rFonts w:ascii="Arial" w:cs="Arial" w:eastAsia="Arial" w:hAnsi="Arial"/>
                <w:sz w:val="16"/>
                <w:szCs w:val="16"/>
                <w:color w:val="auto"/>
              </w:rPr>
              <w:t>Temporary Assistance for Needy Families (“TANF”) and Children’s Health Insurance Program</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200"/>
              <w:spacing w:after="0"/>
              <w:rPr>
                <w:sz w:val="20"/>
                <w:szCs w:val="20"/>
                <w:color w:val="auto"/>
              </w:rPr>
            </w:pPr>
            <w:r>
              <w:rPr>
                <w:rFonts w:ascii="Arial" w:cs="Arial" w:eastAsia="Arial" w:hAnsi="Arial"/>
                <w:sz w:val="16"/>
                <w:szCs w:val="16"/>
                <w:color w:val="auto"/>
              </w:rPr>
              <w:t>(“CHIP”)</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2,016,000</w:t>
            </w:r>
          </w:p>
        </w:tc>
        <w:tc>
          <w:tcPr>
            <w:tcW w:w="120" w:type="dxa"/>
            <w:vAlign w:val="bottom"/>
          </w:tcPr>
          <w:p>
            <w:pPr>
              <w:spacing w:after="0"/>
              <w:rPr>
                <w:sz w:val="19"/>
                <w:szCs w:val="19"/>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2,295,000</w:t>
            </w:r>
          </w:p>
        </w:tc>
        <w:tc>
          <w:tcPr>
            <w:tcW w:w="100" w:type="dxa"/>
            <w:vAlign w:val="bottom"/>
          </w:tcPr>
          <w:p>
            <w:pPr>
              <w:spacing w:after="0"/>
              <w:rPr>
                <w:sz w:val="19"/>
                <w:szCs w:val="19"/>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2,435,000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596,000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660,000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662,000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Aged, Blind or Disabled (“ABD”)</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352,000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406,000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411,000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Medicaid</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2,964,000</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3,361,000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3,508,000</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Medicare-Medicaid Plan (“MMP”) – Integrated </w:t>
            </w:r>
            <w:r>
              <w:rPr>
                <w:rFonts w:ascii="Arial" w:cs="Arial" w:eastAsia="Arial" w:hAnsi="Arial"/>
                <w:sz w:val="21"/>
                <w:szCs w:val="21"/>
                <w:color w:val="auto"/>
                <w:vertAlign w:val="superscript"/>
              </w:rPr>
              <w:t>(1)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56,000</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 Special Needs Plans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Medicare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Medicaid and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3,061,000</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3,459,000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3,608,000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332,000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453,000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3,393,000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3,821,000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4,061,000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608,000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656,000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Florida </w:t>
            </w:r>
            <w:r>
              <w:rPr>
                <w:rFonts w:ascii="Arial" w:cs="Arial" w:eastAsia="Arial" w:hAnsi="Arial"/>
                <w:sz w:val="21"/>
                <w:szCs w:val="21"/>
                <w:color w:val="auto"/>
                <w:vertAlign w:val="superscript"/>
              </w:rPr>
              <w:t>(2)</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219,000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151,000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369,000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388,000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27,000</w:t>
            </w:r>
          </w:p>
        </w:tc>
        <w:tc>
          <w:tcPr>
            <w:tcW w:w="120" w:type="dxa"/>
            <w:vAlign w:val="bottom"/>
          </w:tcPr>
          <w:p>
            <w:pPr>
              <w:spacing w:after="0"/>
              <w:rPr>
                <w:sz w:val="23"/>
                <w:szCs w:val="23"/>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222,000</w:t>
            </w:r>
          </w:p>
        </w:tc>
        <w:tc>
          <w:tcPr>
            <w:tcW w:w="100" w:type="dxa"/>
            <w:vAlign w:val="bottom"/>
          </w:tcPr>
          <w:p>
            <w:pPr>
              <w:spacing w:after="0"/>
              <w:rPr>
                <w:sz w:val="23"/>
                <w:szCs w:val="23"/>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295,000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207,000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252,000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316,000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126,000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117,000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377,000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423,000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476,000</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815,000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781,000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779,000</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214,000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193,000</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186,000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3,393,000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3,821,000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4,061,000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MMP members receive both Medicaid and Medicare coverage from Molina Healthcare.</w:t>
      </w:r>
    </w:p>
    <w:p>
      <w:pPr>
        <w:spacing w:after="0" w:line="25"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reported throughout 2018, our Medicaid contracts in New Mexico and in all but two regions in Florida terminated in late 2018 and early 2019. During 2019, we continue to serve Medicare and Marketplace members in both Florida and New Mexico, as well as Medicaid members in two regions in Florida.</w:t>
      </w:r>
    </w:p>
    <w:p>
      <w:pPr>
        <w:ind w:left="340" w:right="320" w:hanging="332"/>
        <w:spacing w:after="0" w:line="26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2019 Form 10-Q | 34</w:t>
      </w:r>
    </w:p>
    <w:p>
      <w:pPr>
        <w:sectPr>
          <w:pgSz w:w="11900" w:h="16838" w:orient="portrait"/>
          <w:cols w:equalWidth="0" w:num="1">
            <w:col w:w="11420"/>
          </w:cols>
          <w:pgMar w:left="240" w:top="11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PROGRAM</w:t>
      </w:r>
    </w:p>
    <w:p>
      <w:pPr>
        <w:spacing w:after="0" w:line="12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following tables summarize member months, premium revenue, medical care costs, MCR and medical margin by program for the periods indicated (PMPM amounts are in whole dollars; member months and other dollar amounts are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 March 31, 2019</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5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165.05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369.62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330.45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1,068.43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953.48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330.75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292.60</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2,355.29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2,026.83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1,284.70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1,047.78</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1,889.47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1,600.84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9"/>
        </w:trPr>
        <w:tc>
          <w:tcPr>
            <w:tcW w:w="2520" w:type="dxa"/>
            <w:vAlign w:val="bottom"/>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379.19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333.26</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393.53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244.61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42"/>
        </w:trPr>
        <w:tc>
          <w:tcPr>
            <w:tcW w:w="2520" w:type="dxa"/>
            <w:vAlign w:val="bottom"/>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3,952</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380.59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3,371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324.65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5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 March 31, 2018</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Member</w:t>
            </w:r>
          </w:p>
        </w:tc>
        <w:tc>
          <w:tcPr>
            <w:tcW w:w="28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5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171.56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372.75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317.46</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1,014.23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934.55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3,379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316.69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287.56</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2,137.88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1,824.21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1,188.97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994.81</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1,718.61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1,457.75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49"/>
        </w:trPr>
        <w:tc>
          <w:tcPr>
            <w:tcW w:w="2520" w:type="dxa"/>
            <w:vAlign w:val="bottom"/>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319.48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312.87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158.40</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4,323</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350.25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3,722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301.55</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 Program</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Medicaid Medical Margin increased $ 35 million, or 11%, in the first quarter of 2019 when compared with the first quarter of 2018, mainly due to lower MCRs in the TANF and ABD programs, which more than offset the impact of declining Medicaid premium revenue. Medicaid premium revenue decreased $ 375 million in the first quarter of 2019 mainly due to the loss in membership in connection with the termination of our Medicaid contracts in New Mexico and in all but two regions in Florida in late 2018 and early 2019, partially offset by increases in other markets. The improved MCRs in TANF and ABD were principally driven by lower pharmacy costs resulting from re-contracted pharmacy benefits management and our continued focus on medical cost management.</w:t>
      </w:r>
    </w:p>
    <w:p>
      <w:pPr>
        <w:spacing w:after="0" w:line="17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Medical Margin of our Medicaid Expansion program declined due to lower premium revenue in California and higher inpatient and outpatient fee for service costs in California and Ohio. The decline in Expansion premium in California mainly resulted from the rate reduction we received in July 2018. As noted above, we expect lower Medicaid premium revenue throughout 2019, when compared with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Program</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Our Medicare Medical Margin increased $7 million, or 9%, in the first quarter of 2019, when compared with the first quarter of 2018, mainly due to a slight improvement in the MCR. Premiums continue to increase and are higher</w:t>
      </w:r>
    </w:p>
    <w:p>
      <w:pPr>
        <w:spacing w:after="0" w:line="28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2019 Form 10-Q | 35</w:t>
      </w:r>
    </w:p>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compared to the prior year, mainly due to increased premium revenues tied to risk scores that are more commensurate with the acuity of our population.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Program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Marketplace Medical Margin decreased $62 million in the first quarter of 2019, when compared with the first quarter of 2018, mainly due to a $70 million benefit of the 2017 Marketplace CSR reimbursement recognized in first quarter of 2018, and a $33 million decrease in premium revenue. The CSR benefit related to 2017 dates of service and was recognized following the federal government’s confirmation that the reconciliation would be performed on an annual basis. In the fourth quarter of 2017, we had assumed a nine-month reconciliation of this item pending confirmation of the time period to which the 2017 reconciliation would be applied. Lower Marketplace premium revenue was driven by a decrease in membership of over 20%, partially offset by premium rate increases. As noted above, we expect Marketplace premium revenue to be lower in 2019, when compared with 2018.</w:t>
      </w:r>
    </w:p>
    <w:p>
      <w:pPr>
        <w:spacing w:after="0" w:line="17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MCR for the Marketplace program amounted to 62.2% in the first quarter of 2019, compared with 50.6% in the first quarter of 2018. Excluding the benefit of the 2017 Marketplace CSR reimbursement recognized in first quarter of 2018, the MCR for the first quarter of 2018 would have been approximately 66.8%. The improved MCR was driven by the impact of rate increases and increased premiums tied to risk scores, partially offset by the impact of higher acuity membership.</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HEALTH PLAN</w:t>
      </w:r>
    </w:p>
    <w:p>
      <w:pPr>
        <w:spacing w:after="0" w:line="28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tables summarize member months, premium revenue, medical care costs, MCR, and medical margin by state health plan for the periods indicated (PMPM amounts are in whole dollars; member months and other dollar amounts are in millions):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Medicaid and Medicare</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2019</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299.83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269.33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387.48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303.05</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348.04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282.70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363.04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299.99</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659.09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600.07</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165.02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145.38</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363.14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308.87</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902.56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801.53</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246.69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CCEEFF"/>
            </w:tcBorders>
          </w:tcPr>
          <w:p>
            <w:pPr>
              <w:ind w:left="20"/>
              <w:spacing w:after="0" w:line="269" w:lineRule="exact"/>
              <w:rPr>
                <w:sz w:val="20"/>
                <w:szCs w:val="20"/>
                <w:color w:val="auto"/>
              </w:rPr>
            </w:pPr>
            <w:r>
              <w:rPr>
                <w:rFonts w:ascii="Arial" w:cs="Arial" w:eastAsia="Arial" w:hAnsi="Arial"/>
                <w:sz w:val="31"/>
                <w:szCs w:val="31"/>
                <w:color w:val="auto"/>
                <w:vertAlign w:val="subscript"/>
              </w:rPr>
              <w:t>Other</w:t>
            </w:r>
            <w:r>
              <w:rPr>
                <w:rFonts w:ascii="Arial" w:cs="Arial" w:eastAsia="Arial" w:hAnsi="Arial"/>
                <w:sz w:val="11"/>
                <w:szCs w:val="11"/>
                <w:color w:val="auto"/>
              </w:rPr>
              <w:t xml:space="preserve"> (1) (2)</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370.26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285.13</w:t>
            </w:r>
          </w:p>
        </w:tc>
        <w:tc>
          <w:tcPr>
            <w:tcW w:w="1300" w:type="dxa"/>
            <w:vAlign w:val="bottom"/>
            <w:tcBorders>
              <w:bottom w:val="single" w:sz="8" w:color="CCEEFF"/>
            </w:tcBorders>
            <w:gridSpan w:val="2"/>
          </w:tcPr>
          <w:p>
            <w:pPr>
              <w:ind w:left="800"/>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6"/>
        </w:trPr>
        <w:tc>
          <w:tcPr>
            <w:tcW w:w="20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3,555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3,124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333.26</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36</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2018</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272.61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227.31</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351.58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317.41</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257.50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336.64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296.19</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466.17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453.30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576.60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481.26</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181.39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348.08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297.52</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809.90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747.53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256.66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252.41</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314.93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273.36</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3,893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354.94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3,504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319.48</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jc w:val="right"/>
              <w:spacing w:after="0"/>
              <w:rPr>
                <w:sz w:val="20"/>
                <w:szCs w:val="20"/>
                <w:color w:val="auto"/>
              </w:rPr>
            </w:pPr>
            <w:r>
              <w:rPr>
                <w:rFonts w:ascii="Arial" w:cs="Arial" w:eastAsia="Arial" w:hAnsi="Arial"/>
                <w:sz w:val="16"/>
                <w:szCs w:val="16"/>
                <w:color w:val="auto"/>
              </w:rPr>
              <w:t>______________________</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hanging="332"/>
        <w:spacing w:after="0" w:line="25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w:t>
      </w:r>
    </w:p>
    <w:p>
      <w:pPr>
        <w:spacing w:after="0" w:line="1" w:lineRule="exact"/>
        <w:rPr>
          <w:rFonts w:ascii="Arial" w:cs="Arial" w:eastAsia="Arial" w:hAnsi="Arial"/>
          <w:sz w:val="16"/>
          <w:szCs w:val="16"/>
          <w:color w:val="auto"/>
        </w:rPr>
      </w:pPr>
    </w:p>
    <w:p>
      <w:pPr>
        <w:ind w:left="340" w:right="20" w:hanging="332"/>
        <w:spacing w:after="0" w:line="26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2019, “Other” includes the New Mexico health plan. The New Mexico health plan’s Medicaid contract terminated on December 31, 2018, and therefore its 2019 results are not individually significant to our consolidated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March 31, 2019</w:t>
            </w: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Medical Care Costs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PMPM</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PMPM</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342.00</w:t>
            </w:r>
          </w:p>
        </w:tc>
        <w:tc>
          <w:tcPr>
            <w:tcW w:w="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w:t>
            </w:r>
          </w:p>
        </w:tc>
        <w:tc>
          <w:tcPr>
            <w:tcW w:w="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Florida</w:t>
            </w: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177.31</w:t>
            </w:r>
          </w:p>
        </w:tc>
        <w:tc>
          <w:tcPr>
            <w:tcW w:w="60" w:type="dxa"/>
            <w:vAlign w:val="bottom"/>
          </w:tcPr>
          <w:p>
            <w:pPr>
              <w:spacing w:after="0"/>
              <w:rPr>
                <w:sz w:val="22"/>
                <w:szCs w:val="22"/>
                <w:color w:val="auto"/>
              </w:rPr>
            </w:pP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211.50</w:t>
            </w:r>
          </w:p>
        </w:tc>
        <w:tc>
          <w:tcPr>
            <w:tcW w:w="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853.87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448.51</w:t>
            </w:r>
          </w:p>
        </w:tc>
        <w:tc>
          <w:tcPr>
            <w:tcW w:w="60" w:type="dxa"/>
            <w:vAlign w:val="bottom"/>
          </w:tcPr>
          <w:p>
            <w:pPr>
              <w:spacing w:after="0"/>
              <w:rPr>
                <w:sz w:val="22"/>
                <w:szCs w:val="22"/>
                <w:color w:val="auto"/>
              </w:rPr>
            </w:pP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226.36</w:t>
            </w:r>
          </w:p>
        </w:tc>
        <w:tc>
          <w:tcPr>
            <w:tcW w:w="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711.60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435.90</w:t>
            </w:r>
          </w:p>
        </w:tc>
        <w:tc>
          <w:tcPr>
            <w:tcW w:w="60" w:type="dxa"/>
            <w:vAlign w:val="bottom"/>
          </w:tcPr>
          <w:p>
            <w:pPr>
              <w:spacing w:after="0"/>
              <w:rPr>
                <w:sz w:val="22"/>
                <w:szCs w:val="22"/>
                <w:color w:val="auto"/>
              </w:rPr>
            </w:pP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bottom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314.70</w:t>
            </w:r>
          </w:p>
        </w:tc>
        <w:tc>
          <w:tcPr>
            <w:tcW w:w="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6"/>
        </w:trPr>
        <w:tc>
          <w:tcPr>
            <w:tcW w:w="2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40" w:type="dxa"/>
            <w:vAlign w:val="bottom"/>
            <w:tcBorders>
              <w:bottom w:val="single" w:sz="8" w:color="auto"/>
            </w:tcBorders>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393.53</w:t>
            </w:r>
          </w:p>
        </w:tc>
        <w:tc>
          <w:tcPr>
            <w:tcW w:w="6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60" w:type="dxa"/>
            <w:vAlign w:val="bottom"/>
            <w:tcBorders>
              <w:bottom w:val="single" w:sz="8" w:color="auto"/>
            </w:tcBorders>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244.61</w:t>
            </w:r>
          </w:p>
        </w:tc>
        <w:tc>
          <w:tcPr>
            <w:tcW w:w="60" w:type="dxa"/>
            <w:vAlign w:val="bottom"/>
          </w:tcPr>
          <w:p>
            <w:pPr>
              <w:spacing w:after="0"/>
              <w:rPr>
                <w:sz w:val="20"/>
                <w:szCs w:val="20"/>
                <w:color w:val="auto"/>
              </w:rPr>
            </w:pP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Three Months Ended March 31, 2018</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Member</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0" w:type="dxa"/>
            <w:vAlign w:val="bottom"/>
            <w:gridSpan w:val="7"/>
          </w:tcPr>
          <w:p>
            <w:pPr>
              <w:ind w:left="380"/>
              <w:spacing w:after="0"/>
              <w:rPr>
                <w:sz w:val="20"/>
                <w:szCs w:val="20"/>
                <w:color w:val="auto"/>
              </w:rPr>
            </w:pPr>
            <w:r>
              <w:rPr>
                <w:rFonts w:ascii="Arial" w:cs="Arial" w:eastAsia="Arial" w:hAnsi="Arial"/>
                <w:sz w:val="14"/>
                <w:szCs w:val="14"/>
                <w:b w:val="1"/>
                <w:bCs w:val="1"/>
                <w:color w:val="auto"/>
              </w:rPr>
              <w:t>Premium Revenue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0" w:type="dxa"/>
            <w:vAlign w:val="bottom"/>
            <w:gridSpan w:val="7"/>
          </w:tcPr>
          <w:p>
            <w:pPr>
              <w:ind w:left="340"/>
              <w:spacing w:after="0"/>
              <w:rPr>
                <w:sz w:val="20"/>
                <w:szCs w:val="20"/>
                <w:color w:val="auto"/>
              </w:rPr>
            </w:pPr>
            <w:r>
              <w:rPr>
                <w:rFonts w:ascii="Arial" w:cs="Arial" w:eastAsia="Arial" w:hAnsi="Arial"/>
                <w:sz w:val="14"/>
                <w:szCs w:val="14"/>
                <w:b w:val="1"/>
                <w:bCs w:val="1"/>
                <w:color w:val="auto"/>
              </w:rPr>
              <w:t>Medical Care Costs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Months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PMPM</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9"/>
              </w:rPr>
              <w:t>PMPM</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253.93</w:t>
            </w:r>
          </w:p>
        </w:tc>
        <w:tc>
          <w:tcPr>
            <w:tcW w:w="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162.64</w:t>
            </w:r>
          </w:p>
        </w:tc>
        <w:tc>
          <w:tcPr>
            <w:tcW w:w="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64.0 %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Florida</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271.12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(95.60)</w:t>
            </w:r>
          </w:p>
        </w:tc>
        <w:tc>
          <w:tcPr>
            <w:tcW w:w="60" w:type="dxa"/>
            <w:vAlign w:val="bottom"/>
          </w:tcPr>
          <w:p>
            <w:pPr>
              <w:spacing w:after="0"/>
              <w:rPr>
                <w:sz w:val="22"/>
                <w:szCs w:val="22"/>
                <w:color w:val="auto"/>
              </w:rPr>
            </w:pPr>
          </w:p>
        </w:tc>
        <w:tc>
          <w:tcPr>
            <w:tcW w:w="1300" w:type="dxa"/>
            <w:vAlign w:val="bottom"/>
            <w:gridSpan w:val="3"/>
          </w:tcPr>
          <w:p>
            <w:pPr>
              <w:jc w:val="right"/>
              <w:ind w:right="105"/>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224.11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144.16</w:t>
            </w:r>
          </w:p>
        </w:tc>
        <w:tc>
          <w:tcPr>
            <w:tcW w:w="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65"/>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New Mexico</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438.67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246.50</w:t>
            </w:r>
          </w:p>
        </w:tc>
        <w:tc>
          <w:tcPr>
            <w:tcW w:w="60" w:type="dxa"/>
            <w:vAlign w:val="bottom"/>
          </w:tcPr>
          <w:p>
            <w:pPr>
              <w:spacing w:after="0"/>
              <w:rPr>
                <w:sz w:val="22"/>
                <w:szCs w:val="22"/>
                <w:color w:val="auto"/>
              </w:rPr>
            </w:pPr>
          </w:p>
        </w:tc>
        <w:tc>
          <w:tcPr>
            <w:tcW w:w="1300" w:type="dxa"/>
            <w:vAlign w:val="bottom"/>
            <w:gridSpan w:val="3"/>
          </w:tcPr>
          <w:p>
            <w:pPr>
              <w:jc w:val="right"/>
              <w:ind w:right="165"/>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403.44</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262.87</w:t>
            </w:r>
          </w:p>
        </w:tc>
        <w:tc>
          <w:tcPr>
            <w:tcW w:w="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65"/>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Texas</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229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308.74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196.89</w:t>
            </w:r>
          </w:p>
        </w:tc>
        <w:tc>
          <w:tcPr>
            <w:tcW w:w="60" w:type="dxa"/>
            <w:vAlign w:val="bottom"/>
          </w:tcPr>
          <w:p>
            <w:pPr>
              <w:spacing w:after="0"/>
              <w:rPr>
                <w:sz w:val="22"/>
                <w:szCs w:val="22"/>
                <w:color w:val="auto"/>
              </w:rPr>
            </w:pPr>
          </w:p>
        </w:tc>
        <w:tc>
          <w:tcPr>
            <w:tcW w:w="1300" w:type="dxa"/>
            <w:vAlign w:val="bottom"/>
            <w:gridSpan w:val="3"/>
          </w:tcPr>
          <w:p>
            <w:pPr>
              <w:jc w:val="right"/>
              <w:ind w:right="165"/>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526.36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405.40</w:t>
            </w:r>
          </w:p>
        </w:tc>
        <w:tc>
          <w:tcPr>
            <w:tcW w:w="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65"/>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NM</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NM</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NM</w:t>
            </w: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6"/>
        </w:trPr>
        <w:tc>
          <w:tcPr>
            <w:tcW w:w="2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430</w:t>
            </w: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312.87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158.40</w:t>
            </w:r>
          </w:p>
        </w:tc>
        <w:tc>
          <w:tcPr>
            <w:tcW w:w="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50.6 %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-125095</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-125095</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-125095</wp:posOffset>
            </wp:positionV>
            <wp:extent cx="1706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(1)  “Other” includes the New Mexico, Utah and Wisconsin health plans, which are not individually significant to our consolidated operating results in 2019.</w:t>
      </w:r>
    </w:p>
    <w:p>
      <w:pPr>
        <w:sectPr>
          <w:pgSz w:w="11900" w:h="16838" w:orient="portrait"/>
          <w:cols w:equalWidth="0" w:num="1">
            <w:col w:w="11420"/>
          </w:cols>
          <w:pgMar w:left="240" w:top="115" w:right="239" w:bottom="1440" w:gutter="0" w:footer="0" w:header="0"/>
        </w:sectPr>
      </w:pPr>
    </w:p>
    <w:p>
      <w:pPr>
        <w:spacing w:after="0" w:line="24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2019 Form 10-Q | 37</w:t>
      </w:r>
    </w:p>
    <w:p>
      <w:pPr>
        <w:sectPr>
          <w:pgSz w:w="11900" w:h="16838" w:orient="portrait"/>
          <w:cols w:equalWidth="0" w:num="1">
            <w:col w:w="11420"/>
          </w:cols>
          <w:pgMar w:left="240" w:top="11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340" w:right="20" w:hanging="332"/>
        <w:spacing w:after="0" w:line="29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includes the Utah and Wisconsin health plans, where we did not participate in the Marketplace in 2018. Therefore, the ratios for 2018 periods are not meaningful (NM).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Total</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2019</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303.64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263.20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396.13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270.76</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348.04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282.70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365.09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298.25</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666.41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594.38</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165.02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145.38</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363.14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308.87</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651.67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559.49</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270.72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251.83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CCEEFF"/>
            </w:tcBorders>
          </w:tcPr>
          <w:p>
            <w:pPr>
              <w:ind w:left="20"/>
              <w:spacing w:after="0" w:line="269" w:lineRule="exact"/>
              <w:rPr>
                <w:sz w:val="20"/>
                <w:szCs w:val="20"/>
                <w:color w:val="auto"/>
              </w:rPr>
            </w:pPr>
            <w:r>
              <w:rPr>
                <w:rFonts w:ascii="Arial" w:cs="Arial" w:eastAsia="Arial" w:hAnsi="Arial"/>
                <w:sz w:val="31"/>
                <w:szCs w:val="31"/>
                <w:color w:val="auto"/>
                <w:vertAlign w:val="subscript"/>
              </w:rPr>
              <w:t>Other</w:t>
            </w:r>
            <w:r>
              <w:rPr>
                <w:rFonts w:ascii="Arial" w:cs="Arial" w:eastAsia="Arial" w:hAnsi="Arial"/>
                <w:sz w:val="11"/>
                <w:szCs w:val="11"/>
                <w:color w:val="auto"/>
              </w:rPr>
              <w:t xml:space="preserve"> (1) (2)</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384.08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288.99</w:t>
            </w:r>
          </w:p>
        </w:tc>
        <w:tc>
          <w:tcPr>
            <w:tcW w:w="1300" w:type="dxa"/>
            <w:vAlign w:val="bottom"/>
            <w:tcBorders>
              <w:bottom w:val="single" w:sz="8" w:color="CCEEFF"/>
            </w:tcBorders>
            <w:gridSpan w:val="2"/>
          </w:tcPr>
          <w:p>
            <w:pPr>
              <w:ind w:left="800"/>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3,952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3,371</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324.65</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2018</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270.80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221.03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340.91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262.65</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257.50</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331.08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288.68</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(2)</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463.33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431.94</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565.62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467.41</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181.39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348.08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297.52</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551.28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463.37</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265.20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257.25</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305.94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240.95</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6"/>
        </w:trPr>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4,323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350.25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3,722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301.55</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2" w:lineRule="exact"/>
        <w:rPr>
          <w:sz w:val="20"/>
          <w:szCs w:val="20"/>
          <w:color w:val="auto"/>
        </w:rPr>
      </w:pPr>
    </w:p>
    <w:p>
      <w:pPr>
        <w:ind w:left="340" w:right="320" w:hanging="332"/>
        <w:spacing w:after="0" w:line="259"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w:t>
      </w:r>
    </w:p>
    <w:p>
      <w:pPr>
        <w:spacing w:after="0" w:line="1" w:lineRule="exact"/>
        <w:rPr>
          <w:rFonts w:ascii="Arial" w:cs="Arial" w:eastAsia="Arial" w:hAnsi="Arial"/>
          <w:sz w:val="16"/>
          <w:szCs w:val="16"/>
          <w:color w:val="auto"/>
        </w:rPr>
      </w:pPr>
    </w:p>
    <w:p>
      <w:pPr>
        <w:ind w:left="340" w:right="140" w:hanging="332"/>
        <w:spacing w:after="0" w:line="26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2019, “Other” includes the New Mexico health plan. The New Mexico health plan’s Medicaid contract terminated on December 31, 2018, and therefore its 2019 results are not individually significant to our consolidated operating results.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2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Other segment includes the historical results of the Medicaid management information systems (“MMIS”) and behavioral health subsidiaries that were sold in the fourth quarter of 2018, as well as certain corporate amounts not allocated to the Health Plans segment. Prior to the fourth quarter of 2018, the MMIS subsidiary was reported as a stand-alone segment. Beginning in 2019, we no longer report service revenue or cost of service revenue as a result of the sales of the MMIS and behavioral health subsidiaries noted above.</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Other segment Service Margin in the first quarter of 2018 was insignificant.</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Molina Healthcare, Inc. March 31, 2019 Form 10-Q | 38</w:t>
      </w:r>
    </w:p>
    <w:p>
      <w:pPr>
        <w:sectPr>
          <w:pgSz w:w="11900" w:h="16838" w:orient="portrait"/>
          <w:cols w:equalWidth="0" w:num="1">
            <w:col w:w="11420"/>
          </w:cols>
          <w:pgMar w:left="240" w:top="116"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3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health plan subsidiaries generate significant cash flows from premium revenue. Such cash flows are our primary source of liquidity. Thus, any future decline in our profitability may have a negative impact on our liquidity. We generally receive premium revenue a short time before we pay for the related health care services. A majority of the assets held by our regulated health plan subsidiaries is in the form of cash, cash equivalents, and investments.</w:t>
      </w:r>
    </w:p>
    <w:p>
      <w:pPr>
        <w:spacing w:after="0" w:line="6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$289 million in such dividends to the parent company in the first quarter of 2019. No such dividends were paid in the first quarter of 2018. With regard to capital contributions, the parent company contributed capital of $80 million in the first quarter of 2018, to satisfy statutory net worth requirements. No such contributions were required in the first quarter of 2019.</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cash equivalents and investments at the parent company amounted to $443 million and $170 million as of March 31, 2019, and December 31, 2018, respectively. The increase in 2019 was mainly due to cash dividends received from our regulated health plan subsidiaries, and proceeds from a draw-down under the Term Loan facility, partially offset by a partial principal repayment of our outstanding 1.125% Convertible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 approved investment policies which conform to applicable state laws and regulations.</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10 years or less (excluding variable rate securities, for which interest rates are periodically reset).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178"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Our restricted investments are invested principally in certificates of deposit and U.S. Treasury securities; we have the ability to hold such restricted investments until maturity. All of our unrestricted investments are classified as current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62"/>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020" w:type="dxa"/>
            <w:vAlign w:val="bottom"/>
          </w:tcPr>
          <w:p>
            <w:pPr>
              <w:spacing w:after="0"/>
              <w:rPr>
                <w:sz w:val="22"/>
                <w:szCs w:val="22"/>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42"/>
        </w:trPr>
        <w:tc>
          <w:tcPr>
            <w:tcW w:w="6740" w:type="dxa"/>
            <w:vAlign w:val="bottom"/>
          </w:tcPr>
          <w:p>
            <w:pPr>
              <w:ind w:left="18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state or federal payors may decide to adjust their payment schedules which could positively or negatively impact our</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39</w:t>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reported cash flows from operating activities in any given period. State or federal payors may delay our premium payments, or they may prepay the following month’s premium payment.</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operations for the first quarter of 2019 was $249 million, compared with $394 million for the first quarter of 2018. This decrease in cash flow of $145 million was due to settlements with government agencies, mainly related to CSR payments in 2019, timing of CMS Medicare premium receipts in 2018, the use of cash associated with declines in Medicaid and Marketplace membership, partially offset by a net benefit from timing differences in other current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provided by investing activities was $171 million in the first quarter of 2019, compared with $145 million in the first quarter of 2018, an increase in cash flow of $26 million. The year over year improvement was primarily due to higher proceeds from sales and maturities of investments, net of purchases, in the first quarter of 2019, largely driven by cash flow needs associated with our financing activities,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cash used in financing activities was $48 million in the first quarter of 2019, compared with $5 million in the first quarter of 2018, a decrease in cash flow of $43 million. The year over year decline was mainly due to $149 million in net cash paid for partial principal repayment of the</w:t>
      </w:r>
    </w:p>
    <w:p>
      <w:pPr>
        <w:spacing w:after="0" w:line="1"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1.125% Convertible Notes and partial settlement of the related 1.125% Conversion Option, 1.125% Call Option and 1.125% Warrants in the first quarter of 2019. These settlements were partially offset by proceeds received from a $100 million draw-down under the Term Loan facility.</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233"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We believe that our cash resources, our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16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On a consolidated basis, at March 31, 2019, our working capital was $2,439 million, compared with $2,216 million at December 31, 2018. At March 31, 2019, our cash and investments amounted to $4,834 million, compared with $4,629 million at December 31, 2018.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Each of our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approximately $1,020 million at March 31, 2019, and $1,040 million at December 31, 2018. Our HMO subsidiaries were in compliance with these minimum capital requirements as of both dates.</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applicable regulatory requirements, the amount of dividends that may be paid through the remainder of 2019 by our HMO subsidiaries without prior approval by regulatory authorities as of March 31, 2019, is approximately $123 million in the aggregate. Our HMO subsidiaries can pay dividends over this amount, but only after approval is granted by the regulatory authorities.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225"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Our 5.375% Notes and 4.875% Notes are rated “BB-” by Standard &amp; Poor’s, and “B2” by Moody’s Investor Service, Inc. A downgrade in our ratings could adversely affect our borrowing capacity and increase our borrowing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contains customary non-financial and financial covenants, including a net leverage ratio and an interest coverage ratio.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Such ratios, presented below, are computed as defined by the terms of the Credit Agreement.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40</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Required Per</w:t>
            </w:r>
          </w:p>
        </w:tc>
        <w:tc>
          <w:tcPr>
            <w:tcW w:w="1600" w:type="dxa"/>
            <w:vAlign w:val="bottom"/>
          </w:tcPr>
          <w:p>
            <w:pPr>
              <w:ind w:left="200"/>
              <w:spacing w:after="0"/>
              <w:rPr>
                <w:sz w:val="20"/>
                <w:szCs w:val="20"/>
                <w:color w:val="auto"/>
              </w:rPr>
            </w:pPr>
            <w:r>
              <w:rPr>
                <w:rFonts w:ascii="Arial" w:cs="Arial" w:eastAsia="Arial" w:hAnsi="Arial"/>
                <w:sz w:val="16"/>
                <w:szCs w:val="16"/>
                <w:b w:val="1"/>
                <w:bCs w:val="1"/>
                <w:color w:val="auto"/>
              </w:rPr>
              <w:t>As of March 31,</w:t>
            </w:r>
          </w:p>
        </w:tc>
      </w:tr>
      <w:tr>
        <w:trPr>
          <w:trHeight w:val="232"/>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Credit Facility Financial Covenants</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Agreement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2019</w:t>
            </w:r>
          </w:p>
        </w:tc>
      </w:tr>
      <w:tr>
        <w:trPr>
          <w:trHeight w:val="321"/>
        </w:trPr>
        <w:tc>
          <w:tcPr>
            <w:tcW w:w="556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260" w:type="dxa"/>
            <w:vAlign w:val="bottom"/>
            <w:gridSpan w:val="2"/>
            <w:shd w:val="clear" w:color="auto" w:fill="CCEEFF"/>
          </w:tcPr>
          <w:p>
            <w:pPr>
              <w:jc w:val="center"/>
              <w:ind w:left="2379"/>
              <w:spacing w:after="0"/>
              <w:rPr>
                <w:sz w:val="20"/>
                <w:szCs w:val="20"/>
                <w:color w:val="auto"/>
              </w:rPr>
            </w:pPr>
            <w:r>
              <w:rPr>
                <w:rFonts w:ascii="Arial" w:cs="Arial" w:eastAsia="Arial" w:hAnsi="Arial"/>
                <w:sz w:val="16"/>
                <w:szCs w:val="16"/>
                <w:color w:val="auto"/>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1.0x</w:t>
            </w:r>
          </w:p>
        </w:tc>
      </w:tr>
      <w:tr>
        <w:trPr>
          <w:trHeight w:val="255"/>
        </w:trPr>
        <w:tc>
          <w:tcPr>
            <w:tcW w:w="556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color w:val="auto"/>
              </w:rPr>
              <w:t>&gt;3.5x</w:t>
            </w:r>
          </w:p>
        </w:tc>
        <w:tc>
          <w:tcPr>
            <w:tcW w:w="1600" w:type="dxa"/>
            <w:vAlign w:val="bottom"/>
          </w:tcPr>
          <w:p>
            <w:pPr>
              <w:jc w:val="center"/>
              <w:spacing w:after="0"/>
              <w:rPr>
                <w:sz w:val="20"/>
                <w:szCs w:val="20"/>
                <w:color w:val="auto"/>
              </w:rPr>
            </w:pPr>
            <w:r>
              <w:rPr>
                <w:rFonts w:ascii="Arial" w:cs="Arial" w:eastAsia="Arial" w:hAnsi="Arial"/>
                <w:sz w:val="16"/>
                <w:szCs w:val="16"/>
                <w:color w:val="auto"/>
              </w:rPr>
              <w:t>14.7x</w:t>
            </w:r>
          </w:p>
        </w:tc>
      </w:tr>
    </w:tbl>
    <w:p>
      <w:pPr>
        <w:spacing w:after="0" w:line="20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indentures governing the 4.875% Notes, the 5.375% Notes and the 1.125% Convertible Notes contain cross-default provisions that are triggered upon default by us or any of our subsidiaries on any indebtedness in excess of the amount specified in the applicable indenture. As of March 31, 2019, we were in compliance with all covenants under the Credit Agreement and the indentures governing our outstanding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Plan Progress</w:t>
      </w:r>
    </w:p>
    <w:p>
      <w:pPr>
        <w:spacing w:after="0" w:line="117"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In the first quarter of 2019, we repaid $46 million aggregate principal amount of our 1.125% Convertible Notes and entered into privately negotiated termination agreements to terminate the respective portion of the related 1.125% Call Option and 1.125% Warrants.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2019, we repaid an additional $128 million aggregate principal amount of our 1.125% Convertible Notes and entered into privately negotiated termination agreements to terminate the respective portion of the related 1.125% Call Option and 1.125% Warrants. Following these transactions, the remaining principal amount outstanding of our 1.125% Convertible Notes is $78 million. In addition, we have received a conversion notice for $7 million principal amount that will be settled in August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 care services. Such cash flows are our primary source of liquidity. Thus, any future decline in our profitability may have a negative impact on our liquidity.</w:t>
      </w:r>
    </w:p>
    <w:p>
      <w:pPr>
        <w:spacing w:after="0" w:line="16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14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March 31, 2019, we had available borrowing capacity of $500 million under the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our draw down of $100 million in the first quarter of 2019. We drew down an additional $120 million under the Term Loan in April 2019, further reducing borrowing capacity by that amount permanently. Under the Term Loan facility, we may request up to ten advances, each in a minimum principal amount of $50 million, until July 31, 2020. In addition, we have available borrowing capacity of $498 million under our Credit Facility. See further discussion in the Notes to Consolidated Financial Statements, Note 7, “Debt.”</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Savings from the IT Restructuring Plan. </w:t>
      </w:r>
      <w:r>
        <w:rPr>
          <w:rFonts w:ascii="Arial" w:cs="Arial" w:eastAsia="Arial" w:hAnsi="Arial"/>
          <w:sz w:val="18"/>
          <w:szCs w:val="18"/>
          <w:color w:val="auto"/>
        </w:rPr>
        <w:t>Management is focused on a margin recovery plan that includes identification and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profit improvement initiatives. To that end, we began a plan to restructure our information technology department (the “IT Restructuring Plan”) in 2018. In early 2019, we have entered into services agreements with Infosys Limited under which Infosys manages certain of our information technology services. We expect the IT Restructuring Plan to be completed by the end of 2019. We currently estimate that this plan will reduce annualized run-rate expenses by approximately $ 15 million to $20 million in the first full year, increasing to approximately $30 million to $ 35 million by the end of the fifth full year. Such savings, if achieved, would reduce Other segment general and administrative expenses in our consolidated statements of income. Further details are described in the Notes to Consolidated Financial Statements, Note 10, “Restructuring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225"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41</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1.125% Convertible Notes. </w:t>
      </w:r>
      <w:r>
        <w:rPr>
          <w:rFonts w:ascii="Arial" w:cs="Arial" w:eastAsia="Arial" w:hAnsi="Arial"/>
          <w:sz w:val="18"/>
          <w:szCs w:val="18"/>
          <w:color w:val="auto"/>
        </w:rPr>
        <w:t>The fair value of the 1.125% Convertible Notes was $716 million as of March 31, 2019, which amount reflects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amount outstanding and the fair value of the 1.125% Conversion Option. Refer to the Notes to Consolidated Financial Statements, Note 7, “Debt,” for a detailed discussion of the 1.125% Convertible Notes, including recent transactions. The 1.125% Convertible Notes are convertible by the holders within one year of the current balance sheet date until they mature; therefore, they are reported in current portion of long-term debt. If conversion requests are received, the settlement of the notes must be paid in cash pursuant to the terms of the applicable indenture. We have sufficient available cash, combined with borrowing capacity available under our Credit Agreement, to fund conversions should they occur.</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2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2018, was disclosed in our 2018 Annual Report on Form 10-K.</w:t>
      </w:r>
    </w:p>
    <w:p>
      <w:pPr>
        <w:spacing w:after="0" w:line="3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Other than the financing transactions described in the Notes to Consolidated Financial Statements, Note 7, “Debt,” there were no significant changes to this previously filed information outside the ordinary course of business during the first quarter of 2019.</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23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45" w:lineRule="exact"/>
        <w:rPr>
          <w:sz w:val="20"/>
          <w:szCs w:val="20"/>
          <w:color w:val="auto"/>
        </w:rPr>
      </w:pPr>
    </w:p>
    <w:p>
      <w:pPr>
        <w:ind w:left="660" w:right="4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Medical claims and benefits payable</w:t>
      </w:r>
      <w:r>
        <w:rPr>
          <w:rFonts w:ascii="Arial" w:cs="Arial" w:eastAsia="Arial" w:hAnsi="Arial"/>
          <w:sz w:val="17"/>
          <w:szCs w:val="17"/>
          <w:color w:val="auto"/>
        </w:rPr>
        <w:t>. Refer to Notes to Consolidated Financial Statements, Note 6, “Medical Claims and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first quarter of 2019, to our disclosure reported in “Critical Accounting Estimates” in our Annual Report on Form 10-K for the year ended December 31, 2018.</w:t>
      </w:r>
    </w:p>
    <w:p>
      <w:pPr>
        <w:spacing w:after="0" w:line="160" w:lineRule="exact"/>
        <w:rPr>
          <w:rFonts w:ascii="Arial" w:cs="Arial" w:eastAsia="Arial" w:hAnsi="Arial"/>
          <w:sz w:val="17"/>
          <w:szCs w:val="17"/>
          <w:color w:val="auto"/>
        </w:rPr>
      </w:pPr>
    </w:p>
    <w:p>
      <w:pPr>
        <w:jc w:val="both"/>
        <w:ind w:left="660" w:right="540" w:hanging="328"/>
        <w:spacing w:after="0" w:line="29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Contractual provisions that may adjust or limit revenue or profit</w:t>
      </w:r>
      <w:r>
        <w:rPr>
          <w:rFonts w:ascii="Arial" w:cs="Arial" w:eastAsia="Arial" w:hAnsi="Arial"/>
          <w:sz w:val="18"/>
          <w:szCs w:val="18"/>
          <w:color w:val="auto"/>
        </w:rPr>
        <w:t>. For a discussion of this topic, including amounts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refer to Notes to Consolidated Financial Statements, Note 2, “Significant Accounting Policies.”</w:t>
      </w:r>
    </w:p>
    <w:p>
      <w:pPr>
        <w:spacing w:after="0" w:line="144" w:lineRule="exact"/>
        <w:rPr>
          <w:rFonts w:ascii="Arial" w:cs="Arial" w:eastAsia="Arial" w:hAnsi="Arial"/>
          <w:sz w:val="18"/>
          <w:szCs w:val="18"/>
          <w:color w:val="auto"/>
        </w:rPr>
      </w:pPr>
    </w:p>
    <w:p>
      <w:pPr>
        <w:ind w:left="660" w:right="80" w:hanging="328"/>
        <w:spacing w:after="0" w:line="29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For a discussion of this topic, including amounts recorded in our consolidated financial statements, refer to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Note 2, “Significant Accounting Policies.”</w:t>
      </w:r>
    </w:p>
    <w:p>
      <w:pPr>
        <w:spacing w:after="0" w:line="144"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There have been no significant changes, during the first quarter of 2019, to our disclosure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in “Critical Accounting Estimates” in our Annual Report on Form 10-K for the year ended December 31, 2018.</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29"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14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March 31, 2019, the fair value of our fixed income investments would decrease by approximately $13 million. Declines in interest rates over time will reduce our investment income.</w:t>
      </w:r>
    </w:p>
    <w:p>
      <w:pPr>
        <w:spacing w:after="0" w:line="163"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45" w:lineRule="exact"/>
        <w:rPr>
          <w:sz w:val="20"/>
          <w:szCs w:val="20"/>
          <w:color w:val="auto"/>
        </w:rPr>
      </w:pPr>
    </w:p>
    <w:p>
      <w:pPr>
        <w:jc w:val="both"/>
        <w:ind w:right="620"/>
        <w:spacing w:after="0" w:line="271" w:lineRule="auto"/>
        <w:rPr>
          <w:sz w:val="20"/>
          <w:szCs w:val="20"/>
          <w:color w:val="auto"/>
        </w:rPr>
      </w:pPr>
      <w:r>
        <w:rPr>
          <w:rFonts w:ascii="Arial" w:cs="Arial" w:eastAsia="Arial" w:hAnsi="Arial"/>
          <w:sz w:val="18"/>
          <w:szCs w:val="18"/>
          <w:color w:val="auto"/>
        </w:rPr>
        <w:t>Borrowings under our Credit Agreement bear interest based, at our election, on a base rate or other defined rate, plus in each case the applicable margin. As of March 31, 2019, $100 million was outstanding under the Term Loan facility of the Credit Agreement. For further information, see Notes to Consolidated Financial Statements, Note 7, “Debt.”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42</w:t>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concluded, based upon its evaluation as of the end of the period covered by this report, that the Company’s “disclosure controls and procedures” (as defined in Rules 13a-15(e) and 15d-15(e) under the Securities Exchange Act of 1934, as amended (the “Exchange Act”)), are effective to ensure that information required to be disclosed in the reports that we file or submit under the Exchange Act is recorded, processed, summarized, and reported within the time periods specified in the SEC’s rules and forms.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2019 that has materially affected, or is reasonably likely to materially affect, our internal controls over financial reporting.</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23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in “Risk Factors,” in our Annual Report on Form 10-K for the year ended December 31, 2018. The risk factors described in our 2018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23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Purchases of common stock made by us, or on our behalf during the quarter ended March 31, 2019, including shares withheld by us to satisfy our employees’ income tax obligations, are set forth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6"/>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133.04</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February 1 - February 28</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1"/>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1 - March 31</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48,228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137.88</w:t>
            </w:r>
          </w:p>
        </w:tc>
        <w:tc>
          <w:tcPr>
            <w:tcW w:w="100" w:type="dxa"/>
            <w:vAlign w:val="bottom"/>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2"/>
        </w:trPr>
        <w:tc>
          <w:tcPr>
            <w:tcW w:w="4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49,239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137.78</w:t>
            </w:r>
          </w:p>
        </w:tc>
        <w:tc>
          <w:tcPr>
            <w:tcW w:w="100" w:type="dxa"/>
            <w:vAlign w:val="bottom"/>
          </w:tcPr>
          <w:p>
            <w:pPr>
              <w:spacing w:after="0"/>
              <w:rPr>
                <w:sz w:val="21"/>
                <w:szCs w:val="21"/>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0" w:lineRule="exact"/>
        <w:rPr>
          <w:sz w:val="20"/>
          <w:szCs w:val="20"/>
          <w:color w:val="auto"/>
        </w:rPr>
      </w:pPr>
    </w:p>
    <w:p>
      <w:pPr>
        <w:ind w:left="500" w:hanging="492"/>
        <w:spacing w:after="0" w:line="29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three months ended March 31, 2019, we withheld 49,239 shares of common stock under our 2011 Equity Incentive Plan to settle employee income tax obligations.</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43</w:t>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17"/>
                <w:szCs w:val="17"/>
                <w:color w:val="auto"/>
              </w:rPr>
            </w:pPr>
          </w:p>
        </w:tc>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376"/>
        </w:trPr>
        <w:tc>
          <w:tcPr>
            <w:tcW w:w="360" w:type="dxa"/>
            <w:vAlign w:val="bottom"/>
            <w:gridSpan w:val="2"/>
          </w:tcPr>
          <w:p>
            <w:pPr>
              <w:ind w:left="40"/>
              <w:spacing w:after="0"/>
              <w:rPr>
                <w:rFonts w:ascii="Arial" w:cs="Arial" w:eastAsia="Arial" w:hAnsi="Arial"/>
                <w:sz w:val="16"/>
                <w:szCs w:val="16"/>
                <w:color w:val="0000FF"/>
                <w:w w:val="96"/>
              </w:rPr>
            </w:pPr>
            <w:hyperlink w:anchor="page46">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6"/>
                <w:szCs w:val="16"/>
                <w:color w:val="0000FF"/>
                <w:w w:val="96"/>
              </w:rPr>
            </w:pPr>
            <w:hyperlink w:anchor="page47">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6"/>
                <w:szCs w:val="16"/>
                <w:color w:val="0000FF"/>
                <w:w w:val="96"/>
              </w:rPr>
            </w:pPr>
            <w:hyperlink w:anchor="page48">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Executive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8"/>
                <w:szCs w:val="18"/>
                <w:color w:val="auto"/>
              </w:rPr>
            </w:pPr>
          </w:p>
        </w:tc>
      </w:tr>
      <w:tr>
        <w:trPr>
          <w:trHeight w:val="326"/>
        </w:trPr>
        <w:tc>
          <w:tcPr>
            <w:tcW w:w="360" w:type="dxa"/>
            <w:vAlign w:val="bottom"/>
            <w:gridSpan w:val="2"/>
          </w:tcPr>
          <w:p>
            <w:pPr>
              <w:ind w:left="40"/>
              <w:spacing w:after="0"/>
              <w:rPr>
                <w:rFonts w:ascii="Arial" w:cs="Arial" w:eastAsia="Arial" w:hAnsi="Arial"/>
                <w:sz w:val="16"/>
                <w:szCs w:val="16"/>
                <w:color w:val="0000FF"/>
                <w:w w:val="96"/>
              </w:rPr>
            </w:pPr>
            <w:hyperlink w:anchor="page49">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Financial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8"/>
                <w:szCs w:val="18"/>
                <w:color w:val="auto"/>
              </w:rPr>
            </w:pPr>
          </w:p>
        </w:tc>
      </w:tr>
      <w:tr>
        <w:trPr>
          <w:trHeight w:val="365"/>
        </w:trPr>
        <w:tc>
          <w:tcPr>
            <w:tcW w:w="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Instance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44</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237"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8"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April 30, 2019</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4"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Joseph M. Zubretsky</w:t>
      </w:r>
    </w:p>
    <w:p>
      <w:pPr>
        <w:spacing w:after="0" w:line="8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Chief Executive Officer</w:t>
      </w:r>
    </w:p>
    <w:p>
      <w:pPr>
        <w:spacing w:after="0" w:line="8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pacing w:after="0" w:line="385"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April 30, 2019</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4"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Thomas L. Tran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2019 Form 10-Q | 45</w:t>
      </w:r>
    </w:p>
    <w:p>
      <w:pPr>
        <w:sectPr>
          <w:pgSz w:w="11900" w:h="16838" w:orient="portrait"/>
          <w:cols w:equalWidth="0" w:num="1">
            <w:col w:w="11420"/>
          </w:cols>
          <w:pgMar w:left="240" w:top="11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2019 of Molina Healthcare, Inc.;</w:t>
      </w:r>
    </w:p>
    <w:p>
      <w:pPr>
        <w:spacing w:after="0" w:line="90" w:lineRule="exact"/>
        <w:rPr>
          <w:rFonts w:ascii="Arial" w:cs="Arial" w:eastAsia="Arial" w:hAnsi="Arial"/>
          <w:sz w:val="18"/>
          <w:szCs w:val="18"/>
          <w:color w:val="auto"/>
        </w:rPr>
      </w:pPr>
    </w:p>
    <w:p>
      <w:pPr>
        <w:ind w:right="160" w:firstLine="440"/>
        <w:spacing w:after="0" w:line="271"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09" w:lineRule="exact"/>
        <w:rPr>
          <w:rFonts w:ascii="Arial" w:cs="Arial" w:eastAsia="Arial" w:hAnsi="Arial"/>
          <w:sz w:val="18"/>
          <w:szCs w:val="18"/>
          <w:color w:val="auto"/>
        </w:rPr>
      </w:pPr>
    </w:p>
    <w:p>
      <w:pPr>
        <w:ind w:right="340" w:firstLine="440"/>
        <w:spacing w:after="0" w:line="292"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90" w:lineRule="exact"/>
        <w:rPr>
          <w:rFonts w:ascii="Arial" w:cs="Arial" w:eastAsia="Arial" w:hAnsi="Arial"/>
          <w:sz w:val="18"/>
          <w:szCs w:val="18"/>
          <w:color w:val="auto"/>
        </w:rPr>
      </w:pPr>
    </w:p>
    <w:p>
      <w:pPr>
        <w:ind w:right="100" w:firstLine="440"/>
        <w:spacing w:after="0" w:line="271"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28" w:lineRule="exact"/>
        <w:rPr>
          <w:rFonts w:ascii="Arial" w:cs="Arial" w:eastAsia="Arial" w:hAnsi="Arial"/>
          <w:sz w:val="18"/>
          <w:szCs w:val="18"/>
          <w:color w:val="auto"/>
        </w:rPr>
      </w:pPr>
    </w:p>
    <w:p>
      <w:pPr>
        <w:ind w:right="20" w:firstLine="886"/>
        <w:spacing w:after="0" w:line="271"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28" w:lineRule="exact"/>
        <w:rPr>
          <w:rFonts w:ascii="Arial" w:cs="Arial" w:eastAsia="Arial" w:hAnsi="Arial"/>
          <w:sz w:val="18"/>
          <w:szCs w:val="18"/>
          <w:color w:val="auto"/>
        </w:rPr>
      </w:pPr>
    </w:p>
    <w:p>
      <w:pPr>
        <w:ind w:right="320" w:firstLine="886"/>
        <w:spacing w:after="0" w:line="271"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right="140" w:firstLine="886"/>
        <w:spacing w:after="0" w:line="271" w:lineRule="auto"/>
        <w:tabs>
          <w:tab w:leader="none" w:pos="11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28" w:lineRule="exact"/>
        <w:rPr>
          <w:rFonts w:ascii="Arial" w:cs="Arial" w:eastAsia="Arial" w:hAnsi="Arial"/>
          <w:sz w:val="18"/>
          <w:szCs w:val="18"/>
          <w:color w:val="auto"/>
        </w:rPr>
      </w:pPr>
    </w:p>
    <w:p>
      <w:pPr>
        <w:ind w:right="100" w:firstLine="886"/>
        <w:spacing w:after="0" w:line="271"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jc w:val="both"/>
        <w:ind w:right="440" w:firstLine="440"/>
        <w:spacing w:after="0" w:line="271"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28" w:lineRule="exact"/>
        <w:rPr>
          <w:rFonts w:ascii="Arial" w:cs="Arial" w:eastAsia="Arial" w:hAnsi="Arial"/>
          <w:sz w:val="18"/>
          <w:szCs w:val="18"/>
          <w:color w:val="auto"/>
        </w:rPr>
      </w:pPr>
    </w:p>
    <w:p>
      <w:pPr>
        <w:ind w:right="240" w:firstLine="886"/>
        <w:spacing w:after="0" w:line="292"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right="180" w:firstLine="886"/>
        <w:spacing w:after="0" w:line="292" w:lineRule="auto"/>
        <w:tabs>
          <w:tab w:leader="none" w:pos="11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2019</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90" w:lineRule="exact"/>
        <w:rPr>
          <w:sz w:val="20"/>
          <w:szCs w:val="20"/>
          <w:color w:val="auto"/>
        </w:rPr>
      </w:pPr>
    </w:p>
    <w:p>
      <w:pPr>
        <w:ind w:left="640" w:hanging="20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2019 of Molina Healthcare, Inc.;</w:t>
      </w:r>
    </w:p>
    <w:p>
      <w:pPr>
        <w:spacing w:after="0" w:line="90" w:lineRule="exact"/>
        <w:rPr>
          <w:rFonts w:ascii="Arial" w:cs="Arial" w:eastAsia="Arial" w:hAnsi="Arial"/>
          <w:sz w:val="18"/>
          <w:szCs w:val="18"/>
          <w:color w:val="auto"/>
        </w:rPr>
      </w:pPr>
    </w:p>
    <w:p>
      <w:pPr>
        <w:ind w:right="160" w:firstLine="440"/>
        <w:spacing w:after="0" w:line="271"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28" w:lineRule="exact"/>
        <w:rPr>
          <w:rFonts w:ascii="Arial" w:cs="Arial" w:eastAsia="Arial" w:hAnsi="Arial"/>
          <w:sz w:val="18"/>
          <w:szCs w:val="18"/>
          <w:color w:val="auto"/>
        </w:rPr>
      </w:pPr>
    </w:p>
    <w:p>
      <w:pPr>
        <w:ind w:right="340" w:firstLine="440"/>
        <w:spacing w:after="0" w:line="292"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9" w:lineRule="exact"/>
        <w:rPr>
          <w:rFonts w:ascii="Arial" w:cs="Arial" w:eastAsia="Arial" w:hAnsi="Arial"/>
          <w:sz w:val="18"/>
          <w:szCs w:val="18"/>
          <w:color w:val="auto"/>
        </w:rPr>
      </w:pPr>
    </w:p>
    <w:p>
      <w:pPr>
        <w:ind w:right="100" w:firstLine="440"/>
        <w:spacing w:after="0" w:line="271"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28" w:lineRule="exact"/>
        <w:rPr>
          <w:rFonts w:ascii="Arial" w:cs="Arial" w:eastAsia="Arial" w:hAnsi="Arial"/>
          <w:sz w:val="18"/>
          <w:szCs w:val="18"/>
          <w:color w:val="auto"/>
        </w:rPr>
      </w:pPr>
    </w:p>
    <w:p>
      <w:pPr>
        <w:ind w:right="20" w:firstLine="886"/>
        <w:spacing w:after="0" w:line="27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28" w:lineRule="exact"/>
        <w:rPr>
          <w:rFonts w:ascii="Arial" w:cs="Arial" w:eastAsia="Arial" w:hAnsi="Arial"/>
          <w:sz w:val="18"/>
          <w:szCs w:val="18"/>
          <w:color w:val="auto"/>
        </w:rPr>
      </w:pPr>
    </w:p>
    <w:p>
      <w:pPr>
        <w:ind w:right="320" w:firstLine="886"/>
        <w:spacing w:after="0" w:line="27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right="140" w:firstLine="886"/>
        <w:spacing w:after="0" w:line="271"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28" w:lineRule="exact"/>
        <w:rPr>
          <w:rFonts w:ascii="Arial" w:cs="Arial" w:eastAsia="Arial" w:hAnsi="Arial"/>
          <w:sz w:val="18"/>
          <w:szCs w:val="18"/>
          <w:color w:val="auto"/>
        </w:rPr>
      </w:pPr>
    </w:p>
    <w:p>
      <w:pPr>
        <w:ind w:right="100" w:firstLine="886"/>
        <w:spacing w:after="0" w:line="271"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jc w:val="both"/>
        <w:ind w:right="440" w:firstLine="440"/>
        <w:spacing w:after="0" w:line="271"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28" w:lineRule="exact"/>
        <w:rPr>
          <w:rFonts w:ascii="Arial" w:cs="Arial" w:eastAsia="Arial" w:hAnsi="Arial"/>
          <w:sz w:val="18"/>
          <w:szCs w:val="18"/>
          <w:color w:val="auto"/>
        </w:rPr>
      </w:pPr>
    </w:p>
    <w:p>
      <w:pPr>
        <w:ind w:right="240" w:firstLine="886"/>
        <w:spacing w:after="0" w:line="292"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right="180" w:firstLine="886"/>
        <w:spacing w:after="0" w:line="292" w:lineRule="auto"/>
        <w:tabs>
          <w:tab w:leader="none" w:pos="1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2019</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2019 (the “Report”), I, Joseph M. Zubretsky, Chief Executive Officer of the Company, certify, pursuant to 18 U.S.C. Section 1350, as adopted pursuant to Section 906 of the Sarbanes-Oxley Act of 2002, that:</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68" w:lineRule="exact"/>
        <w:rPr>
          <w:sz w:val="20"/>
          <w:szCs w:val="20"/>
          <w:color w:val="auto"/>
        </w:rPr>
      </w:pPr>
    </w:p>
    <w:p>
      <w:pPr>
        <w:ind w:right="180" w:firstLine="886"/>
        <w:spacing w:after="0" w:line="292" w:lineRule="auto"/>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2019</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560" w:firstLine="432"/>
        <w:spacing w:after="0" w:line="271"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2019 (the “Report”), I, Thomas L. Tran, Chief Financial Officer of the Company, certify, pursuant to 18 U.S.C. Section 1350, as adopted pursuant to Section 906 of the Sarbanes-Oxley Act of 2002, that:</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68" w:lineRule="exact"/>
        <w:rPr>
          <w:sz w:val="20"/>
          <w:szCs w:val="20"/>
          <w:color w:val="auto"/>
        </w:rPr>
      </w:pPr>
    </w:p>
    <w:p>
      <w:pPr>
        <w:ind w:right="180" w:firstLine="886"/>
        <w:spacing w:after="0" w:line="292" w:lineRule="auto"/>
        <w:tabs>
          <w:tab w:leader="none" w:pos="11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April 30, 2019</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lvl w:ilvl="1">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2"/>
    </w:lvl>
  </w:abstractNum>
  <w:abstractNum w:abstractNumId="23">
    <w:nsid w:val="75A2A8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2019-12-28T13:48:14Z</dcterms:created>
  <dcterms:modified xsi:type="dcterms:W3CDTF">2019-12-28T13:48:14Z</dcterms:modified>
</cp:coreProperties>
</file>