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76835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3" w:lineRule="auto"/>
        <w:tabs>
          <w:tab w:leader="none" w:pos="6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2021</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8"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134620</wp:posOffset>
            </wp:positionV>
            <wp:extent cx="188595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08" w:lineRule="exact"/>
        <w:rPr>
          <w:sz w:val="24"/>
          <w:szCs w:val="24"/>
          <w:color w:val="auto"/>
        </w:rPr>
      </w:pPr>
    </w:p>
    <w:tbl>
      <w:tblPr>
        <w:tblLayout w:type="fixed"/>
        <w:tblInd w:w="1900" w:type="dxa"/>
        <w:tblCellMar>
          <w:top w:w="0" w:type="dxa"/>
          <w:left w:w="0" w:type="dxa"/>
          <w:bottom w:w="0" w:type="dxa"/>
          <w:right w:w="0" w:type="dxa"/>
        </w:tblCellMar>
      </w:tblPr>
      <w:tr>
        <w:trPr>
          <w:trHeight w:val="215"/>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95"/>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49"/>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1"/>
                <w:szCs w:val="21"/>
                <w:color w:val="auto"/>
              </w:rPr>
            </w:pPr>
          </w:p>
        </w:tc>
      </w:tr>
      <w:tr>
        <w:trPr>
          <w:trHeight w:val="216"/>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7"/>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66040</wp:posOffset>
            </wp:positionV>
            <wp:extent cx="4423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4" w:lineRule="exact"/>
        <w:rPr>
          <w:sz w:val="24"/>
          <w:szCs w:val="24"/>
          <w:color w:val="auto"/>
        </w:rPr>
      </w:pPr>
    </w:p>
    <w:tbl>
      <w:tblPr>
        <w:tblLayout w:type="fixed"/>
        <w:tblInd w:w="95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6"/>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4"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47"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April 23, 2021, was approximately 58,400,000.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ind w:right="4500"/>
        <w:spacing w:after="0" w:line="358" w:lineRule="auto"/>
        <w:rPr>
          <w:sz w:val="20"/>
          <w:szCs w:val="20"/>
          <w:color w:val="auto"/>
        </w:rPr>
      </w:pPr>
      <w:r>
        <w:rPr>
          <w:rFonts w:ascii="Arial" w:cs="Arial" w:eastAsia="Arial" w:hAnsi="Arial"/>
          <w:sz w:val="25"/>
          <w:szCs w:val="25"/>
          <w:color w:val="828282"/>
        </w:rPr>
        <w:t>FOR THE QUARTERLY PERIOD ENDED MARCH 31, 2021 TABLE OF CONTENTS</w:t>
      </w:r>
    </w:p>
    <w:tbl>
      <w:tblPr>
        <w:tblLayout w:type="fixed"/>
        <w:tblInd w:w="0" w:type="dxa"/>
        <w:tblCellMar>
          <w:top w:w="0" w:type="dxa"/>
          <w:left w:w="0" w:type="dxa"/>
          <w:bottom w:w="0" w:type="dxa"/>
          <w:right w:w="0" w:type="dxa"/>
        </w:tblCellMar>
      </w:tblPr>
      <w:tr>
        <w:trPr>
          <w:trHeight w:val="180"/>
        </w:trPr>
        <w:tc>
          <w:tcPr>
            <w:tcW w:w="6960" w:type="dxa"/>
            <w:vAlign w:val="bottom"/>
            <w:gridSpan w:val="10"/>
          </w:tcPr>
          <w:p>
            <w:pPr>
              <w:ind w:left="20"/>
              <w:spacing w:after="0" w:line="181" w:lineRule="exact"/>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5"/>
                <w:szCs w:val="15"/>
                <w:color w:val="auto"/>
              </w:rPr>
            </w:pPr>
          </w:p>
        </w:tc>
        <w:tc>
          <w:tcPr>
            <w:tcW w:w="440" w:type="dxa"/>
            <w:vAlign w:val="bottom"/>
            <w:gridSpan w:val="4"/>
          </w:tcPr>
          <w:p>
            <w:pPr>
              <w:jc w:val="right"/>
              <w:ind w:right="40"/>
              <w:spacing w:after="0" w:line="181" w:lineRule="exact"/>
              <w:rPr>
                <w:sz w:val="20"/>
                <w:szCs w:val="20"/>
                <w:color w:val="auto"/>
              </w:rPr>
            </w:pPr>
            <w:r>
              <w:rPr>
                <w:rFonts w:ascii="Arial" w:cs="Arial" w:eastAsia="Arial" w:hAnsi="Arial"/>
                <w:sz w:val="16"/>
                <w:szCs w:val="16"/>
                <w:b w:val="1"/>
                <w:bCs w:val="1"/>
                <w:color w:val="0F7C7F"/>
                <w:w w:val="99"/>
              </w:rPr>
              <w:t>Page</w:t>
            </w:r>
          </w:p>
        </w:tc>
      </w:tr>
      <w:tr>
        <w:trPr>
          <w:trHeight w:val="285"/>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9"/>
          </w:tcPr>
          <w:p>
            <w:pPr>
              <w:spacing w:after="0"/>
              <w:rPr>
                <w:rFonts w:ascii="Arial" w:cs="Arial" w:eastAsia="Arial" w:hAnsi="Arial"/>
                <w:sz w:val="16"/>
                <w:szCs w:val="16"/>
                <w:color w:val="0F7C7F"/>
              </w:rPr>
            </w:pPr>
            <w:hyperlink w:anchor="page2">
              <w:r>
                <w:rPr>
                  <w:rFonts w:ascii="Arial" w:cs="Arial" w:eastAsia="Arial" w:hAnsi="Arial"/>
                  <w:sz w:val="16"/>
                  <w:szCs w:val="16"/>
                  <w:color w:val="0F7C7F"/>
                </w:rPr>
                <w:t>Financial Statements</w:t>
              </w:r>
            </w:hyperlink>
          </w:p>
        </w:tc>
        <w:tc>
          <w:tcPr>
            <w:tcW w:w="4240" w:type="dxa"/>
            <w:vAlign w:val="bottom"/>
            <w:gridSpan w:val="4"/>
          </w:tcPr>
          <w:p>
            <w:pPr>
              <w:jc w:val="right"/>
              <w:spacing w:after="0"/>
              <w:rPr>
                <w:rFonts w:ascii="Arial" w:cs="Arial" w:eastAsia="Arial" w:hAnsi="Arial"/>
                <w:sz w:val="16"/>
                <w:szCs w:val="16"/>
                <w:color w:val="0F7C7F"/>
              </w:rPr>
            </w:pPr>
            <w:hyperlink w:anchor="page2">
              <w:r>
                <w:rPr>
                  <w:rFonts w:ascii="Arial" w:cs="Arial" w:eastAsia="Arial" w:hAnsi="Arial"/>
                  <w:sz w:val="16"/>
                  <w:szCs w:val="16"/>
                  <w:color w:val="0F7C7F"/>
                </w:rPr>
                <w:t>3</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9"/>
          </w:tcPr>
          <w:p>
            <w:pPr>
              <w:spacing w:after="0"/>
              <w:rPr>
                <w:rFonts w:ascii="Arial" w:cs="Arial" w:eastAsia="Arial" w:hAnsi="Arial"/>
                <w:sz w:val="16"/>
                <w:szCs w:val="16"/>
                <w:color w:val="0F7C7F"/>
              </w:rPr>
            </w:pPr>
            <w:hyperlink w:anchor="page19">
              <w:r>
                <w:rPr>
                  <w:rFonts w:ascii="Arial" w:cs="Arial" w:eastAsia="Arial" w:hAnsi="Arial"/>
                  <w:sz w:val="16"/>
                  <w:szCs w:val="16"/>
                  <w:color w:val="0F7C7F"/>
                </w:rPr>
                <w:t>Management’s Discussion and Analysis of Financial Condition and Results of Operations</w:t>
              </w:r>
            </w:hyperlink>
          </w:p>
        </w:tc>
        <w:tc>
          <w:tcPr>
            <w:tcW w:w="4240" w:type="dxa"/>
            <w:vAlign w:val="bottom"/>
            <w:gridSpan w:val="4"/>
          </w:tcPr>
          <w:p>
            <w:pPr>
              <w:jc w:val="right"/>
              <w:spacing w:after="0"/>
              <w:rPr>
                <w:rFonts w:ascii="Arial" w:cs="Arial" w:eastAsia="Arial" w:hAnsi="Arial"/>
                <w:sz w:val="16"/>
                <w:szCs w:val="16"/>
                <w:color w:val="0F7C7F"/>
              </w:rPr>
            </w:pPr>
            <w:hyperlink w:anchor="page19">
              <w:r>
                <w:rPr>
                  <w:rFonts w:ascii="Arial" w:cs="Arial" w:eastAsia="Arial" w:hAnsi="Arial"/>
                  <w:sz w:val="16"/>
                  <w:szCs w:val="16"/>
                  <w:color w:val="0F7C7F"/>
                </w:rPr>
                <w:t>20</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7"/>
          </w:tcPr>
          <w:p>
            <w:pPr>
              <w:spacing w:after="0"/>
              <w:rPr>
                <w:rFonts w:ascii="Arial" w:cs="Arial" w:eastAsia="Arial" w:hAnsi="Arial"/>
                <w:sz w:val="16"/>
                <w:szCs w:val="16"/>
                <w:color w:val="0F7C7F"/>
              </w:rPr>
            </w:pPr>
            <w:hyperlink w:anchor="page33">
              <w:r>
                <w:rPr>
                  <w:rFonts w:ascii="Arial" w:cs="Arial" w:eastAsia="Arial" w:hAnsi="Arial"/>
                  <w:sz w:val="16"/>
                  <w:szCs w:val="16"/>
                  <w:color w:val="0F7C7F"/>
                </w:rPr>
                <w:t>Quantitative and Qualitative Disclosures About Market Risk</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3">
              <w:r>
                <w:rPr>
                  <w:rFonts w:ascii="Arial" w:cs="Arial" w:eastAsia="Arial" w:hAnsi="Arial"/>
                  <w:sz w:val="16"/>
                  <w:szCs w:val="16"/>
                  <w:color w:val="0F7C7F"/>
                </w:rPr>
                <w:t>33</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7"/>
          </w:tcPr>
          <w:p>
            <w:pPr>
              <w:spacing w:after="0"/>
              <w:rPr>
                <w:rFonts w:ascii="Arial" w:cs="Arial" w:eastAsia="Arial" w:hAnsi="Arial"/>
                <w:sz w:val="16"/>
                <w:szCs w:val="16"/>
                <w:color w:val="0F7C7F"/>
              </w:rPr>
            </w:pPr>
            <w:hyperlink w:anchor="page33">
              <w:r>
                <w:rPr>
                  <w:rFonts w:ascii="Arial" w:cs="Arial" w:eastAsia="Arial" w:hAnsi="Arial"/>
                  <w:sz w:val="16"/>
                  <w:szCs w:val="16"/>
                  <w:color w:val="0F7C7F"/>
                </w:rPr>
                <w:t>Controls and Procedures</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3">
              <w:r>
                <w:rPr>
                  <w:rFonts w:ascii="Arial" w:cs="Arial" w:eastAsia="Arial" w:hAnsi="Arial"/>
                  <w:sz w:val="16"/>
                  <w:szCs w:val="16"/>
                  <w:color w:val="0F7C7F"/>
                </w:rPr>
                <w:t>34</w:t>
              </w:r>
            </w:hyperlink>
          </w:p>
        </w:tc>
        <w:tc>
          <w:tcPr>
            <w:tcW w:w="40" w:type="dxa"/>
            <w:vAlign w:val="bottom"/>
          </w:tcPr>
          <w:p>
            <w:pPr>
              <w:spacing w:after="0"/>
              <w:rPr>
                <w:sz w:val="21"/>
                <w:szCs w:val="21"/>
                <w:color w:val="auto"/>
              </w:rPr>
            </w:pPr>
          </w:p>
        </w:tc>
      </w:tr>
      <w:tr>
        <w:trPr>
          <w:trHeight w:val="285"/>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44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4"/>
          </w:tcPr>
          <w:p>
            <w:pPr>
              <w:spacing w:after="0"/>
              <w:rPr>
                <w:rFonts w:ascii="Arial" w:cs="Arial" w:eastAsia="Arial" w:hAnsi="Arial"/>
                <w:sz w:val="16"/>
                <w:szCs w:val="16"/>
                <w:color w:val="0F7C7F"/>
                <w:w w:val="99"/>
              </w:rPr>
            </w:pPr>
            <w:hyperlink w:anchor="page34">
              <w:r>
                <w:rPr>
                  <w:rFonts w:ascii="Arial" w:cs="Arial" w:eastAsia="Arial" w:hAnsi="Arial"/>
                  <w:sz w:val="16"/>
                  <w:szCs w:val="16"/>
                  <w:color w:val="0F7C7F"/>
                  <w:w w:val="99"/>
                </w:rPr>
                <w:t>Legal Proceedings</w:t>
              </w:r>
            </w:hyperlink>
          </w:p>
        </w:tc>
        <w:tc>
          <w:tcPr>
            <w:tcW w:w="5020" w:type="dxa"/>
            <w:vAlign w:val="bottom"/>
            <w:gridSpan w:val="5"/>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34</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rFonts w:ascii="Arial" w:cs="Arial" w:eastAsia="Arial" w:hAnsi="Arial"/>
                <w:sz w:val="16"/>
                <w:szCs w:val="16"/>
                <w:color w:val="0F7C7F"/>
                <w:w w:val="98"/>
              </w:rPr>
            </w:pPr>
            <w:hyperlink w:anchor="page34">
              <w:r>
                <w:rPr>
                  <w:rFonts w:ascii="Arial" w:cs="Arial" w:eastAsia="Arial" w:hAnsi="Arial"/>
                  <w:sz w:val="16"/>
                  <w:szCs w:val="16"/>
                  <w:color w:val="0F7C7F"/>
                  <w:w w:val="98"/>
                </w:rPr>
                <w:t>Risk Factors</w:t>
              </w:r>
            </w:hyperlink>
          </w:p>
        </w:tc>
        <w:tc>
          <w:tcPr>
            <w:tcW w:w="440" w:type="dxa"/>
            <w:vAlign w:val="bottom"/>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34</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8"/>
          </w:tcPr>
          <w:p>
            <w:pPr>
              <w:spacing w:after="0"/>
              <w:rPr>
                <w:rFonts w:ascii="Arial" w:cs="Arial" w:eastAsia="Arial" w:hAnsi="Arial"/>
                <w:sz w:val="16"/>
                <w:szCs w:val="16"/>
                <w:color w:val="0F7C7F"/>
              </w:rPr>
            </w:pPr>
            <w:hyperlink w:anchor="page34">
              <w:r>
                <w:rPr>
                  <w:rFonts w:ascii="Arial" w:cs="Arial" w:eastAsia="Arial" w:hAnsi="Arial"/>
                  <w:sz w:val="16"/>
                  <w:szCs w:val="16"/>
                  <w:color w:val="0F7C7F"/>
                </w:rPr>
                <w:t>Unregistered Sales of Equity Securities and Use of Proceeds</w:t>
              </w:r>
            </w:hyperlink>
          </w:p>
        </w:tc>
        <w:tc>
          <w:tcPr>
            <w:tcW w:w="2000" w:type="dxa"/>
            <w:vAlign w:val="bottom"/>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34</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8"/>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9"/>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6360" w:type="dxa"/>
            <w:vAlign w:val="bottom"/>
            <w:gridSpan w:val="9"/>
          </w:tcPr>
          <w:p>
            <w:pPr>
              <w:spacing w:after="0"/>
              <w:rPr>
                <w:sz w:val="20"/>
                <w:szCs w:val="20"/>
                <w:color w:val="auto"/>
              </w:rPr>
            </w:pPr>
            <w:r>
              <w:rPr>
                <w:rFonts w:ascii="Arial" w:cs="Arial" w:eastAsia="Arial" w:hAnsi="Arial"/>
                <w:sz w:val="16"/>
                <w:szCs w:val="16"/>
                <w:color w:val="auto"/>
              </w:rPr>
              <w:t>Other Information</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rFonts w:ascii="Arial" w:cs="Arial" w:eastAsia="Arial" w:hAnsi="Arial"/>
                <w:sz w:val="16"/>
                <w:szCs w:val="16"/>
                <w:color w:val="0F7C7F"/>
                <w:w w:val="96"/>
              </w:rPr>
            </w:pPr>
            <w:hyperlink w:anchor="page34">
              <w:r>
                <w:rPr>
                  <w:rFonts w:ascii="Arial" w:cs="Arial" w:eastAsia="Arial" w:hAnsi="Arial"/>
                  <w:sz w:val="16"/>
                  <w:szCs w:val="16"/>
                  <w:color w:val="0F7C7F"/>
                  <w:w w:val="96"/>
                </w:rPr>
                <w:t>Exhibits</w:t>
              </w:r>
            </w:hyperlink>
          </w:p>
        </w:tc>
        <w:tc>
          <w:tcPr>
            <w:tcW w:w="5800" w:type="dxa"/>
            <w:vAlign w:val="bottom"/>
            <w:gridSpan w:val="8"/>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35</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9"/>
          </w:tcPr>
          <w:p>
            <w:pPr>
              <w:spacing w:after="0"/>
              <w:rPr>
                <w:rFonts w:ascii="Arial" w:cs="Arial" w:eastAsia="Arial" w:hAnsi="Arial"/>
                <w:sz w:val="16"/>
                <w:szCs w:val="16"/>
                <w:color w:val="0F7C7F"/>
              </w:rPr>
            </w:pPr>
            <w:hyperlink w:anchor="page35">
              <w:r>
                <w:rPr>
                  <w:rFonts w:ascii="Arial" w:cs="Arial" w:eastAsia="Arial" w:hAnsi="Arial"/>
                  <w:sz w:val="16"/>
                  <w:szCs w:val="16"/>
                  <w:color w:val="0F7C7F"/>
                </w:rPr>
                <w:t>Signatures</w:t>
              </w:r>
            </w:hyperlink>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36</w:t>
              </w:r>
            </w:hyperlink>
          </w:p>
        </w:tc>
        <w:tc>
          <w:tcPr>
            <w:tcW w:w="40" w:type="dxa"/>
            <w:vAlign w:val="bottom"/>
          </w:tcPr>
          <w:p>
            <w:pPr>
              <w:spacing w:after="0"/>
              <w:rPr>
                <w:sz w:val="21"/>
                <w:szCs w:val="21"/>
                <w:color w:val="auto"/>
              </w:rPr>
            </w:pPr>
          </w:p>
        </w:tc>
      </w:tr>
      <w:tr>
        <w:trPr>
          <w:trHeight w:val="1580"/>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80" w:type="dxa"/>
            <w:vAlign w:val="bottom"/>
            <w:tcBorders>
              <w:bottom w:val="single" w:sz="8" w:color="auto"/>
            </w:tcBorders>
            <w:gridSpan w:val="4"/>
          </w:tcPr>
          <w:p>
            <w:pPr>
              <w:jc w:val="center"/>
              <w:ind w:left="423"/>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83"/>
        </w:trPr>
        <w:tc>
          <w:tcPr>
            <w:tcW w:w="8060" w:type="dxa"/>
            <w:vAlign w:val="bottom"/>
          </w:tcPr>
          <w:p>
            <w:pPr>
              <w:spacing w:after="0"/>
              <w:rPr>
                <w:sz w:val="15"/>
                <w:szCs w:val="15"/>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175"/>
        </w:trPr>
        <w:tc>
          <w:tcPr>
            <w:tcW w:w="8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center"/>
              <w:ind w:right="421"/>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5"/>
                <w:szCs w:val="15"/>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4,304</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4,549</w:t>
            </w:r>
          </w:p>
        </w:tc>
      </w:tr>
      <w:tr>
        <w:trPr>
          <w:trHeight w:val="193"/>
        </w:trPr>
        <w:tc>
          <w:tcPr>
            <w:tcW w:w="8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3,716</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Health insurer fees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4,275</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4"/>
        </w:trPr>
        <w:tc>
          <w:tcPr>
            <w:tcW w:w="8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r>
      <w:tr>
        <w:trPr>
          <w:trHeight w:val="183"/>
        </w:trPr>
        <w:tc>
          <w:tcPr>
            <w:tcW w:w="8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r>
      <w:tr>
        <w:trPr>
          <w:trHeight w:val="175"/>
        </w:trPr>
        <w:tc>
          <w:tcPr>
            <w:tcW w:w="8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5"/>
                <w:szCs w:val="15"/>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8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55"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bl>
    <w:p>
      <w:pPr>
        <w:spacing w:after="0" w:line="28"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4,431</w:t>
            </w:r>
          </w:p>
        </w:tc>
        <w:tc>
          <w:tcPr>
            <w:tcW w:w="100" w:type="dxa"/>
            <w:vAlign w:val="bottom"/>
          </w:tcPr>
          <w:p>
            <w:pPr>
              <w:spacing w:after="0"/>
              <w:rPr>
                <w:sz w:val="24"/>
                <w:szCs w:val="24"/>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4,154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8,308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7,876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9"/>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18"/>
                <w:szCs w:val="18"/>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9,532</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151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82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Common stock, $0.001 par value, 150 million shares authorized; outstanding: 58 million shares at March 31,</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2021, and 59 million shares at December 31, 2020</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62"/>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Balance at March 31, 2021</w:t>
            </w: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320" w:type="dxa"/>
            <w:vAlign w:val="bottom"/>
            <w:gridSpan w:val="5"/>
          </w:tcPr>
          <w:p>
            <w:pPr>
              <w:ind w:lef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1,968</w:t>
            </w:r>
          </w:p>
        </w:tc>
        <w:tc>
          <w:tcPr>
            <w:tcW w:w="2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82"/>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1,781</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Termination of warrants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1,522</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r>
      <w:tr>
        <w:trPr>
          <w:trHeight w:val="182"/>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center"/>
              <w:ind w:right="4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r>
      <w:tr>
        <w:trPr>
          <w:trHeight w:val="176"/>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center"/>
              <w:ind w:right="422"/>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5"/>
                <w:szCs w:val="15"/>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0"/>
        </w:trPr>
        <w:tc>
          <w:tcPr>
            <w:tcW w:w="8020" w:type="dxa"/>
            <w:vAlign w:val="bottom"/>
          </w:tcPr>
          <w:p>
            <w:pPr>
              <w:ind w:left="60"/>
              <w:spacing w:after="0"/>
              <w:rPr>
                <w:sz w:val="20"/>
                <w:szCs w:val="20"/>
                <w:color w:val="auto"/>
              </w:rPr>
            </w:pPr>
            <w:r>
              <w:rPr>
                <w:rFonts w:ascii="Arial" w:cs="Arial" w:eastAsia="Arial" w:hAnsi="Arial"/>
                <w:sz w:val="16"/>
                <w:szCs w:val="16"/>
                <w:color w:val="auto"/>
              </w:rPr>
              <w:t>Net increase (decrease) in cash, cash equivalents, and restricted cash and cash equivalents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2,508</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4,497</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2,423</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MARCH 31, 2021</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In the first quarter of 2021, we realigned our reportable operating segments to reflect recent changes in our internal operating and reporting structure, which is now organized by government program. These reportable segments consist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Medicaid; 2) Medicare; 3) Marketplace; and 4) Other. For further information, refer to Note 10, “Segments.”</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March 31, 2021, we served approximately 4.6 million members eligible for Medicaid, Medicare, and other government-sponsored healthcare programs for low-income families and individuals, including Marketplace members, most of whom receive government premium subsidies.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April 22, 2021, we announced a definitive agreement to acquire Cigna Corporation’s Texas</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w:t>
      </w:r>
    </w:p>
    <w:p>
      <w:pPr>
        <w:spacing w:after="0" w:line="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$1.0 billion. The purchase price for the transaction is approximately $60 million, which we intend to fund with cash on hand. The transaction is subject to receipt of applicable federal and state regulatory approvals and satisfaction of other customary closing conditions. We currently expect the transaction to close in the second half of 2021.</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in early 2022, and will offer health care coverage to Medicaid beneficiaries through the state of Ohio’s Covered Family and Children, Expansion, and ABD programs.</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In September 2020, we entered into a definitive agreement to acquire substantially all of the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Affinity Health Plan, Inc., a Medicaid health plan in New York. The net purchase price for the transaction is approximately $380 million, subject to various adjustments at closing, which we intend to fund with cash on hand. We currently expect the transaction to close in the third quarter of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first quarter of 2021 are not necessarily indicative of the results for the entire year ending December 31, 2021.</w:t>
      </w:r>
    </w:p>
    <w:p>
      <w:pPr>
        <w:spacing w:after="0" w:line="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2020. Accordingly, certain disclosures that would substantially duplicate the disclosures contained in our December 31, 2020, audited consolidated financial statements have been omitted. These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unaudited consolidated interim financial statements should be read in conjunction with our audited consolidated financial statements for the fiscal year ended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Consistent with the change in reportable segments described above, certain prior year disclosures in Note 7, “Medical Claims and Benefits Payable,” and Note 10, “Segments,” have been recast to conform to the current year presentation.</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Certain immaterial amounts presented in the accompanying consolidated statement of cash flows for the three months ended March 31, 2020, have been reclassified to conform to the current year presentation.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Contractual provisions that may limit revenue recognition based upon the costs incurred or the profits realized under a specific contract;</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Settlements under risk- or savings-sharing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Purchase price allocations relating to business combinations, including the determination of contingent consideration;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reconciles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360"/>
              <w:spacing w:after="0" w:line="161"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520"/>
              <w:spacing w:after="0" w:line="174" w:lineRule="exact"/>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Receivables consist primarily of premium amounts due from government agencies, which may be subject to potential retroactive adjustments. Because substantially all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102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969</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178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255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1,672</w:t>
            </w: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components of premium revenue are subject to accounting estimates and are described in further detail below, and in our 2020 Annual Report on Form 10-K, Note 2, “Significant Accounting Policies,” under “Contractual Provisions That May Adjust or Limit Revenue or Profit,” and “Quality Incentives.”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Many of our contracts contain provisions that may adjust or limit revenue or profit, which include those provisions with significant interim period balances described in further detail below. We recognize premium revenue as it is earned under such provisions. Liabilities accrued for premiums to be returned under such provisions are reported in the aggregate as “Amounts due government agencies,” in the accompanying consolidated balance sheets. Categorized by segment, such amounts due government agencies included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513</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62</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143</w:t>
            </w:r>
          </w:p>
        </w:tc>
      </w:tr>
      <w:tr>
        <w:trPr>
          <w:trHeight w:val="238"/>
        </w:trPr>
        <w:tc>
          <w:tcPr>
            <w:tcW w:w="8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amounts due government agencies</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w:t>
      </w:r>
    </w:p>
    <w:p>
      <w:pPr>
        <w:spacing w:after="0" w:line="9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Minimum MLR and Retroactive Premium Adjustments. </w:t>
      </w:r>
      <w:r>
        <w:rPr>
          <w:rFonts w:ascii="Arial" w:cs="Arial" w:eastAsia="Arial" w:hAnsi="Arial"/>
          <w:sz w:val="18"/>
          <w:szCs w:val="18"/>
          <w:color w:val="auto"/>
        </w:rPr>
        <w:t>State Medicaid programs periodically adjust premium rates on a retroactive basis.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we adjust our premium revenue in the period in which we determine that the adjustment is probable and reasonably estimable, and is based on our best estimate of the ultimate premium we expect to realize for the period being adjusted.</w:t>
      </w:r>
    </w:p>
    <w:p>
      <w:pPr>
        <w:spacing w:after="0" w:line="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Beginning in 2020, through March 31, 2021,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the states’ fiscal years in 2019. Beginning in the second quarter of 2020, we have recognized retroactive risk corridors that we believe to be probable, and where the ultimate premium amount is reasonably estimable. In the first quarter of 2021, we recognized approximately $110 million related to such risk corridors, primarily in the Medicaid segment.</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risk corridors, and other states could implement some form of retroactive risk corridors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March 31, 2021, Marketplace risk adjustment payables amounted to $520 million and related receivables amounted to $20 million, for a net payable of $500 million, of which $211 million related to 2021, and $289 million related primarily to 2020. As of December 31, 2020, Marketplace risk adjustment payables amounted to $326 million and related receivables amounted to $20 million, for a net payable of $306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the local governments of the states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color w:val="auto"/>
        </w:rPr>
        <w:t>Various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20" w:type="dxa"/>
            <w:vAlign w:val="bottom"/>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23"/>
        </w:trPr>
        <w:tc>
          <w:tcPr>
            <w:tcW w:w="7920" w:type="dxa"/>
            <w:vAlign w:val="bottom"/>
          </w:tcPr>
          <w:p>
            <w:pPr>
              <w:spacing w:after="0"/>
              <w:rPr>
                <w:sz w:val="19"/>
                <w:szCs w:val="19"/>
                <w:color w:val="auto"/>
              </w:rPr>
            </w:pPr>
          </w:p>
        </w:tc>
        <w:tc>
          <w:tcPr>
            <w:tcW w:w="332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rPr>
              <w:t>(In millions, except net income per share)</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7920" w:type="dxa"/>
            <w:vAlign w:val="bottom"/>
          </w:tcPr>
          <w:p>
            <w:pPr>
              <w:ind w:left="140"/>
              <w:spacing w:after="0"/>
              <w:rPr>
                <w:sz w:val="20"/>
                <w:szCs w:val="20"/>
                <w:color w:val="auto"/>
              </w:rPr>
            </w:pPr>
            <w:r>
              <w:rPr>
                <w:rFonts w:ascii="Arial" w:cs="Arial" w:eastAsia="Arial" w:hAnsi="Arial"/>
                <w:sz w:val="16"/>
                <w:szCs w:val="16"/>
                <w:color w:val="auto"/>
              </w:rPr>
              <w:t>Stock purchases</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9"/>
        </w:trPr>
        <w:tc>
          <w:tcPr>
            <w:tcW w:w="79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79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16"/>
        </w:trPr>
        <w:tc>
          <w:tcPr>
            <w:tcW w:w="792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5"/>
        </w:trPr>
        <w:tc>
          <w:tcPr>
            <w:tcW w:w="7920" w:type="dxa"/>
            <w:vAlign w:val="bottom"/>
            <w:tcBorders>
              <w:bottom w:val="single" w:sz="8" w:color="CCEEFF"/>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4. Business Combinations</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31, 2020, we closed on our acquisition of 100% of the outstanding equity interests of the Magellan Complete Care line of business of Magellan Health, Inc., for total purchase consideration of approximately $1,037 million. In the first quarter of 2021, we recorded various measurement period adjustments, including an increase of $6 million to “Receivables,” a decrease of $25 million to “Medical claims and benefits payable,” and an increase of $33 million to “Amounts due government agencies.” In the aggregate, we recorded a net decrease of $6 million to goodwill for these measurement period adjustments and various purchase price adjustments.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“Segments” for further information regarding the allocation of goodwill and intangible assets, net, by reportable segment.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color w:val="828282"/>
        </w:rPr>
        <w:t>5. Fair Value Measurements</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generally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2020 Annual Report on Form 10-K, Note 5, “Fair Value Measurements.”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 liabilities</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2020,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7"/>
                <w:szCs w:val="17"/>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first quarter of 2021, we recognized a loss of $8 million for the increase in the fair value of the contingent consideration liabilities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March 31, 2021, our Level 3 financial instruments recorded at fair value on a recurring basis included contingent consideration liabilities of $ 31 million, in connection with our 2020 acquisition of certain assets of Passport Health Plan, Inc., a Medicaid health plan in Kentucky. In the first quarter of 2021, the contingent purchase consideration relating to 2021 member enrollment was finalized and half the consideration due, or $ 23 million, was paid to the seller. We expect to pay the remaining balance of the liabilities, reported in “Accounts payable, accrued liabilities and other” in the accompanying consolidated balance sheets, later in 2021 and in the first quarter of 2022. The portion of the contingent purchase consideration paid in the first quarter 2021 has been presented primarily in “Financing activities” in the accompanying consolidated statements of cash flows, with the balance reflected in “Operating activities.”</w:t>
      </w:r>
    </w:p>
    <w:p>
      <w:pPr>
        <w:spacing w:after="0" w:line="200" w:lineRule="exact"/>
        <w:rPr>
          <w:sz w:val="20"/>
          <w:szCs w:val="20"/>
          <w:color w:val="auto"/>
        </w:rPr>
      </w:pPr>
    </w:p>
    <w:p>
      <w:pPr>
        <w:spacing w:after="0" w:line="344"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2021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64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12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5.375% Notes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2"/>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2,128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828282"/>
        </w:rPr>
        <w:t>6.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consider all our investments classified as current assets to be available-for-sale. The following tables summarize our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1,938</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80"/>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1,875</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March 31, 2021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were insignificant in the three months ended March 31, 2021, and amounted to $5 million in the three months ended March 31, 2020. Gross realized investment losses were insignificant in the three months ended March 31, 2021, and 2020.</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determined that unrealized losses at March 31, 2021, and December 31, 2020,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those available-for-sale investments that have been in a continuous loss position for less than 12 months. No investments have been in a continuous loss position for 12 months or more as of March 31, 2021, and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8"/>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$138 million at March 31, 2021, of which $122 million will mature in one year or less, and $16 million will mature in after one through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7.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1,647</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157</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528</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2,839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2,696</w:t>
            </w: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$222 million and $235 million as of March 31, 2021, and December 31, 2020, respectively.</w:t>
      </w:r>
    </w:p>
    <w:p>
      <w:pPr>
        <w:spacing w:after="0" w:line="7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following table presents the components of the change in our medical claims and benefits payable for the periods indicated, with the prior period recast to conform to the current year presentation. The amounts presented for “Components of medical care costs related to: Prior years” represent the amounts by which our original estimates of medical claims and benefits payable at the beginning of the year were more than the actual liabilities, based on information (principally the payment of claims) developed since those liabilities were first reported.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5,474</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Change in acquired balances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2021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 2020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2020, and 2019 developed favorably by approximately $194 million and $101 million as of March 31, 2021, and 2020, respectively.</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favorable prior period development recognized in the first quarter of 2021 was primarily due to lower than expected utilization of medical services by our Medicaid members and improved operating performance. Consequently, the ultimate costs recognized in 2021, as claims payments were processed, were lower than our original estimates in 2020.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8. Debt</w:t>
      </w:r>
    </w:p>
    <w:p>
      <w:pPr>
        <w:spacing w:after="0" w:line="11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All long-term debt is held at the parent, which is reported in the Other segment. The following table summarizes our outstanding debt obligations, all of which are non-current as of the dates reported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4.375% Notes due 2028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5.375% Notes due 2022</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debt issuance costs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2,127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are party to a credit agreement (“Credit Agreement”) which includes a revolving credit facility (“Credit Facility”) of $ 1.0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March 31, 2021, we were in compliance with all financial and non-financial covenants under the Credit Agreement and other long-term debt. As of March 31, 2021, no amounts were outstanding under the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Senior Notes</w:t>
      </w:r>
    </w:p>
    <w:p>
      <w:pPr>
        <w:spacing w:after="0" w:line="139"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high-yield senior notes are described below. Each of these notes are senior unsecured obligations of Molina Healthcare, and rank equally in right of payment with all existing and future senior debt, and senior to all existing and future subordinated debt of Molina Healthcare. In addition, each of the notes contain customary non-financial covenants and change of control provisions.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indentures governing the high-yield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We had $700 million aggregate principal amount of senior notes (the “5.375% Notes”) outstanding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are due November 15, 2022, unless earlier redeemed. Interest, at a rate of 5.375% per annum, is payable semiannually in arrears on May 15 and November 15.</w:t>
      </w:r>
    </w:p>
    <w:p>
      <w:pPr>
        <w:spacing w:after="0" w:line="6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outstanding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are due November 15, 2030, unless earlier redeemed. Interest, at a rate of 3.875% per annum, is payable semiannually in arrears on May 15 and November 15 of each year, commencing on May 15, 2021.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2020, our board of directors authorized the purchase of up to $500 million, in the aggregate, of our 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577,000 shares for $122 million in January and February 2021 (average cost of $211.65). In the first quarter of 2021, we also paid $6 million to settle shares purchased in late December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color w:val="828282"/>
        </w:rPr>
        <w:t>10. Segments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 4) Other.</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all tables presented below, the prior period disclosures have been recast to conform to the current period segment presentation.</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23"/>
        </w:trPr>
        <w:tc>
          <w:tcPr>
            <w:tcW w:w="8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9"/>
                <w:szCs w:val="1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3,517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060" w:type="dxa"/>
            <w:vAlign w:val="bottom"/>
          </w:tcPr>
          <w:p>
            <w:pPr>
              <w:ind w:left="48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6,522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4,549</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following table presents goodwill and intangibles assets, net by segment. For the Magellan Complete Care acquisition completed on December 31, 2020, the total purchase price was preliminarily allocated to tangible and intangible assets acquired, and liabilities assumed, based on their fair values as of the acquisition date. We expect to complete the final determination of the purchase price allocation no later than December 31, 2021, which may result in adjustments to the related goodwill and intangible assets,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60" w:type="dxa"/>
            <w:vAlign w:val="bottom"/>
          </w:tcPr>
          <w:p>
            <w:pPr>
              <w:spacing w:after="0"/>
              <w:rPr>
                <w:sz w:val="16"/>
                <w:szCs w:val="16"/>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3"/>
        </w:trPr>
        <w:tc>
          <w:tcPr>
            <w:tcW w:w="8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140" w:type="dxa"/>
            <w:vAlign w:val="bottom"/>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assets, net:</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223"/>
        </w:trPr>
        <w:tc>
          <w:tcPr>
            <w:tcW w:w="8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9"/>
                <w:szCs w:val="1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6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588</w:t>
            </w:r>
          </w:p>
        </w:tc>
      </w:tr>
      <w:tr>
        <w:trPr>
          <w:trHeight w:val="219"/>
        </w:trPr>
        <w:tc>
          <w:tcPr>
            <w:tcW w:w="80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80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investment income, and other revenue.</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11.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continue to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and the repayment of previously collected revenues.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brought an action in Franklin County Circuit Court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Kentucky Finance and Administration Cabinet, the Kentucky Cabinet for Health and Family Services, and all of the winning bidder health plans, including Molina Healthcare of Kentucky, Inc., Civil Action No. 20-CI-00719. On October 23, 2020, the court issued a temporary injunction directing that open enrollment for 2021 proceed with six health plans, including both Molina Healthcare and Anthem. The new Medicaid contracts commenced on January 1, 2021. On March 2, 2021, the court heard oral argument on multiple motions for partial summary judgment filed by all parties in the consolidated action. On April 28, 2021, the court issued its Opinion and Order. Under the Order, the court granted Molina’s motion for partial summary judgment, upheld the validity of the RFP award to Molina, and also upheld the validity of Molina’s acquisition of the assets of Passport in September 2020. Due to various perceived scoring irregularities, however, the court ordered a new RFP, with the status quo of six health plans to continue in the interim. This matter remains subject to potential additional legal proceedings, and no assurances can be given regarding the ultimate outcome. Under the court’s April 28, 2021 Order, Molina Healthcare of Kentucky will continue to operate for the foreseeable future under its current Medicaid contract and provide care to Kentucky Medicaid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2020 Annual Report on Form 10-K, including without limitation the following:</w:t>
      </w:r>
    </w:p>
    <w:p>
      <w:pPr>
        <w:spacing w:after="0" w:line="8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w:t>
      </w:r>
    </w:p>
    <w:p>
      <w:pPr>
        <w:spacing w:after="0" w:line="27" w:lineRule="exact"/>
        <w:rPr>
          <w:rFonts w:ascii="Arial" w:cs="Arial" w:eastAsia="Arial" w:hAnsi="Arial"/>
          <w:sz w:val="18"/>
          <w:szCs w:val="18"/>
          <w:i w:val="1"/>
          <w:iCs w:val="1"/>
          <w:color w:val="auto"/>
        </w:rPr>
      </w:pPr>
    </w:p>
    <w:p>
      <w:pPr>
        <w:ind w:left="340" w:right="420" w:hanging="332"/>
        <w:spacing w:after="0" w:line="265" w:lineRule="auto"/>
        <w:tabs>
          <w:tab w:leader="none" w:pos="33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numerous political, judicial, and market-based uncertainties associated with the Affordable Care Act (the “ACA”), including the ultimate outcome of the California et al. v Texas et al. matter currently pending for decision before the United States Supreme Court;</w:t>
      </w: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California and Texas;</w:t>
      </w: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completed acquisitions of Magellan Complete Care and Passport, and announced acquisitions of Affinity and of the Medicaid assets of Cigna in Texas;</w:t>
      </w: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61"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340" w:right="40" w:hanging="332"/>
        <w:spacing w:after="0" w:line="26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3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Medicare-Medicaid Plan (“MMP”) programs in California, Illinois, Michigan, Ohio, South Carolina, and Texas;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32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and the return of our capital;</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the Credit Agreement or the indentures governing our outstanding notes;</w:t>
      </w:r>
    </w:p>
    <w:p>
      <w:pPr>
        <w:spacing w:after="0" w:line="9" w:lineRule="exact"/>
        <w:rPr>
          <w:rFonts w:ascii="Arial" w:cs="Arial" w:eastAsia="Arial" w:hAnsi="Arial"/>
          <w:sz w:val="18"/>
          <w:szCs w:val="18"/>
          <w:i w:val="1"/>
          <w:iCs w:val="1"/>
          <w:color w:val="auto"/>
        </w:rPr>
      </w:pPr>
    </w:p>
    <w:p>
      <w:pPr>
        <w:ind w:left="340" w:right="62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Readers should refer to the section entitled “Risk Factors” in our 2020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Through our locally operated health plans, we served approximately 4.6 million members as of March 31, 2021.</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FIRST QUARTER 2021 HIGHLIGHTS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per diluted share of $3.89 for the first quarter of 2021, with net income of $228 million, which included the following:</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Membership increase of 1.2 million, or 35%, compared with March 31, 2020.</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Premium revenue of $6.3 billion, which increased 47% compared with the first quarter of 2020, reflecting increased membership consistent with our expectations in Medicaid and Medicare, and exceeding our expectations in Marketplace;</w:t>
      </w:r>
    </w:p>
    <w:p>
      <w:pPr>
        <w:ind w:left="660" w:right="1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medical care ratio (“MCR”) of 86.8%, which increased compared with 86.3% for the first quarter of 2020, but demonstrated strong fundamentals of cost management, particularly in light of the various pressure points caused by the COVID-19 pandemic, and was consistent with our expectations;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7.3%, which increased compared with 7.0% in the first quarter of 2020, but was consistent with our expectations;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After-tax margin of 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note the following factors impacting first quarter of 2021 financial results:</w:t>
      </w:r>
    </w:p>
    <w:p>
      <w:pPr>
        <w:spacing w:after="0" w:line="117" w:lineRule="exact"/>
        <w:rPr>
          <w:sz w:val="20"/>
          <w:szCs w:val="20"/>
          <w:color w:val="auto"/>
        </w:rPr>
      </w:pPr>
    </w:p>
    <w:p>
      <w:pPr>
        <w:ind w:left="660" w:right="2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effect of COVID had a negligible impact on the first quarter of 2021, as the COVID-related utilization curtailment was offset by the states’ COVID-related risk corridors and direct COVID medical costs;</w:t>
      </w:r>
    </w:p>
    <w:p>
      <w:pPr>
        <w:ind w:left="660" w:right="2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the net effect of COVID was in-line with our expectations and net negligible to the quarter in total, the impacts were varied by segment; and</w:t>
      </w:r>
    </w:p>
    <w:p>
      <w:pPr>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experienced higher than expected membership increases in Marketplace, due to strong open enrollment. This improvement resulted from several factors, including strong product design and competitive pricing, better than expected natural attrition rates, and the extended open enrollment period, as described in further detail below in “Trends and Uncertainties.”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FINANCIAL SUMMARY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r>
      <w:tr>
        <w:trPr>
          <w:trHeight w:val="250"/>
        </w:trPr>
        <w:tc>
          <w:tcPr>
            <w:tcW w:w="7840" w:type="dxa"/>
            <w:vAlign w:val="bottom"/>
          </w:tcPr>
          <w:p>
            <w:pPr>
              <w:spacing w:after="0"/>
              <w:rPr>
                <w:sz w:val="21"/>
                <w:szCs w:val="21"/>
                <w:color w:val="auto"/>
              </w:rPr>
            </w:pPr>
          </w:p>
        </w:tc>
        <w:tc>
          <w:tcPr>
            <w:tcW w:w="3400" w:type="dxa"/>
            <w:vAlign w:val="bottom"/>
            <w:gridSpan w:val="5"/>
          </w:tcPr>
          <w:p>
            <w:pPr>
              <w:jc w:val="right"/>
              <w:ind w:right="279"/>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6,306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4,304</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5,474</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3,716</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588</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86.8 %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86.3 %</w:t>
            </w:r>
          </w:p>
        </w:tc>
      </w:tr>
      <w:tr>
        <w:trPr>
          <w:trHeight w:val="216"/>
        </w:trPr>
        <w:tc>
          <w:tcPr>
            <w:tcW w:w="7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Health insurer fees reimbursed</w:t>
            </w:r>
          </w:p>
        </w:tc>
        <w:tc>
          <w:tcPr>
            <w:tcW w:w="10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w:t>
            </w:r>
          </w:p>
        </w:tc>
      </w:tr>
      <w:tr>
        <w:trPr>
          <w:trHeight w:val="219"/>
        </w:trPr>
        <w:tc>
          <w:tcPr>
            <w:tcW w:w="7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317</w:t>
            </w:r>
          </w:p>
        </w:tc>
      </w:tr>
      <w:tr>
        <w:trPr>
          <w:trHeight w:val="219"/>
        </w:trPr>
        <w:tc>
          <w:tcPr>
            <w:tcW w:w="78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7.3 %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7.0 %</w:t>
            </w:r>
          </w:p>
        </w:tc>
      </w:tr>
      <w:tr>
        <w:trPr>
          <w:trHeight w:val="216"/>
        </w:trPr>
        <w:tc>
          <w:tcPr>
            <w:tcW w:w="7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expenses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Health insurer fees</w:t>
            </w:r>
          </w:p>
        </w:tc>
        <w:tc>
          <w:tcPr>
            <w:tcW w:w="10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274</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253</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r>
      <w:tr>
        <w:trPr>
          <w:trHeight w:val="269"/>
        </w:trPr>
        <w:tc>
          <w:tcPr>
            <w:tcW w:w="784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3.9 %</w:t>
            </w:r>
          </w:p>
        </w:tc>
      </w:tr>
    </w:tbl>
    <w:p>
      <w:pPr>
        <w:spacing w:after="0"/>
        <w:rPr>
          <w:sz w:val="20"/>
          <w:szCs w:val="20"/>
          <w:color w:val="auto"/>
        </w:rPr>
      </w:pPr>
      <w:r>
        <w:rPr>
          <w:rFonts w:ascii="Arial" w:cs="Arial" w:eastAsia="Arial" w:hAnsi="Arial"/>
          <w:sz w:val="18"/>
          <w:szCs w:val="18"/>
          <w:color w:val="auto"/>
        </w:rPr>
        <w:t>________________________</w:t>
      </w:r>
    </w:p>
    <w:p>
      <w:pPr>
        <w:spacing w:after="0" w:line="6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Net income in the first quarter of 2021 amounted to $228 million, or $3.89 per diluted share, compared with $178 million, or $2.92 per diluted share, in the first quarter of 2020. Operating income of $335 million in the first quarter of 2021, was higher compared with $274 million in the first quarter of 2020.</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improvement in operating income was mainly due to membership growth and higher premium revenues in Medicaid and Marketplace, partially offset by increases in the Medicare and Marketplace MCRs.</w:t>
      </w:r>
    </w:p>
    <w:p>
      <w:pPr>
        <w:spacing w:after="0" w:line="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Net income per share in the first quarter of 2021 was favorably impacted by the reduction in common shares outstanding as a result of our share repurchases in late 2020 and early 2021. See further discussion in “Liquidity and Financial Condition,” below.</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2021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Premium revenue increased $2 billion in the first quarter of 2021, when compared with the first quarter of 2020.</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first quarter of 2021, membership increased by 1.2 million compared with the first quarter of 2020, which mainly reflected increases in the Medicaid and Marketplace segments and included the impact from the Magellan Complete Care and other acquisitions that closed in the second half of 2020. The increase in premium revenue was net of COVID-related risk corridors that have been enacted in several states beginning in the second quarter of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consolidated MCR in the first quarter of 2021 was 86.8%, compared with 86.3% in the first quarter of 2020. Our overall medical margin performance and MCR were consistent with expectations. The net effect of COVID had a negligible impact on the first quarter of 2021; however, the impacts were varied by segment. The Medicaid MCR benefited from lower utilization due to modest COVID-related curtailment, severe winter weather in several states, and the absence of a typical flu season, which was mostly offset by COVID-related risk corridors enacted in several states. The Medicare and Marketplace MCRs both increased compared with the first quarter of 2020, as both segments experienced a disproportionately negative impact from the net effect of COVID.</w:t>
      </w:r>
    </w:p>
    <w:p>
      <w:pPr>
        <w:spacing w:after="0" w:line="10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prior year reserve development in the first quarter of 2021 was modestly favorable, but its impact on earnings was absorbed by the COVID-related risk corridors.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2.9% and 3.4% for the first quarter of 2021 and 2020, respectively. The current year ratio decrease was mainly due to changes in business mix resulting from the Magellan Complete Care and other acquisitions closed in the second half of 2020.</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income decreased to $9 million in the first quarter of 2021, compared with $25 million in the first quarter of 2020, due to the continued low interest rate environment and a temporarily higher allocation in shorter-term invested assets during the COVID-19 pandemic, which has been rescinded effective for the second quarter of 2021.</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OTHER REVENUE</w:t>
      </w:r>
    </w:p>
    <w:p>
      <w:pPr>
        <w:spacing w:after="0" w:line="1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Other revenue increased to $20 million in the first quarter of 2021, compared with $4 million in the first quarter of 2020. Beginning in the first quarter of 2021, other revenue includes service revenue associated with the long-term services and supports consultative services we now provide in Wisconsin, as a result of our Magellan Complete Care acquisition. Such service revenue amounted to $17 million in the first quarter of 2021.</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11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G&amp;A expense ratio increased to 7.3% in the first quarter of 2021, compared with 7.0% in the first quarter of 2020, mainly reflecting integration and other costs associated with the Magellan Complete Care and other acquisitions closed in the second half of 2020.</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fees incurred or reimbursed in 2021, because the HIF was repealed effective for years after 2020.</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DEPRECIATION AND AMORTIZATION</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Depreciation and amortization increased to $33 million in the first quarter of 2021, compared with $20 million in the first quarter of 2020, due primarily to amortization associated with acquisitions completed in the second half of 2020. Refer to Notes to Consolidated Financial Statements, Note 10, “Segments,”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OTHER OPERATING EXPENSES</w:t>
      </w:r>
    </w:p>
    <w:p>
      <w:pPr>
        <w:spacing w:after="0" w:line="11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Other operating expenses increased to $20 million in the first quarter of 2021, compared with $4 million in the first quarter of 2020. Beginning in the first quarter of 2021, other operating expenses included service costs associated with the long-term services and supports consultative services we now provide in Wisconsin, as noted above. Such service costs amounted to $13 million in the first quarter of 2021.</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Interest expense increased to $30 million in the first quarter of 2021, compared with $21 million in the first quarter of 2020, mainly due to the issuance of $650 million principal amount of 3.875% Notes issued in the fourth quarter of 2020. See further details of our financing transactions in Notes to Consolidated Financial Statements, Note 8, “Debt,” and below in “Liquidity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amounted to $77 million in the first quarter of 2021, or 25.2% of pretax income, compared with income tax expense of</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$75 million, or 29.8% of pretax income in the first quarter of 2020. The effective tax rate was lower in 2021 mainly because the nondeductible HIF was repealed for years after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TRENDS AND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COVID-19 PANDEMIC</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COVID-19 pandemic continues to evolve, its ongoing impact to our business, results of operations, financial condition, and cash flows is uncertain and difficult to predict. Specific trends and uncertainties related to our Medicaid, Medicare, and Marketplace segments follow.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addition to various programs enacted in 2020 and described in our 2020 Annual Report on Form 10-K, the $1.9 trillion </w:t>
      </w:r>
      <w:r>
        <w:rPr>
          <w:rFonts w:ascii="Arial" w:cs="Arial" w:eastAsia="Arial" w:hAnsi="Arial"/>
          <w:sz w:val="18"/>
          <w:szCs w:val="18"/>
          <w:i w:val="1"/>
          <w:iCs w:val="1"/>
          <w:color w:val="auto"/>
        </w:rPr>
        <w:t>American Rescue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 Act of 2021 </w:t>
      </w:r>
      <w:r>
        <w:rPr>
          <w:rFonts w:ascii="Arial" w:cs="Arial" w:eastAsia="Arial" w:hAnsi="Arial"/>
          <w:sz w:val="18"/>
          <w:szCs w:val="18"/>
          <w:color w:val="auto"/>
        </w:rPr>
        <w:t>was enacted on March 11, 2021. This legislation includes several components to assist in COVID-19 vaccine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as well as provisions relating to the opening of schools; direct immediate relief to working families; and additional support for communities struggling the most in the wake of the pandemic. Among its specific provisions:</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$350 billion in state and local funding;</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Funding for Medicaid and CHIP COVID-19 vaccines and treatment to be matched at 100% of the federal medical assistance percentage (“FMAP”);</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Incentives for states that have not expanded Medicaid to do 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flexibility to extend Medicaid eligibility to women for 12 months postpartum;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temporary 10% FMAP increase for states to improve Medicaid home- and community-based services for one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to the ACA Marketplace premium subsidies for 2021 and 2022.</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Biden Administration has extended the COVID-19 related Public Health Emergency Declaration (“PHE”). The Biden Administration has indicated the PHE will likely remain in place throughout 2021, and that states will receive 60 days’ notice before the end of the PHE to prepare for the end of emergency authorities and the resumption of pre-PHE rules. This extension of the PHE will continue the suspension in state Medicaid eligibility redeterminations.</w:t>
      </w:r>
    </w:p>
    <w:p>
      <w:pPr>
        <w:spacing w:after="0" w:line="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Also, President Biden’s January 2021 executive order providing for a three-month Marketplace special enrollment period from February 15, 2021, to May 15, 2021, was extended through August 15, 2021.</w:t>
      </w:r>
    </w:p>
    <w:p>
      <w:pPr>
        <w:spacing w:after="0" w:line="9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Excluding acquisitions and our exit from Puerto Rico, we have added nearly 500,000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through the end of the third quarter of 2021. We estimate that for each month the PHE is extended, it could increase our full-year revenue estimate by $150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 growth is now expected to be over 50% in 2021, and we expect to end 2021 with slightly more than 500,000 members.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first quarter of 2021, we recognized approximately $110 million for the impact of risk corridors enacted in several states beginning in the second quarter of 2020, in response to the lower utilization of medical services resulting from COVID-19.</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risk corridors, and other states could implement some form of retroactive risk corridors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potential resurgence of COVID-19 infection rates. We believe that some portion of the utilization curtailment experienced in the first quarter of 2021 is likely the result of service deferrals, and so these services will likely be provided to members over the remainder of the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continue to be sufficient to withstand the financial impact of the pandemic, and will enable us to continue to support our operations, regulatory requirements, debt repayment obligations, and capital expenditures for the foreseeable future. Refer to “Liquidity and Financial Condition” below for further discussion of our capital and financial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AFFORDABLE CARE ACT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December 2018, in a case brought by the state of Texas and nineteen other states, a federal judge in Texas held that the individual mandate of the ACA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further consideration of the severability issue. The intervenor defendant states led by California subsequently appealed the case to the U.S. Supreme Court, which heard oral arguments in the case on November 10, 2020. The Supreme Court’s decision is expected by June 2021. If the Supreme Court were to rule that the individual mandate is unconstitutional, and that the individual mandate is not severable from the balance of the ACA, or that the entirety of the ACA is unconstitutional, that ruling could have a material adverse effect on our business, financial condition, cash flows, or results of operations.</w:t>
      </w:r>
    </w:p>
    <w:p>
      <w:pPr>
        <w:spacing w:after="0" w:line="8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March 31, 2021, we served a significant number of members enrolled in programs created by the ACA, including approximately 990,000 Medicaid Expansion members and 620,000 Marketplace members. In the first quarter of 2021, premium revenue associated with these members amounted to $2.1 billion, and contributed medical margin of $374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OTHER RECENT DEVELOPMENTS</w:t>
      </w:r>
    </w:p>
    <w:p>
      <w:pPr>
        <w:spacing w:after="0" w:line="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April 22, 2021, we announced a definitive agreement to acquire Cigna Corporation’s Texas</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w:t>
      </w:r>
    </w:p>
    <w:p>
      <w:pPr>
        <w:spacing w:after="0" w:line="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$1.0 billion. The purchase price for the transaction is approximately $60 million, which we intend to fund with cash on hand. The transaction is subject to receipt of applicable federal and state regulatory approvals and satisfaction of other customary closing conditions. We currently expect the transaction to close in the second half of 2021.</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in early 2022, and will offer health care coverage to Medicaid beneficiaries through the state of Ohio’s Covered Family and Children, Expansion, and ABD programs.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2020 Annual Report on Form 10-K, “Item 1. Business—Our Business,” and “—Legislative and Political Environment.”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March 31, 2021, we served approximately 4.6 million members eligible for Medicaid, Medicare, and other government-sponsored healthcare programs for low-income families and individuals, including Marketplace members, most of whom receive government premium subsidies.</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These reportable segments consist of: 1) Medicaid; 2) Medicare; 3) Marketplace; and 4) Other.</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SEGMENT MEMBERSHIP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22"/>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3,859,000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3,599,000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2,970,000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126,000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115,000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105,000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620,000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329,000</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4,605,000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4,032,000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3,404,000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57" w:lineRule="exact"/>
        <w:rPr>
          <w:sz w:val="20"/>
          <w:szCs w:val="20"/>
          <w:color w:val="auto"/>
        </w:rPr>
      </w:pPr>
    </w:p>
    <w:p>
      <w:pPr>
        <w:ind w:left="340" w:right="300" w:hanging="332"/>
        <w:spacing w:after="0" w:line="260" w:lineRule="auto"/>
        <w:tabs>
          <w:tab w:leader="none" w:pos="338" w:val="left"/>
        </w:tabs>
        <w:numPr>
          <w:ilvl w:val="0"/>
          <w:numId w:val="12"/>
        </w:numPr>
        <w:rPr>
          <w:rFonts w:ascii="Arial" w:cs="Arial" w:eastAsia="Arial" w:hAnsi="Arial"/>
          <w:sz w:val="15"/>
          <w:szCs w:val="15"/>
          <w:color w:val="auto"/>
        </w:rPr>
      </w:pPr>
      <w:r>
        <w:rPr>
          <w:rFonts w:ascii="Arial" w:cs="Arial" w:eastAsia="Arial" w:hAnsi="Arial"/>
          <w:sz w:val="15"/>
          <w:szCs w:val="15"/>
          <w:color w:val="auto"/>
        </w:rPr>
        <w:t>Approximately 200,000 members, from the Magellan Complete Care acquisition that closed on December 31, 2020, are included in the totals as of March 31, 2021, but not in prior periods.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828282"/>
        </w:rPr>
        <w:t>SEGMENT FINANCIAL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premium revenue, medical margin, and MCR by segment for the periods indicated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87.5 %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88.9 %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12"/>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86.8 %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86.3 %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Medicaid premium revenue increased $1,554 million in the first quarter of 2021, when compared with the first quarter of 2020. The increase was mainly due to membership growth and the impact from the Magellan Complete Care and other acquisitions closed in the second half of 2020. Excluding the acquisitions, the membership growth was across several states and was mainly driven by the extension of the PHE period and the associated suspension of membership redeterminations due to COVID-19. The overall increase was partially offset by state risk corridors stemming from COVID-19.</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above in “Trends and Uncertainties,” we recognized approximately $110 million in the first quarter of 2021, for the impact of risk corridors enacted in several states beginning in the second quarter of 2020, in response to the lower utilization of medical services resulting from COVID-19.</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medical margin in our Medicaid program increased $239 million, or 65%, in the first quarter of 2021 when compared with the first quarter of 2020. The increase was driven by increased premium revenues and margin associated with the membership growth discussed above, and from a reduction in the MCR.</w:t>
      </w:r>
    </w:p>
    <w:p>
      <w:pPr>
        <w:spacing w:after="0" w:line="94"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The total Medicaid MCR decreased to 87.5% in the first quarter of 2021, from 88.9% in the first quarter of 2020, or 140 basis points. The improvement was mainly attributable to lower than expected utilization, resulting from the combined effects of a modest level of COVID-related utilization curtailment, severe winter weather in several states, and the absence of a typical flu season. Performance in utilization management and payment integrity also favorably impacted the MCR. The improvement was partially offset by the impact of the various COVID-related risk corridors enacted by several states, as discussed above.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Medicare premium revenue increased $165 million in the first quarter of 2021, primarily due to the impact from the Magellan Complete Care acquisition, including higher membership and higher premium revenue PMPM. The increase was partially offset by risk corridors, mainly in MMP, enacted in response to the lower utilization of medical services stemming from COVID-19.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medical margin for Medicare decreased $40 million, in the first quarter of 2021, when compared with the first quarter of 2020, mainly due to an increase in the MCR, partially offset by the increase in revenues.</w:t>
      </w:r>
    </w:p>
    <w:p>
      <w:pPr>
        <w:spacing w:after="0" w:line="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Medicare MCR increased to 90.3% in the first quarter of 2021, from 81.7% in the first quarter of 2020, or 860 basis points. The increase was primarily driven by higher direct COVID medical costs, and risk scores that do not fully reflect the acuity of our membership.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Marketplace premium revenue increased $ 283 million in the first quarter of 2021, mainly due to increased membership, partially offset by a decrease in premium revenue PMPM. Our Marketplace membership as of March 31, 2021, amounted to 620,000 members, representing growth of 302,000 members sequentially, and substantially exceeding our previous beginning of the year expectation of approximately 500,000 members. This improvement resulted from several factors, including strong product design and competitive pricing, better than expected natural attrition rates, and the extended open enrollment period. The decrease in premium revenue PMPM was mainly driven by changes in business mix, with an increase of members in the bronze metal tier.</w:t>
      </w:r>
    </w:p>
    <w:p>
      <w:pPr>
        <w:spacing w:after="0" w:line="10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Marketplace medical margin increased $45 million in the first quarter of 2021, when compared with the first quarter of 2020, primarily due to the increase in membership and premiums, partially offset by an increase in the MCR compared to 2020.</w:t>
      </w:r>
    </w:p>
    <w:p>
      <w:pPr>
        <w:spacing w:after="0" w:line="89"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Marketplace MCR increased to 77.3% in the first quarter of 2021, from 72.3% in the first quarter of 2020, or 500 basis points. The increase resulted from higher direct COVID medical costs, as the COVID infection rate resurged in many of our Marketplace geographies.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Other segment includes service revenues and costs associated with the long-term services and supports consultative services we now provide in Wisconsin, and also includes certain corporate amounts not allocated to the Medicaid, Medicare, or Marketplace segments. Such amounts were immaterial to our consolidated results of operations in the first quarters of 2021 and 2020,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quarter of 2021, we did not experience noticeable delays of, or changes in, the timing and level of premium receipts as a result of the COVID-19 pandemic, but there can be no assurances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first quarter of 2021, the parent received $74 million in dividends from the regulated health plan subsidiaries. See further discussion of dividends below in “Future Sources and Uses of Liquidity—Future Sources.”</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with growing enrollment. In the first quarter of 2021, the parent contributed capital of $52 million to the regulated health plan subsidiaries.</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cash equivalents and investments at the parent company amounted to $436 million and $644 million as of March 31, 2021, and December 31, 2020, respectively. The decrease as of March 31, 2021, was mainly due to our share repurchase program. In the first quarter of 2021, we purchased an aggregate of approximately 577,000 shares for $122 million, at an average cost of $211.65 per share.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57"/>
        </w:trPr>
        <w:tc>
          <w:tcPr>
            <w:tcW w:w="6680" w:type="dxa"/>
            <w:vAlign w:val="bottom"/>
          </w:tcPr>
          <w:p>
            <w:pPr>
              <w:ind w:left="14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60" w:type="dxa"/>
            <w:vAlign w:val="bottom"/>
            <w:vMerge w:val="restart"/>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ind w:right="1"/>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3"/>
                <w:szCs w:val="13"/>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79"/>
        </w:trPr>
        <w:tc>
          <w:tcPr>
            <w:tcW w:w="6680" w:type="dxa"/>
            <w:vAlign w:val="bottom"/>
          </w:tcPr>
          <w:p>
            <w:pPr>
              <w:ind w:left="300"/>
              <w:spacing w:after="0" w:line="174" w:lineRule="exact"/>
              <w:rPr>
                <w:sz w:val="20"/>
                <w:szCs w:val="20"/>
                <w:color w:val="auto"/>
              </w:rPr>
            </w:pPr>
            <w:r>
              <w:rPr>
                <w:rFonts w:ascii="Arial" w:cs="Arial" w:eastAsia="Arial" w:hAnsi="Arial"/>
                <w:sz w:val="16"/>
                <w:szCs w:val="16"/>
                <w:color w:val="auto"/>
              </w:rPr>
              <w:t>equivalents</w:t>
            </w:r>
          </w:p>
        </w:tc>
        <w:tc>
          <w:tcPr>
            <w:tcW w:w="9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Net cash provided by operations for the first quarter of 2021 was $568 million, compared with $143 million in the first quarter of 2020. The $425 million increase in cash flow was due to the growth in operations and the net impact of timing differences in government receivables and payables.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Net cash used in investing activities was $87 million in the first quarter of 2021, compared with $103 million in the first quarter of 2020, an increase in cash flow of $16 million. This increase was primarily due to decreased purchases of investments in the first quarter of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financing activities was $207 million in the first quarter of 2021, compared with $125 million in the first quarter of 2020, a decrease in cash flow of $82 million. In the first quarter of 2021, financing cash outflows included common stock purchases of $128 million, $51 million for common stock withheld to settle employee tax obligations, and $20 million paid to settle contingent consideration liabilities relating to our Kentucky Passport acquisition in 2020. In the first quarter of 2020, net cash paid for the common stock purchases amounted to $453 million, partially offset by proceeds of $380 million borrowed under the term loan facility.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1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On a consolidated basis, at March 31, 2021, our working capital was $3.0 billion, compared with $ 2.9 billion at December 31, 2020. At March 31, 2021, our cash and investments amounted to $6.5 billion, compared with $6.2 billion at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$1.7 billion at March 31, 2021, compared with $1.5 billion at December 31, 2020. The aggregate capital and surplus of our wholly owned subsidiaries was in excess of these minimum capital requirements as of both dates.</w:t>
      </w:r>
    </w:p>
    <w:p>
      <w:pPr>
        <w:spacing w:after="0" w:line="9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March 31, 2021, was approximately $30 million in the aggregate. The subsidiaries may pay dividends over this amount, but only after approval is granted by the regulatory authorities.</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Based on our cash and investments balances as of March 31, 2021, management believes that its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Each of our high-yield senior notes is rated “BB-” by Standard &amp; Poor’s, and “Ba3”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the indentures governing each of our outstanding high-yield senior notes contain cross-default provisions that are triggered upon default by us or any of our subsidiaries on any indebtedness in excess of the amount specified in the applicable indenture. As of March 31, 2021, we were in compliance with all financial and non-financial covenants under the Credit Agreement and other 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have added nearly 500,000 new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through the end of the third quarter of 2021. We estimate that for each month the PHE is extended, it could increase our full-year revenue estimate by $150 million.</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restrict the ability of our regulated health plan subsidiaries to pay dividends to the parent company, which would reduce the liquidity of the parent company.</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March 31, 2021, we had available borrowing capacity of $1.0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8,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2020, our board of directors authorized the purchase of up to $ 500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As of April 29, 2021, approximately $219 million remained available to purchase our common stock under this program through December 31, 2021.</w:t>
      </w:r>
    </w:p>
    <w:p>
      <w:pPr>
        <w:spacing w:after="0" w:line="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April 22, 2021, we announced a definitive agreement to acquire Cigna Corporation’s Texas 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 $1.0 billion. The purchase price for the transaction is approximately $60 million, which we intend to fund with cash on hand. The transaction is subject to receipt of applicable federal and state regulatory approvals and satisfaction of other customary closing conditions. We currently expect the transaction to close in the second half of 2021.</w:t>
      </w:r>
    </w:p>
    <w:p>
      <w:pPr>
        <w:spacing w:after="0" w:line="9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September 2020, we entered into a definitive agreement to acquire substantially all of the assets of Affinity Health Plan, Inc., a Medicaid health plan in New York. The net purchase price for the transaction is approximately $380 million, subject to various adjustments at closing, which we intend to fund with cash on hand. We currently expect the transaction to close in the third quarter of 2021.</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acquisition of certain assets of Passport Health Plan, Inc. in 2020, in the first quarter of 2021, the contingent purchase consideration relating to 2021 member enrollment was finalized and half the consideration due, or $23 million, was paid to the seller. We expect to pay the remaining balance of the liabilities, reported in “Accounts payable, accrued liabilities and other” in the accompanying consolidated balance sheets, later in 2021 and in the first quarter of 2022.</w:t>
      </w:r>
    </w:p>
    <w:p>
      <w:pPr>
        <w:spacing w:after="0" w:line="7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Outcome of ACA Constitutionality Court Case</w:t>
      </w:r>
      <w:r>
        <w:rPr>
          <w:rFonts w:ascii="Arial" w:cs="Arial" w:eastAsia="Arial" w:hAnsi="Arial"/>
          <w:sz w:val="18"/>
          <w:szCs w:val="18"/>
          <w:color w:val="auto"/>
        </w:rPr>
        <w:t>. As described above in “Trends and Uncertainties,” the Supreme Court’s decision is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by June 2021. If the Supreme Court were to rule that the individual mandate is unconstitutional, and that the individual mandate is not severable from the balance of the ACA, or that the entirety of the ACA is unconstitutional, that ruling could have a material adverse effect on our business, financial condition, cash flows, or results of operations.</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above in “Trends and Uncertainties,” we have been subject to Medicaid risk corridors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pandemic. Beginning in 2020, through March 31, 2021,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In the first quarter of 2021, we recognized approximately $110 million related to such risk corridors, primarily in the Medicaid segment.</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It is possible that certain states could increase the level of existing risk corridors, and other states could implement some form of retroactive risk corridors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2020, was disclosed in our 2020 Annual Report on Form 10-K.</w:t>
      </w:r>
    </w:p>
    <w:p>
      <w:pPr>
        <w:spacing w:after="0" w:line="9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first quarter of 2021.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72" w:lineRule="exact"/>
        <w:rPr>
          <w:sz w:val="20"/>
          <w:szCs w:val="20"/>
          <w:color w:val="auto"/>
        </w:rPr>
      </w:pPr>
    </w:p>
    <w:p>
      <w:pPr>
        <w:ind w:left="660" w:right="340" w:hanging="328"/>
        <w:spacing w:after="0" w:line="277"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Medical claims and benefits payable</w:t>
      </w:r>
      <w:r>
        <w:rPr>
          <w:rFonts w:ascii="Arial" w:cs="Arial" w:eastAsia="Arial" w:hAnsi="Arial"/>
          <w:sz w:val="17"/>
          <w:szCs w:val="17"/>
          <w:color w:val="auto"/>
        </w:rPr>
        <w:t>. Refer to Notes to Consolidated Financial Statements, Note 7, “Medical Claims and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first quarter of 2021 there have been no significant changes to our disclosure reported in “Critical Accounting Estimates” in our 2020 Annual Report on Form 10-K.</w:t>
      </w:r>
    </w:p>
    <w:p>
      <w:pPr>
        <w:spacing w:after="0" w:line="59" w:lineRule="exact"/>
        <w:rPr>
          <w:rFonts w:ascii="Arial" w:cs="Arial" w:eastAsia="Arial" w:hAnsi="Arial"/>
          <w:sz w:val="17"/>
          <w:szCs w:val="17"/>
          <w:i w:val="1"/>
          <w:iCs w:val="1"/>
          <w:color w:val="auto"/>
        </w:rPr>
      </w:pPr>
    </w:p>
    <w:p>
      <w:pPr>
        <w:jc w:val="both"/>
        <w:ind w:left="660" w:right="380" w:hanging="328"/>
        <w:spacing w:after="0" w:line="31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840" w:hanging="328"/>
        <w:spacing w:after="0" w:line="282"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first quarter of 2021, there have been no significant changes to our disclosure reported in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Estimates” in our 2020 Annual Report on Form 10-K.</w:t>
      </w:r>
    </w:p>
    <w:p>
      <w:pPr>
        <w:spacing w:after="0" w:line="53" w:lineRule="exact"/>
        <w:rPr>
          <w:rFonts w:ascii="Arial" w:cs="Arial" w:eastAsia="Arial" w:hAnsi="Arial"/>
          <w:sz w:val="18"/>
          <w:szCs w:val="18"/>
          <w:i w:val="1"/>
          <w:iCs w:val="1"/>
          <w:color w:val="auto"/>
        </w:rPr>
      </w:pPr>
    </w:p>
    <w:p>
      <w:pPr>
        <w:ind w:left="660" w:right="2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combinations, goodwill, and intangible assets, net. </w:t>
      </w:r>
      <w:r>
        <w:rPr>
          <w:rFonts w:ascii="Arial" w:cs="Arial" w:eastAsia="Arial" w:hAnsi="Arial"/>
          <w:sz w:val="18"/>
          <w:szCs w:val="18"/>
          <w:color w:val="auto"/>
        </w:rPr>
        <w:t>In the first quarter of 2021, we realigned our reportable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w:t>
      </w:r>
    </w:p>
    <w:p>
      <w:pPr>
        <w:spacing w:after="0" w:line="2" w:lineRule="exact"/>
        <w:rPr>
          <w:rFonts w:ascii="Arial" w:cs="Arial" w:eastAsia="Arial" w:hAnsi="Arial"/>
          <w:sz w:val="18"/>
          <w:szCs w:val="18"/>
          <w:color w:val="auto"/>
        </w:rPr>
      </w:pPr>
    </w:p>
    <w:p>
      <w:pPr>
        <w:ind w:left="660" w:right="360"/>
        <w:spacing w:after="0" w:line="254" w:lineRule="auto"/>
        <w:rPr>
          <w:rFonts w:ascii="Arial" w:cs="Arial" w:eastAsia="Arial" w:hAnsi="Arial"/>
          <w:sz w:val="18"/>
          <w:szCs w:val="18"/>
          <w:color w:val="auto"/>
        </w:rPr>
      </w:pPr>
      <w:r>
        <w:rPr>
          <w:rFonts w:ascii="Arial" w:cs="Arial" w:eastAsia="Arial" w:hAnsi="Arial"/>
          <w:sz w:val="18"/>
          <w:szCs w:val="18"/>
          <w:color w:val="auto"/>
        </w:rPr>
        <w:t>4) Other. Such reportable operating segments also now constitute our reporting units in the annual assessment of goodwill impairment. Refer to Notes to Consolidated Financial Statements, Note 10, “Segments,” for a presentation of goodwill, and intangibles assets, net, by reportable segment, and “Critical Accounting Estimates,” in our 2020 Annual Report on Form 10-K, for further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Substantially all of our investments and restricted investments are subject to interest rate risk and will decrease in value if market interest rates increase. Assuming a hypothetical and immediate 1% increase in market interest rates at March 31, 2021, the fair value of our fixed income investments would decrease by approximately $44 million. Declines in interest rates over time will reduce our investment income.</w:t>
      </w:r>
    </w:p>
    <w:p>
      <w:pPr>
        <w:spacing w:after="0" w:line="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1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7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March 31, 2021, that has materially affected, or is reasonably likely to materially affect, our internal controls over financial reporting.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14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risk factors described in our 2020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11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Purchases of common stock made by us, or on our behalf during the first quarter of 2021,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Dollar Value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of Shares that</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May Yet Be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Announced</w:t>
            </w:r>
          </w:p>
        </w:tc>
        <w:tc>
          <w:tcPr>
            <w:tcW w:w="100" w:type="dxa"/>
            <w:vAlign w:val="bottom"/>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Under</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the Plans or</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Programs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97"/>
              </w:rPr>
              <w:t xml:space="preserve">Programs </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 January 31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243.08</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299,000,000</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February 1 - February 28</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386,000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 March 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227,000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222.24</w:t>
            </w:r>
          </w:p>
        </w:tc>
        <w:tc>
          <w:tcPr>
            <w:tcW w:w="12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228,000</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222.32</w:t>
            </w:r>
          </w:p>
        </w:tc>
        <w:tc>
          <w:tcPr>
            <w:tcW w:w="12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120" w:hanging="332"/>
        <w:spacing w:after="0" w:line="246"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first quarter of 2021, we withheld approximately 228,000 shares of common stock, to settle employee income tax obligations, for releases of awards granted under the Molina Healthcare, Inc. 2019 Equity Incentive Plan.</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 refer to Note 9, “Stockholders' Equity.”</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4"/>
                <w:szCs w:val="1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204"/>
        </w:trPr>
        <w:tc>
          <w:tcPr>
            <w:tcW w:w="980" w:type="dxa"/>
            <w:vAlign w:val="bottom"/>
          </w:tcPr>
          <w:p>
            <w:pPr>
              <w:ind w:left="20"/>
              <w:spacing w:after="0"/>
              <w:rPr>
                <w:rFonts w:ascii="Arial" w:cs="Arial" w:eastAsia="Arial" w:hAnsi="Arial"/>
                <w:sz w:val="16"/>
                <w:szCs w:val="16"/>
                <w:color w:val="0000FF"/>
              </w:rPr>
            </w:pPr>
            <w:hyperlink w:anchor="page37">
              <w:r>
                <w:rPr>
                  <w:rFonts w:ascii="Arial" w:cs="Arial" w:eastAsia="Arial" w:hAnsi="Arial"/>
                  <w:sz w:val="16"/>
                  <w:szCs w:val="16"/>
                  <w:color w:val="0000FF"/>
                </w:rPr>
                <w:t>31.1</w:t>
              </w:r>
            </w:hyperlink>
          </w:p>
        </w:tc>
        <w:tc>
          <w:tcPr>
            <w:tcW w:w="100" w:type="dxa"/>
            <w:vAlign w:val="bottom"/>
          </w:tcPr>
          <w:p>
            <w:pPr>
              <w:spacing w:after="0"/>
              <w:rPr>
                <w:sz w:val="17"/>
                <w:szCs w:val="17"/>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Executive Officer</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980" w:type="dxa"/>
            <w:vAlign w:val="bottom"/>
          </w:tcPr>
          <w:p>
            <w:pPr>
              <w:ind w:left="20"/>
              <w:spacing w:after="0"/>
              <w:rPr>
                <w:rFonts w:ascii="Arial" w:cs="Arial" w:eastAsia="Arial" w:hAnsi="Arial"/>
                <w:sz w:val="16"/>
                <w:szCs w:val="16"/>
                <w:color w:val="0000FF"/>
              </w:rPr>
            </w:pPr>
            <w:hyperlink w:anchor="page38">
              <w:r>
                <w:rPr>
                  <w:rFonts w:ascii="Arial" w:cs="Arial" w:eastAsia="Arial" w:hAnsi="Arial"/>
                  <w:sz w:val="16"/>
                  <w:szCs w:val="16"/>
                  <w:color w:val="0000FF"/>
                </w:rPr>
                <w:t>31.2</w:t>
              </w:r>
            </w:hyperlink>
          </w:p>
        </w:tc>
        <w:tc>
          <w:tcPr>
            <w:tcW w:w="100" w:type="dxa"/>
            <w:vAlign w:val="bottom"/>
          </w:tcPr>
          <w:p>
            <w:pPr>
              <w:spacing w:after="0"/>
              <w:rPr>
                <w:sz w:val="23"/>
                <w:szCs w:val="23"/>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Financial Officer</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37"/>
        </w:trPr>
        <w:tc>
          <w:tcPr>
            <w:tcW w:w="980" w:type="dxa"/>
            <w:vAlign w:val="bottom"/>
          </w:tcPr>
          <w:p>
            <w:pPr>
              <w:ind w:left="20"/>
              <w:spacing w:after="0"/>
              <w:rPr>
                <w:rFonts w:ascii="Arial" w:cs="Arial" w:eastAsia="Arial" w:hAnsi="Arial"/>
                <w:sz w:val="16"/>
                <w:szCs w:val="16"/>
                <w:color w:val="0000FF"/>
              </w:rPr>
            </w:pPr>
            <w:hyperlink w:anchor="page39">
              <w:r>
                <w:rPr>
                  <w:rFonts w:ascii="Arial" w:cs="Arial" w:eastAsia="Arial" w:hAnsi="Arial"/>
                  <w:sz w:val="16"/>
                  <w:szCs w:val="16"/>
                  <w:color w:val="0000FF"/>
                </w:rPr>
                <w:t>32.1</w:t>
              </w:r>
            </w:hyperlink>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Certification of Chief Executive Officer pursuant to 18 U.S.C. Section 1350, as</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180" w:type="dxa"/>
            <w:vAlign w:val="bottom"/>
          </w:tcPr>
          <w:p>
            <w:pPr>
              <w:spacing w:after="0"/>
              <w:rPr>
                <w:sz w:val="16"/>
                <w:szCs w:val="16"/>
                <w:color w:val="auto"/>
              </w:rPr>
            </w:pPr>
          </w:p>
        </w:tc>
      </w:tr>
      <w:tr>
        <w:trPr>
          <w:trHeight w:val="237"/>
        </w:trPr>
        <w:tc>
          <w:tcPr>
            <w:tcW w:w="980" w:type="dxa"/>
            <w:vAlign w:val="bottom"/>
          </w:tcPr>
          <w:p>
            <w:pPr>
              <w:ind w:left="20"/>
              <w:spacing w:after="0"/>
              <w:rPr>
                <w:rFonts w:ascii="Arial" w:cs="Arial" w:eastAsia="Arial" w:hAnsi="Arial"/>
                <w:sz w:val="16"/>
                <w:szCs w:val="16"/>
                <w:color w:val="0000FF"/>
              </w:rPr>
            </w:pPr>
            <w:hyperlink w:anchor="page40">
              <w:r>
                <w:rPr>
                  <w:rFonts w:ascii="Arial" w:cs="Arial" w:eastAsia="Arial" w:hAnsi="Arial"/>
                  <w:sz w:val="16"/>
                  <w:szCs w:val="16"/>
                  <w:color w:val="0000FF"/>
                </w:rPr>
                <w:t>32.2</w:t>
              </w:r>
            </w:hyperlink>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Certification of Chief Financial Officer pursuant to 18 U.S.C. Section 1350, as</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180" w:type="dxa"/>
            <w:vAlign w:val="bottom"/>
          </w:tcPr>
          <w:p>
            <w:pPr>
              <w:spacing w:after="0"/>
              <w:rPr>
                <w:sz w:val="16"/>
                <w:szCs w:val="16"/>
                <w:color w:val="auto"/>
              </w:rPr>
            </w:pP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Instance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37"/>
        </w:trPr>
        <w:tc>
          <w:tcPr>
            <w:tcW w:w="98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Cover Page Interactive Data file (formatted as Inline XBRL and embedded within</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Exhibit 101)</w:t>
            </w:r>
          </w:p>
        </w:tc>
        <w:tc>
          <w:tcPr>
            <w:tcW w:w="4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29, 2021</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30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29, 2021</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2021 Form 10-Q | 36</w:t>
      </w:r>
    </w:p>
    <w:p>
      <w:pPr>
        <w:sectPr>
          <w:pgSz w:w="11900" w:h="16838" w:orient="portrait"/>
          <w:cols w:equalWidth="0" w:num="1">
            <w:col w:w="11240"/>
          </w:cols>
          <w:pgMar w:left="320" w:top="14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04"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2021,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19"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80"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80"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29,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04" w:lineRule="exact"/>
        <w:rPr>
          <w:sz w:val="20"/>
          <w:szCs w:val="20"/>
          <w:color w:val="auto"/>
        </w:rPr>
      </w:pPr>
    </w:p>
    <w:p>
      <w:pPr>
        <w:ind w:left="660" w:hanging="2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2021,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80"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52"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April 29, 2021</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38" w:name="page39"/>
    <w:bookmarkEnd w:id="38"/>
    <w:p>
      <w:pPr>
        <w:ind w:left="10140"/>
        <w:spacing w:after="0"/>
        <w:rPr>
          <w:sz w:val="20"/>
          <w:szCs w:val="20"/>
          <w:color w:val="auto"/>
        </w:rPr>
      </w:pPr>
      <w:r>
        <w:rPr>
          <w:rFonts w:ascii="Arial" w:cs="Arial" w:eastAsia="Arial" w:hAnsi="Arial"/>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2021 (the “Report”), I, Joseph M. Zubretsky,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April 29,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9" w:name="page40"/>
    <w:bookmarkEnd w:id="39"/>
    <w:p>
      <w:pPr>
        <w:ind w:left="10140"/>
        <w:spacing w:after="0"/>
        <w:rPr>
          <w:sz w:val="20"/>
          <w:szCs w:val="20"/>
          <w:color w:val="auto"/>
        </w:rPr>
      </w:pPr>
      <w:r>
        <w:rPr>
          <w:rFonts w:ascii="Arial" w:cs="Arial" w:eastAsia="Arial" w:hAnsi="Arial"/>
          <w:sz w:val="17"/>
          <w:szCs w:val="17"/>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58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2021 (the “Report”), I, Mark L. Keim,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29, 2021</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2021-04-29T10:10:36Z</dcterms:created>
  <dcterms:modified xsi:type="dcterms:W3CDTF">2021-04-29T10:10:36Z</dcterms:modified>
</cp:coreProperties>
</file>