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f0f7722e66e044efbc92f161b43315a4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FORM 10-Q</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QUARTERLY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For the quarterly period ended September 30,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TRANSITION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transition period from ________ to ________</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Commission file number: 001-31719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2095500"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95500" cy="723900"/>
                    </a:xfrm>
                    <a:prstGeom prst="rect">
                      <a:avLst/>
                    </a:prstGeom>
                  </pic:spPr>
                </pic:pic>
              </a:graphicData>
            </a:graphic>
          </wp:inline>
        </w:drawing>
      </w:r>
      <w:bookmarkStart w:id="0" w:name="i-1"/>
      <w:bookmarkEnd w:id="0"/>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MOLINA HEALTHCARE,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125" w:type="dxa"/>
        <w:jc w:val="center"/>
        <w:tblInd w:w="0" w:type="dxa"/>
        <w:tblLayout w:type="fixed"/>
        <w:tblCellMar>
          <w:top w:w="28" w:type="dxa"/>
          <w:left w:w="28" w:type="dxa"/>
          <w:bottom w:w="28" w:type="dxa"/>
          <w:right w:w="28" w:type="dxa"/>
        </w:tblCellMar>
      </w:tblPr>
      <w:tblGrid>
        <w:gridCol w:w="592"/>
        <w:gridCol w:w="521"/>
        <w:gridCol w:w="521"/>
        <w:gridCol w:w="521"/>
        <w:gridCol w:w="521"/>
        <w:gridCol w:w="548"/>
        <w:gridCol w:w="109"/>
        <w:gridCol w:w="109"/>
        <w:gridCol w:w="109"/>
        <w:gridCol w:w="460"/>
        <w:gridCol w:w="460"/>
        <w:gridCol w:w="654"/>
      </w:tblGrid>
      <w:tr>
        <w:trPr/>
        <w:tc>
          <w:tcPr>
            <w:tcW w:w="59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32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13-4204626</w:t>
            </w:r>
          </w:p>
        </w:tc>
      </w:tr>
      <w:tr>
        <w:trPr/>
        <w:tc>
          <w:tcPr>
            <w:tcW w:w="32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200 Oceangate, Suite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Long Beach,</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90802</w:t>
            </w:r>
          </w:p>
        </w:tc>
      </w:tr>
      <w:tr>
        <w:trPr/>
        <w:tc>
          <w:tcPr>
            <w:tcW w:w="32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(Zip Code)</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(562) 435-3666</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(Registrant’s telephone number, including area code)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N/A</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(Former name, former address and former fiscal year,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Securities registered pursuant to Section 12(b) of the Act:</w:t>
      </w:r>
    </w:p>
    <w:tbl>
      <w:tblPr>
        <w:tblW w:w="7858" w:type="dxa"/>
        <w:jc w:val="center"/>
        <w:tblInd w:w="0" w:type="dxa"/>
        <w:tblLayout w:type="fixed"/>
        <w:tblCellMar>
          <w:top w:w="28" w:type="dxa"/>
          <w:left w:w="28" w:type="dxa"/>
          <w:bottom w:w="28" w:type="dxa"/>
          <w:right w:w="28" w:type="dxa"/>
        </w:tblCellMar>
      </w:tblPr>
      <w:tblGrid>
        <w:gridCol w:w="949"/>
        <w:gridCol w:w="833"/>
        <w:gridCol w:w="843"/>
        <w:gridCol w:w="524"/>
        <w:gridCol w:w="524"/>
        <w:gridCol w:w="526"/>
        <w:gridCol w:w="1071"/>
        <w:gridCol w:w="1071"/>
        <w:gridCol w:w="1517"/>
      </w:tblGrid>
      <w:tr>
        <w:trPr/>
        <w:tc>
          <w:tcPr>
            <w:tcW w:w="94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157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65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262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Common Stock, $0.001 Par Value </w:t>
            </w:r>
          </w:p>
        </w:tc>
        <w:tc>
          <w:tcPr>
            <w:tcW w:w="157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MOH</w:t>
            </w:r>
          </w:p>
        </w:tc>
        <w:tc>
          <w:tcPr>
            <w:tcW w:w="365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bl>
    <w:p>
      <w:pPr>
        <w:pStyle w:val="TextBody"/>
        <w:bidi w:val="0"/>
        <w:spacing w:lineRule="auto" w:line="288" w:before="80" w:after="140"/>
        <w:jc w:val="left"/>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18"/>
        </w:rPr>
        <w:t>No  </w:t>
      </w:r>
      <w:r>
        <w:rPr>
          <w:color w:val="000000"/>
        </w:rPr>
        <w:t>☐</w:t>
      </w:r>
    </w:p>
    <w:p>
      <w:pPr>
        <w:pStyle w:val="TextBody"/>
        <w:bidi w:val="0"/>
        <w:spacing w:lineRule="auto" w:line="288" w:before="60" w:after="60"/>
        <w:jc w:val="left"/>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18"/>
        </w:rPr>
        <w:t>No  </w:t>
      </w:r>
      <w:r>
        <w:rPr>
          <w:color w:val="000000"/>
        </w:rPr>
        <w:t>☐</w:t>
      </w:r>
    </w:p>
    <w:p>
      <w:pPr>
        <w:pStyle w:val="TextBody"/>
        <w:bidi w:val="0"/>
        <w:spacing w:lineRule="auto" w:line="288" w:before="60" w:after="6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60" w:after="60"/>
        <w:jc w:val="left"/>
        <w:rPr/>
      </w:pPr>
      <w:r>
        <w:rPr>
          <w:rFonts w:ascii="Arial;sans-serif" w:hAnsi="Arial;sans-serif"/>
          <w:b w:val="false"/>
          <w:color w:val="000000"/>
          <w:sz w:val="18"/>
        </w:rPr>
        <w:t>L</w:t>
      </w:r>
      <w:r>
        <w:rPr>
          <w:rFonts w:ascii="Arial;sans-serif" w:hAnsi="Arial;sans-serif"/>
          <w:b w:val="false"/>
          <w:color w:val="000000"/>
          <w:sz w:val="16"/>
        </w:rPr>
        <w:t>arge Accelerated Filer  </w:t>
      </w:r>
      <w:r>
        <w:rPr>
          <w:color w:val="000000"/>
        </w:rPr>
        <w:t xml:space="preserve">☒ </w:t>
      </w:r>
      <w:r>
        <w:rPr>
          <w:rFonts w:ascii="Arial;sans-serif" w:hAnsi="Arial;sans-serif"/>
          <w:b w:val="false"/>
          <w:color w:val="000000"/>
          <w:sz w:val="16"/>
        </w:rPr>
        <w:t xml:space="preserve">Accelerated Filer </w:t>
      </w:r>
      <w:r>
        <w:rPr>
          <w:color w:val="000000"/>
        </w:rPr>
        <w:t xml:space="preserve">☐ </w:t>
      </w:r>
      <w:r>
        <w:rPr>
          <w:rFonts w:ascii="Arial;sans-serif" w:hAnsi="Arial;sans-serif"/>
          <w:b w:val="false"/>
          <w:color w:val="000000"/>
          <w:sz w:val="16"/>
        </w:rPr>
        <w:t xml:space="preserve">Non-Accelerated Filer </w:t>
      </w:r>
      <w:r>
        <w:rPr>
          <w:color w:val="000000"/>
        </w:rPr>
        <w:t xml:space="preserve">☐ </w:t>
      </w:r>
      <w:r>
        <w:rPr>
          <w:rFonts w:ascii="Arial;sans-serif" w:hAnsi="Arial;sans-serif"/>
          <w:b w:val="false"/>
          <w:color w:val="000000"/>
          <w:sz w:val="16"/>
        </w:rPr>
        <w:t xml:space="preserve">Smaller reporting company </w:t>
      </w:r>
      <w:r>
        <w:rPr>
          <w:color w:val="000000"/>
        </w:rPr>
        <w:t xml:space="preserve">☐ </w:t>
      </w:r>
      <w:r>
        <w:rPr>
          <w:rFonts w:ascii="Arial;sans-serif" w:hAnsi="Arial;sans-serif"/>
          <w:b w:val="false"/>
          <w:color w:val="000000"/>
          <w:sz w:val="16"/>
        </w:rPr>
        <w:t xml:space="preserve">Emerging growth company </w:t>
      </w:r>
      <w:r>
        <w:rPr>
          <w:color w:val="000000"/>
        </w:rPr>
        <w:t>☐</w:t>
      </w:r>
    </w:p>
    <w:p>
      <w:pPr>
        <w:pStyle w:val="TextBody"/>
        <w:bidi w:val="0"/>
        <w:spacing w:lineRule="auto" w:line="288" w:before="60" w:after="60"/>
        <w:jc w:val="left"/>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TextBody"/>
        <w:bidi w:val="0"/>
        <w:spacing w:lineRule="auto" w:line="288" w:before="60" w:after="60"/>
        <w:ind w:left="0" w:right="0" w:hanging="180"/>
        <w:jc w:val="left"/>
        <w:rPr/>
      </w:pPr>
      <w:r>
        <w:rPr>
          <w:rFonts w:ascii="Arial;sans-serif" w:hAnsi="Arial;sans-serif"/>
          <w:b w:val="false"/>
          <w:color w:val="000000"/>
          <w:sz w:val="18"/>
        </w:rPr>
        <w:t>Indicate by check mark whether the registrant is a shell company (as defined in Rule 12b-2 of the Exchange Act).  Yes  </w:t>
      </w:r>
      <w:r>
        <w:rPr>
          <w:color w:val="000000"/>
        </w:rPr>
        <w:t xml:space="preserve">☐ </w:t>
      </w:r>
      <w:r>
        <w:rPr>
          <w:rFonts w:ascii="Arial;sans-serif" w:hAnsi="Arial;sans-serif"/>
          <w:b w:val="false"/>
          <w:color w:val="000000"/>
          <w:sz w:val="18"/>
        </w:rPr>
        <w:t>No  </w:t>
      </w:r>
      <w:r>
        <w:rPr>
          <w:color w:val="000000"/>
        </w:rPr>
        <w:t>☒</w:t>
      </w:r>
    </w:p>
    <w:p>
      <w:pPr>
        <w:pStyle w:val="TextBody"/>
        <w:bidi w:val="0"/>
        <w:spacing w:lineRule="auto" w:line="288" w:before="60" w:after="60"/>
        <w:jc w:val="left"/>
        <w:rPr>
          <w:rFonts w:ascii="Arial;sans-serif" w:hAnsi="Arial;sans-serif"/>
          <w:b w:val="false"/>
          <w:color w:val="000000"/>
          <w:sz w:val="18"/>
        </w:rPr>
      </w:pPr>
      <w:r>
        <w:rPr>
          <w:rFonts w:ascii="Arial;sans-serif" w:hAnsi="Arial;sans-serif"/>
          <w:b w:val="false"/>
          <w:color w:val="000000"/>
          <w:sz w:val="18"/>
        </w:rPr>
        <w:t>The number of shares of the issuer’s Common Stock, $0.001 par value, outstanding as of October 16, 2026, was approximately 52.2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0f7722e66e044efbc92f161b43315a4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F7C7F"/>
          <w:sz w:val="24"/>
        </w:rPr>
      </w:pPr>
      <w:r>
        <w:rPr>
          <w:rFonts w:ascii="Arial;sans-serif" w:hAnsi="Arial;sans-serif"/>
          <w:b/>
          <w:color w:val="0F7C7F"/>
          <w:sz w:val="24"/>
        </w:rPr>
        <w:t>MOLINA HEALTHCARE, INC. FORM 10-Q</w:t>
      </w:r>
    </w:p>
    <w:p>
      <w:pPr>
        <w:pStyle w:val="TextBody"/>
        <w:bidi w:val="0"/>
        <w:spacing w:lineRule="auto" w:line="288" w:before="0" w:after="0"/>
        <w:jc w:val="left"/>
        <w:rPr>
          <w:rFonts w:ascii="Arial;sans-serif" w:hAnsi="Arial;sans-serif"/>
          <w:b/>
          <w:color w:val="828282"/>
          <w:sz w:val="20"/>
        </w:rPr>
      </w:pPr>
      <w:r>
        <w:rPr>
          <w:rFonts w:ascii="Arial;sans-serif" w:hAnsi="Arial;sans-serif"/>
          <w:b/>
          <w:color w:val="828282"/>
          <w:sz w:val="20"/>
        </w:rPr>
        <w:t xml:space="preserve">FOR THE QUARTERLY PERIOD ENDED SEPTEMBER 30, 2026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828282"/>
          <w:sz w:val="20"/>
        </w:rPr>
      </w:pPr>
      <w:r>
        <w:rPr>
          <w:rFonts w:ascii="Arial;sans-serif" w:hAnsi="Arial;sans-serif"/>
          <w:b/>
          <w:color w:val="828282"/>
          <w:sz w:val="20"/>
        </w:rPr>
        <w:t>TABLE OF CONTENTS</w:t>
      </w:r>
    </w:p>
    <w:tbl>
      <w:tblPr>
        <w:tblW w:w="9454" w:type="dxa"/>
        <w:jc w:val="left"/>
        <w:tblInd w:w="0" w:type="dxa"/>
        <w:tblLayout w:type="fixed"/>
        <w:tblCellMar>
          <w:top w:w="28" w:type="dxa"/>
          <w:left w:w="28" w:type="dxa"/>
          <w:bottom w:w="28" w:type="dxa"/>
          <w:right w:w="28" w:type="dxa"/>
        </w:tblCellMar>
      </w:tblPr>
      <w:tblGrid>
        <w:gridCol w:w="257"/>
        <w:gridCol w:w="226"/>
        <w:gridCol w:w="226"/>
        <w:gridCol w:w="2426"/>
        <w:gridCol w:w="2426"/>
        <w:gridCol w:w="2498"/>
        <w:gridCol w:w="407"/>
        <w:gridCol w:w="407"/>
        <w:gridCol w:w="581"/>
      </w:tblGrid>
      <w:tr>
        <w:trPr/>
        <w:tc>
          <w:tcPr>
            <w:tcW w:w="2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805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NUMBER</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F7C7F"/>
                <w:sz w:val="18"/>
                <w:u w:val="single"/>
              </w:rPr>
            </w:pPr>
            <w:r>
              <w:rPr>
                <w:rFonts w:ascii="Arial;sans-serif" w:hAnsi="Arial;sans-serif"/>
                <w:b/>
                <w:color w:val="0F7C7F"/>
                <w:sz w:val="18"/>
                <w:u w:val="single"/>
              </w:rPr>
              <w:t>Page</w:t>
            </w:r>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PART I</w:t>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f7722e66e044efbc92f161b43315a4_10">
              <w:r>
                <w:rPr>
                  <w:rStyle w:val="InternetLink"/>
                  <w:rFonts w:ascii="Arial;sans-serif" w:hAnsi="Arial;sans-serif"/>
                  <w:b w:val="false"/>
                  <w:color w:val="0F7C7F"/>
                  <w:sz w:val="18"/>
                  <w:u w:val="single"/>
                </w:rPr>
                <w:t>Financial Statements</w:t>
              </w:r>
            </w:hyperlink>
          </w:p>
        </w:tc>
        <w:tc>
          <w:tcPr>
            <w:tcW w:w="1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f7722e66e044efbc92f161b43315a4_10">
              <w:r>
                <w:rPr>
                  <w:rStyle w:val="InternetLink"/>
                  <w:rFonts w:ascii="Arial;sans-serif" w:hAnsi="Arial;sans-serif"/>
                  <w:b w:val="false"/>
                  <w:color w:val="0F7C7F"/>
                  <w:sz w:val="18"/>
                  <w:u w:val="single"/>
                </w:rPr>
                <w:t>3</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f7722e66e044efbc92f161b43315a4_88">
              <w:r>
                <w:rPr>
                  <w:rStyle w:val="InternetLink"/>
                  <w:rFonts w:ascii="Arial;sans-serif" w:hAnsi="Arial;sans-serif"/>
                  <w:b w:val="false"/>
                  <w:color w:val="0F7C7F"/>
                  <w:sz w:val="18"/>
                  <w:u w:val="single"/>
                </w:rPr>
                <w:t>Management’s Discussion and Analysis of Financial Condition and Results of Operations</w:t>
              </w:r>
            </w:hyperlink>
          </w:p>
        </w:tc>
        <w:tc>
          <w:tcPr>
            <w:tcW w:w="1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f7722e66e044efbc92f161b43315a4_88">
              <w:r>
                <w:rPr>
                  <w:rStyle w:val="InternetLink"/>
                  <w:rFonts w:ascii="Arial;sans-serif" w:hAnsi="Arial;sans-serif"/>
                  <w:b w:val="false"/>
                  <w:color w:val="0F7C7F"/>
                  <w:sz w:val="18"/>
                  <w:u w:val="single"/>
                </w:rPr>
                <w:t>20</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f7722e66e044efbc92f161b43315a4_130">
              <w:r>
                <w:rPr>
                  <w:rStyle w:val="InternetLink"/>
                  <w:rFonts w:ascii="Arial;sans-serif" w:hAnsi="Arial;sans-serif"/>
                  <w:b w:val="false"/>
                  <w:color w:val="0F7C7F"/>
                  <w:sz w:val="18"/>
                  <w:u w:val="single"/>
                </w:rPr>
                <w:t>Quantitative and Qualitative Disclosures About Market Risk</w:t>
              </w:r>
            </w:hyperlink>
          </w:p>
        </w:tc>
        <w:tc>
          <w:tcPr>
            <w:tcW w:w="1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f7722e66e044efbc92f161b43315a4_130">
              <w:r>
                <w:rPr>
                  <w:rStyle w:val="InternetLink"/>
                  <w:rFonts w:ascii="Arial;sans-serif" w:hAnsi="Arial;sans-serif"/>
                  <w:b w:val="false"/>
                  <w:color w:val="0F7C7F"/>
                  <w:sz w:val="18"/>
                  <w:u w:val="single"/>
                </w:rPr>
                <w:t>34</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f7722e66e044efbc92f161b43315a4_133">
              <w:r>
                <w:rPr>
                  <w:rStyle w:val="InternetLink"/>
                  <w:rFonts w:ascii="Arial;sans-serif" w:hAnsi="Arial;sans-serif"/>
                  <w:b w:val="false"/>
                  <w:color w:val="0F7C7F"/>
                  <w:sz w:val="18"/>
                  <w:u w:val="single"/>
                </w:rPr>
                <w:t>Controls and Procedures</w:t>
              </w:r>
            </w:hyperlink>
          </w:p>
        </w:tc>
        <w:tc>
          <w:tcPr>
            <w:tcW w:w="1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f7722e66e044efbc92f161b43315a4_133">
              <w:r>
                <w:rPr>
                  <w:rStyle w:val="InternetLink"/>
                  <w:rFonts w:ascii="Arial;sans-serif" w:hAnsi="Arial;sans-serif"/>
                  <w:b w:val="false"/>
                  <w:color w:val="0F7C7F"/>
                  <w:sz w:val="18"/>
                  <w:u w:val="single"/>
                </w:rPr>
                <w:t>35</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PART II</w:t>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f7722e66e044efbc92f161b43315a4_136">
              <w:r>
                <w:rPr>
                  <w:rStyle w:val="InternetLink"/>
                  <w:rFonts w:ascii="Arial;sans-serif" w:hAnsi="Arial;sans-serif"/>
                  <w:b w:val="false"/>
                  <w:color w:val="0F7C7F"/>
                  <w:sz w:val="18"/>
                  <w:u w:val="single"/>
                </w:rPr>
                <w:t>Legal Proceedings</w:t>
              </w:r>
            </w:hyperlink>
          </w:p>
        </w:tc>
        <w:tc>
          <w:tcPr>
            <w:tcW w:w="1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f7722e66e044efbc92f161b43315a4_136">
              <w:r>
                <w:rPr>
                  <w:rStyle w:val="InternetLink"/>
                  <w:rFonts w:ascii="Arial;sans-serif" w:hAnsi="Arial;sans-serif"/>
                  <w:b w:val="false"/>
                  <w:color w:val="0F7C7F"/>
                  <w:sz w:val="18"/>
                  <w:u w:val="single"/>
                </w:rPr>
                <w:t>35</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1A.</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f7722e66e044efbc92f161b43315a4_139">
              <w:r>
                <w:rPr>
                  <w:rStyle w:val="InternetLink"/>
                  <w:rFonts w:ascii="Arial;sans-serif" w:hAnsi="Arial;sans-serif"/>
                  <w:b w:val="false"/>
                  <w:color w:val="0F7C7F"/>
                  <w:sz w:val="18"/>
                  <w:u w:val="single"/>
                </w:rPr>
                <w:t>Risk Factors</w:t>
              </w:r>
            </w:hyperlink>
          </w:p>
        </w:tc>
        <w:tc>
          <w:tcPr>
            <w:tcW w:w="1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f7722e66e044efbc92f161b43315a4_139">
              <w:r>
                <w:rPr>
                  <w:rStyle w:val="InternetLink"/>
                  <w:rFonts w:ascii="Arial;sans-serif" w:hAnsi="Arial;sans-serif"/>
                  <w:b w:val="false"/>
                  <w:color w:val="0F7C7F"/>
                  <w:sz w:val="18"/>
                  <w:u w:val="single"/>
                </w:rPr>
                <w:t>35</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f7722e66e044efbc92f161b43315a4_142">
              <w:r>
                <w:rPr>
                  <w:rStyle w:val="InternetLink"/>
                  <w:rFonts w:ascii="Arial;sans-serif" w:hAnsi="Arial;sans-serif"/>
                  <w:b w:val="false"/>
                  <w:color w:val="0F7C7F"/>
                  <w:sz w:val="18"/>
                  <w:u w:val="single"/>
                </w:rPr>
                <w:t>Unregistered Sales of Equity Securities and Use of Proceeds</w:t>
              </w:r>
            </w:hyperlink>
          </w:p>
        </w:tc>
        <w:tc>
          <w:tcPr>
            <w:tcW w:w="1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f7722e66e044efbc92f161b43315a4_142">
              <w:r>
                <w:rPr>
                  <w:rStyle w:val="InternetLink"/>
                  <w:rFonts w:ascii="Arial;sans-serif" w:hAnsi="Arial;sans-serif"/>
                  <w:b w:val="false"/>
                  <w:color w:val="0F7C7F"/>
                  <w:sz w:val="18"/>
                  <w:u w:val="single"/>
                </w:rPr>
                <w:t>35</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Defaults Upon Senior Securities</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Not Applicable.</w:t>
            </w:r>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Mine Safety Disclosures</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Not Applicable.</w:t>
            </w:r>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f7722e66e044efbc92f161b43315a4_145">
              <w:r>
                <w:rPr>
                  <w:rStyle w:val="InternetLink"/>
                  <w:rFonts w:ascii="Arial;sans-serif" w:hAnsi="Arial;sans-serif"/>
                  <w:b w:val="false"/>
                  <w:color w:val="0F7C7F"/>
                  <w:sz w:val="18"/>
                  <w:u w:val="single"/>
                </w:rPr>
                <w:t>Other Information</w:t>
              </w:r>
            </w:hyperlink>
          </w:p>
        </w:tc>
        <w:tc>
          <w:tcPr>
            <w:tcW w:w="1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f7722e66e044efbc92f161b43315a4_145">
              <w:r>
                <w:rPr>
                  <w:rStyle w:val="InternetLink"/>
                  <w:rFonts w:ascii="Arial;sans-serif" w:hAnsi="Arial;sans-serif"/>
                  <w:b w:val="false"/>
                  <w:color w:val="0F7C7F"/>
                  <w:sz w:val="18"/>
                  <w:u w:val="single"/>
                </w:rPr>
                <w:t>35</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6.</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f7722e66e044efbc92f161b43315a4_151">
              <w:r>
                <w:rPr>
                  <w:rStyle w:val="InternetLink"/>
                  <w:rFonts w:ascii="Arial;sans-serif" w:hAnsi="Arial;sans-serif"/>
                  <w:b w:val="false"/>
                  <w:color w:val="0F7C7F"/>
                  <w:sz w:val="18"/>
                  <w:u w:val="single"/>
                </w:rPr>
                <w:t>Exhibits</w:t>
              </w:r>
            </w:hyperlink>
          </w:p>
        </w:tc>
        <w:tc>
          <w:tcPr>
            <w:tcW w:w="1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f7722e66e044efbc92f161b43315a4_151">
              <w:r>
                <w:rPr>
                  <w:rStyle w:val="InternetLink"/>
                  <w:rFonts w:ascii="Arial;sans-serif" w:hAnsi="Arial;sans-serif"/>
                  <w:b w:val="false"/>
                  <w:color w:val="0F7C7F"/>
                  <w:sz w:val="18"/>
                  <w:u w:val="single"/>
                </w:rPr>
                <w:t>37</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f7722e66e044efbc92f161b43315a4_154">
              <w:r>
                <w:rPr>
                  <w:rStyle w:val="InternetLink"/>
                  <w:rFonts w:ascii="Arial;sans-serif" w:hAnsi="Arial;sans-serif"/>
                  <w:b w:val="false"/>
                  <w:color w:val="0F7C7F"/>
                  <w:sz w:val="18"/>
                  <w:u w:val="single"/>
                </w:rPr>
                <w:t>Signatures</w:t>
              </w:r>
            </w:hyperlink>
          </w:p>
        </w:tc>
        <w:tc>
          <w:tcPr>
            <w:tcW w:w="1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f7722e66e044efbc92f161b43315a4_154">
              <w:r>
                <w:rPr>
                  <w:rStyle w:val="InternetLink"/>
                  <w:rFonts w:ascii="Arial;sans-serif" w:hAnsi="Arial;sans-serif"/>
                  <w:b w:val="false"/>
                  <w:color w:val="0F7C7F"/>
                  <w:sz w:val="18"/>
                  <w:u w:val="single"/>
                </w:rPr>
                <w:t>38</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0f7722e66e044efbc92f161b43315a4_7">
        <w:r>
          <w:rPr>
            <w:rStyle w:val="InternetLink"/>
            <w:rFonts w:ascii="Arial;sans-serif" w:hAnsi="Arial;sans-serif"/>
            <w:b w:val="false"/>
            <w:color w:val="0000FF"/>
            <w:sz w:val="20"/>
            <w:u w:val="single"/>
          </w:rPr>
          <w:t>Table of Contents</w:t>
        </w:r>
      </w:hyperlink>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F7C7F"/>
          <w:sz w:val="24"/>
        </w:rPr>
      </w:pPr>
      <w:r>
        <w:rPr>
          <w:rFonts w:ascii="Arial;sans-serif" w:hAnsi="Arial;sans-serif"/>
          <w:b/>
          <w:color w:val="0F7C7F"/>
          <w:sz w:val="24"/>
        </w:rPr>
        <w:t>CONSOLIDATED STATEMENTS OF INCOME</w:t>
      </w:r>
    </w:p>
    <w:tbl>
      <w:tblPr>
        <w:tblW w:w="9288" w:type="dxa"/>
        <w:jc w:val="left"/>
        <w:tblInd w:w="0" w:type="dxa"/>
        <w:tblLayout w:type="fixed"/>
        <w:tblCellMar>
          <w:top w:w="28" w:type="dxa"/>
          <w:left w:w="28" w:type="dxa"/>
          <w:bottom w:w="28" w:type="dxa"/>
          <w:right w:w="28" w:type="dxa"/>
        </w:tblCellMar>
      </w:tblPr>
      <w:tblGrid>
        <w:gridCol w:w="1146"/>
        <w:gridCol w:w="1006"/>
        <w:gridCol w:w="1013"/>
        <w:gridCol w:w="256"/>
        <w:gridCol w:w="875"/>
        <w:gridCol w:w="132"/>
        <w:gridCol w:w="132"/>
        <w:gridCol w:w="132"/>
        <w:gridCol w:w="132"/>
        <w:gridCol w:w="256"/>
        <w:gridCol w:w="875"/>
        <w:gridCol w:w="132"/>
        <w:gridCol w:w="109"/>
        <w:gridCol w:w="109"/>
        <w:gridCol w:w="109"/>
        <w:gridCol w:w="247"/>
        <w:gridCol w:w="846"/>
        <w:gridCol w:w="127"/>
        <w:gridCol w:w="127"/>
        <w:gridCol w:w="127"/>
        <w:gridCol w:w="127"/>
        <w:gridCol w:w="247"/>
        <w:gridCol w:w="846"/>
        <w:gridCol w:w="180"/>
      </w:tblGrid>
      <w:tr>
        <w:trPr/>
        <w:tc>
          <w:tcPr>
            <w:tcW w:w="1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per-share amounts)</w:t>
              <w:br/>
              <w:t>(Unaudited)</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Premium revenue</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10,457 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10,841 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30,873 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32,337 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Premium tax revenue</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Investment income </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11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11,082 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11,477 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32,752 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34,051 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 care costs</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10,044 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28,429 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29,352 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expenses</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Premium tax expenses</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1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10,976 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11,340 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32,418 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33,108 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1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943 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 expense</w:t>
            </w:r>
          </w:p>
        </w:tc>
        <w:tc>
          <w:tcPr>
            <w:tcW w:w="11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per share - Basic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per share - Diluted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0.73 </w:t>
            </w:r>
          </w:p>
        </w:tc>
        <w:tc>
          <w:tcPr>
            <w:tcW w:w="13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3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12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11.79 </w:t>
            </w:r>
          </w:p>
        </w:tc>
        <w:tc>
          <w:tcPr>
            <w:tcW w:w="18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F7C7F"/>
          <w:sz w:val="24"/>
        </w:rPr>
      </w:pPr>
      <w:r>
        <w:rPr>
          <w:rFonts w:ascii="Arial;sans-serif" w:hAnsi="Arial;sans-serif"/>
          <w:b/>
          <w:color w:val="0F7C7F"/>
          <w:sz w:val="24"/>
        </w:rPr>
        <w:t>CONSOLIDATED STATEMENTS OF COMPREHENSIVE (LOSS) INCOME</w:t>
      </w:r>
    </w:p>
    <w:tbl>
      <w:tblPr>
        <w:tblW w:w="9766" w:type="dxa"/>
        <w:jc w:val="left"/>
        <w:tblInd w:w="0" w:type="dxa"/>
        <w:tblLayout w:type="fixed"/>
        <w:tblCellMar>
          <w:top w:w="28" w:type="dxa"/>
          <w:left w:w="28" w:type="dxa"/>
          <w:bottom w:w="28" w:type="dxa"/>
          <w:right w:w="28" w:type="dxa"/>
        </w:tblCellMar>
      </w:tblPr>
      <w:tblGrid>
        <w:gridCol w:w="1317"/>
        <w:gridCol w:w="1156"/>
        <w:gridCol w:w="1171"/>
        <w:gridCol w:w="349"/>
        <w:gridCol w:w="723"/>
        <w:gridCol w:w="180"/>
        <w:gridCol w:w="180"/>
        <w:gridCol w:w="180"/>
        <w:gridCol w:w="180"/>
        <w:gridCol w:w="349"/>
        <w:gridCol w:w="598"/>
        <w:gridCol w:w="180"/>
        <w:gridCol w:w="109"/>
        <w:gridCol w:w="109"/>
        <w:gridCol w:w="109"/>
        <w:gridCol w:w="312"/>
        <w:gridCol w:w="690"/>
        <w:gridCol w:w="161"/>
        <w:gridCol w:w="161"/>
        <w:gridCol w:w="161"/>
        <w:gridCol w:w="161"/>
        <w:gridCol w:w="312"/>
        <w:gridCol w:w="690"/>
        <w:gridCol w:w="228"/>
      </w:tblGrid>
      <w:tr>
        <w:trPr/>
        <w:tc>
          <w:tcPr>
            <w:tcW w:w="131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br/>
              <w:t>(Unaudited)</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 gain:</w:t>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investment (loss) gain</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Less: effect of income taxes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Other comprehensive (loss) gain, net of tax </w:t>
            </w:r>
          </w:p>
        </w:tc>
        <w:tc>
          <w:tcPr>
            <w:tcW w:w="10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(loss) income</w:t>
            </w:r>
          </w:p>
        </w:tc>
        <w:tc>
          <w:tcPr>
            <w:tcW w:w="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698 </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3</w:t>
                      </w:r>
                    </w:p>
                  </w:txbxContent>
                </v:textbox>
                <w10:wrap type="none"/>
              </v:rect>
            </w:pict>
          </mc:Fallback>
        </mc:AlternateContent>
      </w:r>
    </w:p>
    <w:p>
      <w:pPr>
        <w:pStyle w:val="TextBody"/>
        <w:bidi w:val="0"/>
        <w:spacing w:lineRule="auto" w:line="288" w:before="0" w:after="0"/>
        <w:jc w:val="left"/>
        <w:rPr/>
      </w:pPr>
      <w:hyperlink w:anchor="if0f7722e66e044efbc92f161b43315a4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F7C7F"/>
          <w:sz w:val="24"/>
        </w:rPr>
      </w:pPr>
      <w:r>
        <w:rPr>
          <w:rFonts w:ascii="Arial;sans-serif" w:hAnsi="Arial;sans-serif"/>
          <w:b/>
          <w:color w:val="0F7C7F"/>
          <w:sz w:val="24"/>
        </w:rPr>
        <w:t>CONSOLIDATED BALANCE SHEETS</w:t>
      </w:r>
    </w:p>
    <w:tbl>
      <w:tblPr>
        <w:tblW w:w="10205" w:type="dxa"/>
        <w:jc w:val="left"/>
        <w:tblInd w:w="0" w:type="dxa"/>
        <w:tblLayout w:type="fixed"/>
        <w:tblCellMar>
          <w:top w:w="28" w:type="dxa"/>
          <w:left w:w="28" w:type="dxa"/>
          <w:bottom w:w="28" w:type="dxa"/>
          <w:right w:w="28" w:type="dxa"/>
        </w:tblCellMar>
      </w:tblPr>
      <w:tblGrid>
        <w:gridCol w:w="2859"/>
        <w:gridCol w:w="2343"/>
        <w:gridCol w:w="2316"/>
        <w:gridCol w:w="231"/>
        <w:gridCol w:w="791"/>
        <w:gridCol w:w="119"/>
        <w:gridCol w:w="109"/>
        <w:gridCol w:w="109"/>
        <w:gridCol w:w="109"/>
        <w:gridCol w:w="236"/>
        <w:gridCol w:w="807"/>
        <w:gridCol w:w="176"/>
      </w:tblGrid>
      <w:tr>
        <w:trPr/>
        <w:tc>
          <w:tcPr>
            <w:tcW w:w="2859"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7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millions,</w:t>
              <w:br/>
              <w:t>except per-share amounts)</w:t>
            </w:r>
          </w:p>
        </w:tc>
      </w:tr>
      <w:tr>
        <w:trPr/>
        <w:tc>
          <w:tcPr>
            <w:tcW w:w="7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ASSETS</w:t>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12,514 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12,444 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equipment, and capitalized software, net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and intangible assets, net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investments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 net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15,652 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15,564 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LIABILITIES AND STOCKHOLDERS’ EQUITY</w:t>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 claims and benefits payable</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Amounts due government agencies </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accrued liabilities and other</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7,394 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7,372 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 liabilities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liabilities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11,497 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11,495 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w:t>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Common stock, $0.001 par value, 150 million shares authorized; outstanding: 52 million shares at September 30, 2026 and 51 million at December 31, 2025</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Preferred stock, $0.001 par value; 20 million shares authorized, no shares issued and outstanding</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 income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4,155 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4,069 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equity</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15,652 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15,564 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4</w:t>
                      </w:r>
                    </w:p>
                  </w:txbxContent>
                </v:textbox>
                <w10:wrap type="none"/>
              </v:rect>
            </w:pict>
          </mc:Fallback>
        </mc:AlternateContent>
      </w:r>
    </w:p>
    <w:p>
      <w:pPr>
        <w:pStyle w:val="TextBody"/>
        <w:bidi w:val="0"/>
        <w:spacing w:lineRule="auto" w:line="288" w:before="0" w:after="0"/>
        <w:jc w:val="left"/>
        <w:rPr/>
      </w:pPr>
      <w:hyperlink w:anchor="if0f7722e66e044efbc92f161b43315a4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F7C7F"/>
          <w:sz w:val="24"/>
        </w:rPr>
      </w:pPr>
      <w:r>
        <w:rPr>
          <w:rFonts w:ascii="Arial;sans-serif" w:hAnsi="Arial;sans-serif"/>
          <w:b/>
          <w:color w:val="0F7C7F"/>
          <w:sz w:val="24"/>
        </w:rPr>
        <w:t>CONSOLIDATED STATEMENTS OF STOCKHOLDERS’ EQUITY</w:t>
      </w:r>
    </w:p>
    <w:tbl>
      <w:tblPr>
        <w:tblW w:w="10205" w:type="dxa"/>
        <w:jc w:val="center"/>
        <w:tblInd w:w="0" w:type="dxa"/>
        <w:tblLayout w:type="fixed"/>
        <w:tblCellMar>
          <w:top w:w="28" w:type="dxa"/>
          <w:left w:w="28" w:type="dxa"/>
          <w:bottom w:w="28" w:type="dxa"/>
          <w:right w:w="28" w:type="dxa"/>
        </w:tblCellMar>
      </w:tblPr>
      <w:tblGrid>
        <w:gridCol w:w="856"/>
        <w:gridCol w:w="558"/>
        <w:gridCol w:w="560"/>
        <w:gridCol w:w="370"/>
        <w:gridCol w:w="370"/>
        <w:gridCol w:w="371"/>
        <w:gridCol w:w="109"/>
        <w:gridCol w:w="109"/>
        <w:gridCol w:w="109"/>
        <w:gridCol w:w="218"/>
        <w:gridCol w:w="419"/>
        <w:gridCol w:w="114"/>
        <w:gridCol w:w="109"/>
        <w:gridCol w:w="109"/>
        <w:gridCol w:w="109"/>
        <w:gridCol w:w="249"/>
        <w:gridCol w:w="551"/>
        <w:gridCol w:w="131"/>
        <w:gridCol w:w="109"/>
        <w:gridCol w:w="109"/>
        <w:gridCol w:w="109"/>
        <w:gridCol w:w="570"/>
        <w:gridCol w:w="1017"/>
        <w:gridCol w:w="296"/>
        <w:gridCol w:w="109"/>
        <w:gridCol w:w="109"/>
        <w:gridCol w:w="109"/>
        <w:gridCol w:w="211"/>
        <w:gridCol w:w="616"/>
        <w:gridCol w:w="109"/>
        <w:gridCol w:w="109"/>
        <w:gridCol w:w="109"/>
        <w:gridCol w:w="109"/>
        <w:gridCol w:w="211"/>
        <w:gridCol w:w="616"/>
        <w:gridCol w:w="157"/>
      </w:tblGrid>
      <w:tr>
        <w:trPr/>
        <w:tc>
          <w:tcPr>
            <w:tcW w:w="85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1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2025</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 net</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2026</w:t>
            </w:r>
          </w:p>
        </w:tc>
        <w:tc>
          <w:tcPr>
            <w:tcW w:w="7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 net</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 2026</w:t>
            </w:r>
          </w:p>
        </w:tc>
        <w:tc>
          <w:tcPr>
            <w:tcW w:w="7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4,171 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 net</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September 30, 2026</w:t>
            </w:r>
          </w:p>
        </w:tc>
        <w:tc>
          <w:tcPr>
            <w:tcW w:w="74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3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w:t>
            </w:r>
          </w:p>
        </w:tc>
        <w:tc>
          <w:tcPr>
            <w:tcW w:w="2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4,155 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69"/>
        <w:gridCol w:w="768"/>
        <w:gridCol w:w="771"/>
        <w:gridCol w:w="370"/>
        <w:gridCol w:w="370"/>
        <w:gridCol w:w="371"/>
        <w:gridCol w:w="109"/>
        <w:gridCol w:w="109"/>
        <w:gridCol w:w="109"/>
        <w:gridCol w:w="218"/>
        <w:gridCol w:w="419"/>
        <w:gridCol w:w="114"/>
        <w:gridCol w:w="109"/>
        <w:gridCol w:w="109"/>
        <w:gridCol w:w="109"/>
        <w:gridCol w:w="249"/>
        <w:gridCol w:w="551"/>
        <w:gridCol w:w="131"/>
        <w:gridCol w:w="109"/>
        <w:gridCol w:w="109"/>
        <w:gridCol w:w="109"/>
        <w:gridCol w:w="409"/>
        <w:gridCol w:w="729"/>
        <w:gridCol w:w="213"/>
        <w:gridCol w:w="109"/>
        <w:gridCol w:w="109"/>
        <w:gridCol w:w="109"/>
        <w:gridCol w:w="211"/>
        <w:gridCol w:w="616"/>
        <w:gridCol w:w="109"/>
        <w:gridCol w:w="109"/>
        <w:gridCol w:w="109"/>
        <w:gridCol w:w="109"/>
        <w:gridCol w:w="211"/>
        <w:gridCol w:w="616"/>
        <w:gridCol w:w="155"/>
      </w:tblGrid>
      <w:tr>
        <w:trPr/>
        <w:tc>
          <w:tcPr>
            <w:tcW w:w="96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br/>
              <w:t>Comprehensive</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2024</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purchases</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purchase excise tax</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net</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2025</w:t>
            </w:r>
          </w:p>
        </w:tc>
        <w:tc>
          <w:tcPr>
            <w:tcW w:w="7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net</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 2025</w:t>
            </w:r>
          </w:p>
        </w:tc>
        <w:tc>
          <w:tcPr>
            <w:tcW w:w="7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purchases</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purchase excise tax</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net</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September 30, 2025</w:t>
            </w:r>
          </w:p>
        </w:tc>
        <w:tc>
          <w:tcPr>
            <w:tcW w:w="74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3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4,191 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left"/>
        <w:rPr/>
      </w:pPr>
      <w:r>
        <w:rPr/>
      </w:r>
    </w:p>
    <w:p>
      <w:pPr>
        <w:pStyle w:val="TextBody"/>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5</w:t>
                      </w:r>
                    </w:p>
                  </w:txbxContent>
                </v:textbox>
                <w10:wrap type="none"/>
              </v:rect>
            </w:pict>
          </mc:Fallback>
        </mc:AlternateContent>
      </w:r>
    </w:p>
    <w:p>
      <w:pPr>
        <w:pStyle w:val="TextBody"/>
        <w:bidi w:val="0"/>
        <w:spacing w:lineRule="auto" w:line="288" w:before="0" w:after="0"/>
        <w:jc w:val="left"/>
        <w:rPr/>
      </w:pPr>
      <w:hyperlink w:anchor="if0f7722e66e044efbc92f161b43315a4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F7C7F"/>
          <w:sz w:val="24"/>
        </w:rPr>
      </w:pPr>
      <w:r>
        <w:rPr>
          <w:rFonts w:ascii="Arial;sans-serif" w:hAnsi="Arial;sans-serif"/>
          <w:b/>
          <w:color w:val="0F7C7F"/>
          <w:sz w:val="24"/>
        </w:rPr>
        <w:t>CONSOLIDATED STATEMENTS OF CASH FLOWS</w:t>
      </w:r>
    </w:p>
    <w:tbl>
      <w:tblPr>
        <w:tblW w:w="10205" w:type="dxa"/>
        <w:jc w:val="left"/>
        <w:tblInd w:w="0" w:type="dxa"/>
        <w:tblLayout w:type="fixed"/>
        <w:tblCellMar>
          <w:top w:w="28" w:type="dxa"/>
          <w:left w:w="28" w:type="dxa"/>
          <w:bottom w:w="28" w:type="dxa"/>
          <w:right w:w="28" w:type="dxa"/>
        </w:tblCellMar>
      </w:tblPr>
      <w:tblGrid>
        <w:gridCol w:w="2671"/>
        <w:gridCol w:w="2334"/>
        <w:gridCol w:w="2351"/>
        <w:gridCol w:w="267"/>
        <w:gridCol w:w="783"/>
        <w:gridCol w:w="137"/>
        <w:gridCol w:w="137"/>
        <w:gridCol w:w="137"/>
        <w:gridCol w:w="137"/>
        <w:gridCol w:w="267"/>
        <w:gridCol w:w="783"/>
        <w:gridCol w:w="201"/>
      </w:tblGrid>
      <w:tr>
        <w:trPr/>
        <w:tc>
          <w:tcPr>
            <w:tcW w:w="2671"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7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7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br/>
              <w:t>(Unaudited)</w:t>
            </w:r>
          </w:p>
        </w:tc>
      </w:tr>
      <w:tr>
        <w:trPr/>
        <w:tc>
          <w:tcPr>
            <w:tcW w:w="7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activities:</w:t>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(used in) operating activities:</w:t>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 claims and benefits payable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Amounts due government agencies </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accrued liabilities and other</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in) operating activities</w:t>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Investing activities:</w:t>
            </w:r>
          </w:p>
        </w:tc>
        <w:tc>
          <w:tcPr>
            <w:tcW w:w="11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investments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 and maturities of investments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equipment and capitalized software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paid in business combinations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provided by investing activities</w:t>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Financing activities:</w:t>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borrowings under credit facility and term loans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purchases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 of credit facility and term loans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withheld to settle employee tax obligations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35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35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35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35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35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35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35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cash equivalents, and restricted cash and cash equivalents</w:t>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and cash equivalents at beginning of period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and cash equivalents at end of period</w:t>
            </w:r>
          </w:p>
        </w:tc>
        <w:tc>
          <w:tcPr>
            <w:tcW w:w="2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4,618 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4,324 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6</w:t>
                      </w:r>
                    </w:p>
                  </w:txbxContent>
                </v:textbox>
                <w10:wrap type="none"/>
              </v:rect>
            </w:pict>
          </mc:Fallback>
        </mc:AlternateContent>
      </w:r>
    </w:p>
    <w:p>
      <w:pPr>
        <w:pStyle w:val="TextBody"/>
        <w:bidi w:val="0"/>
        <w:spacing w:lineRule="auto" w:line="288" w:before="0" w:after="0"/>
        <w:jc w:val="left"/>
        <w:rPr/>
      </w:pPr>
      <w:hyperlink w:anchor="if0f7722e66e044efbc92f161b43315a4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color w:val="0F7C7F"/>
          <w:sz w:val="24"/>
        </w:rPr>
      </w:pPr>
      <w:r>
        <w:rPr>
          <w:rFonts w:ascii="Arial;sans-serif" w:hAnsi="Arial;sans-serif"/>
          <w:b/>
          <w:color w:val="0F7C7F"/>
          <w:sz w:val="24"/>
        </w:rPr>
        <w:t xml:space="preserve">NOTES TO CONSOLIDATED FINANCIAL STATEMENTS (UNAUDITED) </w:t>
      </w: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 xml:space="preserve">SEPTEMBER 30, 2026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828282"/>
          <w:sz w:val="20"/>
        </w:rPr>
      </w:pPr>
      <w:r>
        <w:rPr>
          <w:rFonts w:ascii="Arial;sans-serif" w:hAnsi="Arial;sans-serif"/>
          <w:b/>
          <w:color w:val="828282"/>
          <w:sz w:val="20"/>
        </w:rPr>
        <w:t xml:space="preserve">1. Organization and Basis of Presentation </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Organization and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Molina Healthcare, Inc. provides managed healthcare services under the Medicaid and Medicare programs, and through the state insurance marketplaces (the “Marketplace”). We currently have four reportable segments consisting of: 1) Medicaid; 2) Medicare; 3) Marketplace; and 4) Other. Our reportable segments are consistent with how we currently manage the business and view the markets we serve.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September 30, 2026, we served approximately 4.9 million members eligible for government-sponsored healthcare programs, located across 21 states.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state Medicaid contracts typically have terms of three years to five years, contain renewal options exercisable by the state Medicaid agency, and allow either the state or the health plan to terminate the contract with or without cause. Such contracts are subject to risk of loss in states that issue requests for proposal (“RFP”) open to competitive bidding by other health plans. If one of our health plans is not a successful responsive bidder to a state RFP, its contract may not be renewed.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addition to contract renewal, our state Medicaid contracts may be periodically amended to include or exclude certain health benefits (such as pharmacy services, behavioral health services, or long-term care services); populations such as the aged, blind or disabled; and regions or service areas.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Medicare, we enter into Medicare Advantage-Part D (“MAPD”) and dual eligible special needs plan (“DSNP”) contracts with the Centers for Medicare and Medicaid Services (“CMS”) annually, and for certain dual-eligible programs, we enter into contracts with CMS, in partnership with each state’s department of health and human services. Such contracts typically have terms of one year to three years.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Marketplace, we enter into contracts with CMS, which end on December 31 each year, and must be renewed annually. </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Consolidation and Interim Financial Information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consolidated financial statements include the accounts of Molina Healthcare, Inc. and its subsidiaries. In the opinion of management, these financial statements reflect all normal recurring adjustments, which are considered necessary for a fair presentation of the results as of the dates and for the interim periods presented. All significant intercompany balances and transactions have been eliminated. The consolidated results of operations for the nine months ended September 30, 2026 are not necessarily indicative of the results for the entire year ending December 31, 2026.</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unaudited consolidated interim financial statements have been prepared under the assumption that users of the interim financial data have either read or have access to our audited consolidated financial statements for the fiscal year ended December 31, 2025. Accordingly, certain disclosures that would substantially duplicate the disclosures contained in our December 31, 2025, audited consolidated financial statements have been omitted.</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Use of Estimates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preparation of consolidated financial statements in conformity with U.S. generally accepted accounting principles (“GAAP”) requires management to make estimates and assumptions that affect the reported amounts of assets and liabilities. Estimates also affect the reported amounts of revenues and expenses during the reporting period. Actual results could differ from these estimates.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Arial;sans-serif" w:hAnsi="Arial;sans-serif"/>
          <w:b/>
          <w:color w:val="828282"/>
          <w:sz w:val="20"/>
        </w:rPr>
        <w:t>2. Significant Accounting Policies</w:t>
      </w:r>
      <w:r>
        <w:rPr>
          <w:color w:val="000000"/>
        </w:rPr>
        <w:t xml:space="preserve"> </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Cash and Cash Equivalents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Cash and cash equivalents consist of cash and short-term, highly liquid investments that are both readily convertible into known amounts of cash and have a maturity of three months or less on the date of purchase. The following table provides a reconciliation of cash and cash equivalents, and restricted cash and cash equivalents reported within the accompanying consolidated balance sheets that sum to the total of the same such amounts presented in the accompanying consolidated statements of cash flows. The restricted cash and cash equivalents presented below are included in “Restricted investments” in the accompanying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7</w:t>
                      </w:r>
                    </w:p>
                  </w:txbxContent>
                </v:textbox>
                <w10:wrap type="none"/>
              </v:rect>
            </w:pict>
          </mc:Fallback>
        </mc:AlternateContent>
      </w:r>
    </w:p>
    <w:p>
      <w:pPr>
        <w:pStyle w:val="TextBody"/>
        <w:bidi w:val="0"/>
        <w:spacing w:lineRule="auto" w:line="288" w:before="0" w:after="0"/>
        <w:jc w:val="left"/>
        <w:rPr/>
      </w:pPr>
      <w:hyperlink w:anchor="if0f7722e66e044efbc92f161b43315a4_7">
        <w:r>
          <w:rPr>
            <w:rStyle w:val="InternetLink"/>
            <w:rFonts w:ascii="Arial;sans-serif" w:hAnsi="Arial;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882"/>
        <w:gridCol w:w="2532"/>
        <w:gridCol w:w="2545"/>
        <w:gridCol w:w="211"/>
        <w:gridCol w:w="616"/>
        <w:gridCol w:w="109"/>
        <w:gridCol w:w="109"/>
        <w:gridCol w:w="109"/>
        <w:gridCol w:w="109"/>
        <w:gridCol w:w="211"/>
        <w:gridCol w:w="616"/>
        <w:gridCol w:w="156"/>
      </w:tblGrid>
      <w:tr>
        <w:trPr/>
        <w:tc>
          <w:tcPr>
            <w:tcW w:w="2882" w:type="dxa"/>
            <w:tcBorders/>
            <w:vAlign w:val="center"/>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 and cash equivalents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Total cash, cash equivalents, and restricted cash and cash equivalents presented in the consolidated statements of cash flows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Receivables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Receivables consist primarily of premium amounts due from government agencies, which are subject to potential retroactive adjustments, as well as pharmacy rebates and other receivables. Government receivables amounted to $2,274 million and $2,365 million at September 30, 2026 and December 31, 2025, respectively. We apply the current expected credit loss model to measure expected credit losses on our receivables based on available information about past events and reasonable and supportable forecasts. Because substantially all of our receivable amounts are readily determinable and substantially all of our creditors are governmental authorities, our allowance for credit losses is insignificant. Any amounts determined to be uncollectible are charged to expense when such determination is made.</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Premium Revenue Recognition and Amounts Due Government Agencies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Premium revenue is generated from our contracts with state and federal agencies, in connection with our participation in the Medicaid, Medicare, and Marketplace programs. Premium revenue is generally received based on per member per month rates established in advance of the periods covered. These premium revenues are recognized in the month that members are entitled to receive healthcare services, and premiums collected in advance are deferred. Many of our contracts contain provisions that may adjust or limit revenue or profit, as described below. Consequently, we recognize premium revenue as it is earned under such provisions. Liabilities accrued for premiums to be returned under such provisions are reported in the aggregate as “Amounts due government agencies” in the accompanying consolidated balance sheets. State Medicaid programs and the federal Medicare program periodically adjust premium rates, including certain components of premium revenue that are subject to accounting estimates and are described below, and in our 2025 Annual Report on Form 10-K, Note 2, “Significant Accounting Policies,” under “Premium Revenue Recognition and Amounts Due Government Agencies,” and “Quality Incentives.”</w:t>
      </w:r>
    </w:p>
    <w:p>
      <w:pPr>
        <w:pStyle w:val="TextBody"/>
        <w:bidi w:val="0"/>
        <w:spacing w:lineRule="auto" w:line="288" w:before="120" w:after="120"/>
        <w:jc w:val="left"/>
        <w:rPr/>
      </w:pPr>
      <w:r>
        <w:rPr>
          <w:rFonts w:ascii="Arial;sans-serif" w:hAnsi="Arial;sans-serif"/>
          <w:b/>
          <w:i/>
          <w:color w:val="000000"/>
          <w:sz w:val="20"/>
        </w:rPr>
        <w:t>Minimum MLR, Medical Cost Corridors and Profit Sharing.</w:t>
      </w:r>
      <w:r>
        <w:rPr>
          <w:color w:val="000000"/>
        </w:rPr>
        <w:t xml:space="preserve"> </w:t>
      </w:r>
      <w:r>
        <w:rPr>
          <w:rFonts w:ascii="Arial;sans-serif" w:hAnsi="Arial;sans-serif"/>
          <w:b w:val="false"/>
          <w:color w:val="000000"/>
          <w:sz w:val="20"/>
        </w:rPr>
        <w:t>A portion of our Medicaid premium revenue may be returned if certain minimum amounts are not spent on defined medical care costs as a percentage of premium revenue, or minimum medical loss ratio (“Minimum MLR”). Under certain medical cost corridor provisions, the health plans may receive additional premiums if amounts spent on medical care costs exceed a defined maximum threshold. Our contracts with certain states contain profit sharing provisions under which we refund amounts to the states if our health plans generate profit above a certain specified percentage. In some cases, we are limited in the amount of administrative costs that we may deduct in calculating the refund, if any. We recorded aggregate liabilities under the terms of such contract provisions of $453 million and $457 million at September 30, 2026 and December 31, 2025, respectively, to “Amounts due government agencies” in the accompanying consolidated balance sheets.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Affordable Care Act (“ACA”) established a Minimum MLR of 85% for Medicare. Federal regulations define what constitutes medical costs and premium revenue. If the Minimum MLR is not met, we may be required to pay rebates to the federal government. Our dual-eligible plans may also be subject to state-specific Minimum MLRs, medical cost corridors, and profit-sharing provisions. We recognize estimated rebates as an adjustment to premium revenue in our consolidated statements of income. We recorded a liability under the terms of such contract provisions of $40 million and $28 million at September 30, 2026 and December 31, 2025, respectively, to “Amounts due government agencies” in the accompanying consolidated balance sheets.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ACA established a Minimum MLR of 80% for Marketplace health plans. If the Minimum MLR is not met, we may be required to pay rebates to our Marketplace policyholders. The Marketplace risk adjustment program discussed below is taken into consideration when computing the Minimum MLR. We recognize estimated rebates under the Minimum MLR as an adjustment to premium revenue in our consolidated statements of income. No liability was recorded as of September 30, 2026. We recorded a liability under the terms of such contract provisions of $12 million at December 31, 2025, to “Amounts due government agencies” in the accompanying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8</w:t>
                      </w:r>
                    </w:p>
                  </w:txbxContent>
                </v:textbox>
                <w10:wrap type="none"/>
              </v:rect>
            </w:pict>
          </mc:Fallback>
        </mc:AlternateContent>
      </w:r>
    </w:p>
    <w:p>
      <w:pPr>
        <w:pStyle w:val="TextBody"/>
        <w:bidi w:val="0"/>
        <w:spacing w:lineRule="auto" w:line="288" w:before="0" w:after="0"/>
        <w:jc w:val="left"/>
        <w:rPr/>
      </w:pPr>
      <w:hyperlink w:anchor="if0f7722e66e044efbc92f161b43315a4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pPr>
      <w:r>
        <w:rPr>
          <w:rFonts w:ascii="Arial;sans-serif" w:hAnsi="Arial;sans-serif"/>
          <w:b/>
          <w:i/>
          <w:color w:val="000000"/>
          <w:sz w:val="20"/>
        </w:rPr>
        <w:t>Risk Adjustment.</w:t>
      </w:r>
      <w:r>
        <w:rPr>
          <w:color w:val="000000"/>
        </w:rPr>
        <w:t xml:space="preserve"> </w:t>
      </w:r>
      <w:r>
        <w:rPr>
          <w:rFonts w:ascii="Arial;sans-serif" w:hAnsi="Arial;sans-serif"/>
          <w:b w:val="false"/>
          <w:color w:val="000000"/>
          <w:sz w:val="20"/>
        </w:rPr>
        <w:t xml:space="preserve">Our Medicare premiums are subject to retroactive increase or decrease based on the health status of our members (as measured by member risk score). We estimate our members’ risk scores and the related amount of Medicare revenue that will ultimately be realized for the periods presented based on our knowledge of our members’ health status, risk scores and CMS practices. We also estimate amounts owed to CMS for Part D settlements. We recorded a liability under the terms of such contract provisions of $105 million and $66 million at September 30, 2026 and December 31, 2025, respectively, to “Amounts due government agencies” in the accompanying consolidated balance sheets.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Marketplace premiums are also subject to increases or decreases based on the health status of members. Our health plans’ composite risk scores are compared with the overall average risk score for the relevant state and market pool. Generally, our health plans will make a risk adjustment payment into the pool if their composite risk scores are below the average risk score (risk adjustment payable), and will receive a risk adjustment payment from the pool if their composite risk scores are above the average risk score (risk adjustment receivable). We estimate our ultimate premium based on insurance policy year-to-date experience and recognize estimated premiums relating to the risk adjustment program as an adjustment to premium revenue in our consolidated statements of income. As of September 30, 2026, Marketplace risk adjustment payables amounted to $192 million and related receivables amounted to $114 million, for a net payable of $78 million. As of December 31, 2025, Marketplace risk adjustment payables amounted to $517 million and related receivables amounted to $106 million, for a net payable of $411 million.</w:t>
      </w:r>
    </w:p>
    <w:p>
      <w:pPr>
        <w:pStyle w:val="TextBody"/>
        <w:bidi w:val="0"/>
        <w:spacing w:lineRule="auto" w:line="288" w:before="100" w:after="100"/>
        <w:jc w:val="left"/>
        <w:rPr>
          <w:rFonts w:ascii="Arial;sans-serif" w:hAnsi="Arial;sans-serif"/>
          <w:b/>
          <w:i/>
          <w:color w:val="000000"/>
          <w:sz w:val="20"/>
        </w:rPr>
      </w:pPr>
      <w:r>
        <w:rPr>
          <w:rFonts w:ascii="Arial;sans-serif" w:hAnsi="Arial;sans-serif"/>
          <w:b/>
          <w:i/>
          <w:color w:val="000000"/>
          <w:sz w:val="20"/>
        </w:rPr>
        <w:t>Premium Deficiency Reserve on Loss Contracts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assess the profitability of our contracts to determine if it is probable that a loss will be incurred in the future by reviewing current results and forecasts. For purposes of this assessment, contracts are grouped in a manner consistent with our method of acquiring, servicing and measuring the profitability of such contracts. A premium deficiency reserve is recognized if anticipated future medical care and administrative costs exceed anticipated future premium revenue, investment income and reinsurance recoveries.</w:t>
      </w:r>
    </w:p>
    <w:p>
      <w:pPr>
        <w:pStyle w:val="TextBody"/>
        <w:bidi w:val="0"/>
        <w:spacing w:lineRule="auto" w:line="288" w:before="100" w:after="100"/>
        <w:jc w:val="left"/>
        <w:rPr>
          <w:rFonts w:ascii="Arial;sans-serif" w:hAnsi="Arial;sans-serif"/>
          <w:b/>
          <w:i/>
          <w:color w:val="000000"/>
          <w:sz w:val="20"/>
        </w:rPr>
      </w:pPr>
      <w:r>
        <w:rPr>
          <w:rFonts w:ascii="Arial;sans-serif" w:hAnsi="Arial;sans-serif"/>
          <w:b/>
          <w:i/>
          <w:color w:val="000000"/>
          <w:sz w:val="20"/>
        </w:rPr>
        <w:t>Concentrations of Credit Risk</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Financial instruments that potentially subject us to concentrations of credit risk consist primarily of cash and cash equivalents, investments, receivables, and restricted investments. Our investments and a portion of our cash equivalents are managed by professional portfolio managers operating under documented investment guidelines. Our portfolio managers must obtain our prior approval before selling investments where the loss position of those investments exceeds certain levels. Our investments consist primarily of investment-grade debt securities with final maturities of less than 15 years, or less than 15 years average life for structured securities. Restricted investments are invested principally in cash, cash equivalents, U.S. Treasury securities, and corporate debt securities. Concentration of credit risk with respect to accounts receivable is limited because our payors consist principally of the federal government, and governments of each state in which our health plan subsidiaries operate.</w:t>
      </w:r>
    </w:p>
    <w:p>
      <w:pPr>
        <w:pStyle w:val="TextBody"/>
        <w:bidi w:val="0"/>
        <w:spacing w:lineRule="auto" w:line="288" w:before="100" w:after="100"/>
        <w:jc w:val="left"/>
        <w:rPr>
          <w:rFonts w:ascii="Arial;sans-serif" w:hAnsi="Arial;sans-serif"/>
          <w:b/>
          <w:i/>
          <w:color w:val="000000"/>
          <w:sz w:val="20"/>
        </w:rPr>
      </w:pPr>
      <w:r>
        <w:rPr>
          <w:rFonts w:ascii="Arial;sans-serif" w:hAnsi="Arial;sans-serif"/>
          <w:b/>
          <w:i/>
          <w:color w:val="000000"/>
          <w:sz w:val="20"/>
        </w:rPr>
        <w:t>Impairment</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In February 2026, we determined that the MAPD product does not align with our strategic shift to focus exclusively on dual-eligible members in Medicare and we intend to exit this product for 2027. The projected cash flows of the MAPD product will not exceed the carrying amount of the related intangible assets. As such, we impaired the remaining intangible assets during the first quarter of 2026, which amounted to $93 million. The following major classes of intangibles were impaired in the amounts listed: contract rights and licenses with a remaining balance of $62 million, provider networks with a remaining balance of $4 million, and trade name with a remaining balance of $27 million.</w:t>
      </w:r>
    </w:p>
    <w:p>
      <w:pPr>
        <w:pStyle w:val="TextBody"/>
        <w:bidi w:val="0"/>
        <w:spacing w:lineRule="auto" w:line="288" w:before="100" w:after="100"/>
        <w:jc w:val="left"/>
        <w:rPr>
          <w:rFonts w:ascii="Arial;sans-serif" w:hAnsi="Arial;sans-serif"/>
          <w:b/>
          <w:i/>
          <w:color w:val="000000"/>
          <w:sz w:val="20"/>
        </w:rPr>
      </w:pPr>
      <w:r>
        <w:rPr>
          <w:rFonts w:ascii="Arial;sans-serif" w:hAnsi="Arial;sans-serif"/>
          <w:b/>
          <w:i/>
          <w:color w:val="000000"/>
          <w:sz w:val="20"/>
        </w:rPr>
        <w:t xml:space="preserve">Income Taxes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provision for income taxes is determined using an estimated annual effective tax rate, which generally differs from the U.S. federal statutory rate primarily because of tax credits, state taxes, and nondeductible expenses such as certain compensation and other general and administrative expenses.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effective tax rate may be subject to fluctuations during the year as new information is obtained. Such information may affect the assumptions used to estimate the annual effective tax rate, including projected pretax earnings, the mix of pretax earnings in the various tax jurisdictions in which we operate, valuation allowances against deferred tax assets, the recognition or the reversal of the recognition of tax benefits related to uncertain tax positions, and changes in or the interpretation of tax laws in jurisdictions where we conduct business. We recognize deferred tax assets and liabilities for temporary differences between the financial reporting basis and the tax basis of our assets and liabilities, along with net operating loss and tax credit carryovers.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9</w:t>
                      </w:r>
                    </w:p>
                  </w:txbxContent>
                </v:textbox>
                <w10:wrap type="none"/>
              </v:rect>
            </w:pict>
          </mc:Fallback>
        </mc:AlternateContent>
      </w:r>
    </w:p>
    <w:p>
      <w:pPr>
        <w:pStyle w:val="TextBody"/>
        <w:bidi w:val="0"/>
        <w:spacing w:lineRule="auto" w:line="288" w:before="0" w:after="0"/>
        <w:jc w:val="left"/>
        <w:rPr/>
      </w:pPr>
      <w:hyperlink w:anchor="if0f7722e66e044efbc92f161b43315a4_7">
        <w:r>
          <w:rPr>
            <w:rStyle w:val="InternetLink"/>
            <w:rFonts w:ascii="Arial;sans-serif" w:hAnsi="Arial;sans-serif"/>
            <w:b w:val="false"/>
            <w:color w:val="0000FF"/>
            <w:sz w:val="20"/>
            <w:u w:val="single"/>
          </w:rPr>
          <w:t>Table of Contents</w:t>
        </w:r>
      </w:hyperlink>
    </w:p>
    <w:p>
      <w:pPr>
        <w:pStyle w:val="TextBody"/>
        <w:bidi w:val="0"/>
        <w:spacing w:lineRule="auto" w:line="288" w:before="100" w:after="100"/>
        <w:jc w:val="left"/>
        <w:rPr>
          <w:rFonts w:ascii="Arial;sans-serif" w:hAnsi="Arial;sans-serif"/>
          <w:b/>
          <w:i/>
          <w:color w:val="000000"/>
          <w:sz w:val="20"/>
        </w:rPr>
      </w:pPr>
      <w:r>
        <w:rPr>
          <w:rFonts w:ascii="Arial;sans-serif" w:hAnsi="Arial;sans-serif"/>
          <w:b/>
          <w:i/>
          <w:color w:val="000000"/>
          <w:sz w:val="20"/>
        </w:rPr>
        <w:t>Recent Accounting Pronouncements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Recent accounting pronouncements issued by the Financial Accounting Standards Board (including its Emerging Issues Task Force), the American Institute of Certified Public Accountants, and the Securities and Exchange Commission (“SEC”) did not have, nor does management expect such pronouncements to have, a significant impact on our present or future consolidated financial statements.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 xml:space="preserve">3. Net Income Per Share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sets forth the calculation of basic and diluted net income per share:</w:t>
      </w:r>
    </w:p>
    <w:tbl>
      <w:tblPr>
        <w:tblW w:w="10205" w:type="dxa"/>
        <w:jc w:val="left"/>
        <w:tblInd w:w="0" w:type="dxa"/>
        <w:tblLayout w:type="fixed"/>
        <w:tblCellMar>
          <w:top w:w="28" w:type="dxa"/>
          <w:left w:w="28" w:type="dxa"/>
          <w:bottom w:w="28" w:type="dxa"/>
          <w:right w:w="28" w:type="dxa"/>
        </w:tblCellMar>
      </w:tblPr>
      <w:tblGrid>
        <w:gridCol w:w="1489"/>
        <w:gridCol w:w="1302"/>
        <w:gridCol w:w="1311"/>
        <w:gridCol w:w="308"/>
        <w:gridCol w:w="747"/>
        <w:gridCol w:w="159"/>
        <w:gridCol w:w="159"/>
        <w:gridCol w:w="159"/>
        <w:gridCol w:w="159"/>
        <w:gridCol w:w="308"/>
        <w:gridCol w:w="747"/>
        <w:gridCol w:w="159"/>
        <w:gridCol w:w="109"/>
        <w:gridCol w:w="109"/>
        <w:gridCol w:w="109"/>
        <w:gridCol w:w="282"/>
        <w:gridCol w:w="685"/>
        <w:gridCol w:w="145"/>
        <w:gridCol w:w="145"/>
        <w:gridCol w:w="145"/>
        <w:gridCol w:w="145"/>
        <w:gridCol w:w="282"/>
        <w:gridCol w:w="825"/>
        <w:gridCol w:w="217"/>
      </w:tblGrid>
      <w:tr>
        <w:trPr/>
        <w:tc>
          <w:tcPr>
            <w:tcW w:w="148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4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4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net income per share)</w:t>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Numerator:</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Denominator:</w:t>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outstanding at the beginning of the period</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number of shares issued:</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purchases</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Denominator for basic net income per share</w:t>
            </w:r>
          </w:p>
        </w:tc>
        <w:tc>
          <w:tcPr>
            <w:tcW w:w="10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53.5 </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Effect of dilutive securities: </w:t>
            </w:r>
            <w:r>
              <w:rPr>
                <w:rFonts w:ascii="Arial;sans-serif" w:hAnsi="Arial;sans-serif"/>
                <w:b w:val="false"/>
                <w:color w:val="000000"/>
                <w:sz w:val="12"/>
              </w:rPr>
              <w:t>(1)</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Denominator for diluted net income per share</w:t>
            </w:r>
          </w:p>
        </w:tc>
        <w:tc>
          <w:tcPr>
            <w:tcW w:w="10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Net income per share - Basic </w:t>
            </w:r>
            <w:r>
              <w:rPr>
                <w:rFonts w:ascii="Arial;sans-serif" w:hAnsi="Arial;sans-serif"/>
                <w:b w:val="false"/>
                <w:color w:val="000000"/>
                <w:sz w:val="12"/>
              </w:rPr>
              <w:t>(2)</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Net income per share - Diluted </w:t>
            </w:r>
            <w:r>
              <w:rPr>
                <w:rFonts w:ascii="Arial;sans-serif" w:hAnsi="Arial;sans-serif"/>
                <w:b w:val="false"/>
                <w:color w:val="000000"/>
                <w:sz w:val="12"/>
              </w:rPr>
              <w:t>(2)</w:t>
            </w:r>
          </w:p>
        </w:tc>
        <w:tc>
          <w:tcPr>
            <w:tcW w:w="30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0.73 </w:t>
            </w:r>
          </w:p>
        </w:tc>
        <w:tc>
          <w:tcPr>
            <w:tcW w:w="15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5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14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11.79 </w:t>
            </w:r>
          </w:p>
        </w:tc>
        <w:tc>
          <w:tcPr>
            <w:tcW w:w="21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______________________________</w:t>
      </w:r>
    </w:p>
    <w:p>
      <w:pPr>
        <w:pStyle w:val="TextBody"/>
        <w:bidi w:val="0"/>
        <w:spacing w:lineRule="auto" w:line="288" w:before="60" w:after="283"/>
        <w:ind w:left="0" w:right="0" w:hanging="360"/>
        <w:jc w:val="left"/>
        <w:rPr>
          <w:rFonts w:ascii="Arial;sans-serif" w:hAnsi="Arial;sans-serif"/>
          <w:b w:val="false"/>
          <w:color w:val="000000"/>
          <w:sz w:val="18"/>
        </w:rPr>
      </w:pPr>
      <w:r>
        <w:rPr>
          <w:rFonts w:ascii="Arial;sans-serif" w:hAnsi="Arial;sans-serif"/>
          <w:b w:val="false"/>
          <w:color w:val="000000"/>
          <w:sz w:val="18"/>
        </w:rPr>
        <w:t xml:space="preserve">(1)    The dilutive effect of all potentially dilutive common shares is calculated using the treasury stock method. Certain potentially dilutive common shares issuable are not included in the computation of diluted net income per share because to do so would be anti-dilutive. For the three and nine months ended September 30, 2026, 280,000 and 226,000 shares, respectively, were excluded from diluted shares outstanding. For the three and nine months ended September 30, 2025, 532,000 and 265,000 shares were excluded from diluted shares outstanding. </w:t>
      </w:r>
    </w:p>
    <w:p>
      <w:pPr>
        <w:pStyle w:val="TextBody"/>
        <w:bidi w:val="0"/>
        <w:spacing w:lineRule="auto" w:line="288" w:before="0" w:after="120"/>
        <w:ind w:left="0" w:right="0" w:hanging="360"/>
        <w:jc w:val="left"/>
        <w:rPr>
          <w:rFonts w:ascii="Arial;sans-serif" w:hAnsi="Arial;sans-serif"/>
          <w:b w:val="false"/>
          <w:color w:val="000000"/>
          <w:sz w:val="18"/>
        </w:rPr>
      </w:pPr>
      <w:r>
        <w:rPr>
          <w:rFonts w:ascii="Arial;sans-serif" w:hAnsi="Arial;sans-serif"/>
          <w:b w:val="false"/>
          <w:color w:val="000000"/>
          <w:sz w:val="18"/>
        </w:rPr>
        <w:t>(2)    Source data for calculations in thousands.</w:t>
      </w:r>
    </w:p>
    <w:p>
      <w:pPr>
        <w:pStyle w:val="TextBody"/>
        <w:bidi w:val="0"/>
        <w:spacing w:lineRule="auto" w:line="288" w:before="120" w:after="120"/>
        <w:ind w:left="0" w:right="0" w:hanging="360"/>
        <w:jc w:val="left"/>
        <w:rPr>
          <w:color w:val="000000"/>
        </w:rPr>
      </w:pP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 xml:space="preserve">4. Fair Value Measurements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consider the carrying amounts of current assets and current liabilities to approximate their fair values because of the relatively short period of time between the origination of these instruments and their expected realization or payment. For our financial instruments measured at fair value on a recurring basis, we prioritize the inputs used in measuring fair value according to the three-tier fair value hierarchy. For a description of the methods and assumptions used to: a) estimate the fair value; and b) determine the classification according to the fair value hierarchy for each financial instrument, refer to our 2025 Annual Report on Form 10-K, Note 5, “Fair Value Measurements.”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10</w:t>
                      </w:r>
                    </w:p>
                  </w:txbxContent>
                </v:textbox>
                <w10:wrap type="none"/>
              </v:rect>
            </w:pict>
          </mc:Fallback>
        </mc:AlternateContent>
      </w:r>
    </w:p>
    <w:p>
      <w:pPr>
        <w:pStyle w:val="TextBody"/>
        <w:bidi w:val="0"/>
        <w:spacing w:lineRule="auto" w:line="288" w:before="0" w:after="0"/>
        <w:jc w:val="left"/>
        <w:rPr/>
      </w:pPr>
      <w:hyperlink w:anchor="if0f7722e66e044efbc92f161b43315a4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financial instruments measured at fair value on a recurring basis at September 30, 2026, were as follows:</w:t>
      </w:r>
    </w:p>
    <w:tbl>
      <w:tblPr>
        <w:tblW w:w="10205" w:type="dxa"/>
        <w:jc w:val="left"/>
        <w:tblInd w:w="0" w:type="dxa"/>
        <w:tblLayout w:type="fixed"/>
        <w:tblCellMar>
          <w:top w:w="28" w:type="dxa"/>
          <w:left w:w="28" w:type="dxa"/>
          <w:bottom w:w="28" w:type="dxa"/>
          <w:right w:w="28" w:type="dxa"/>
        </w:tblCellMar>
      </w:tblPr>
      <w:tblGrid>
        <w:gridCol w:w="850"/>
        <w:gridCol w:w="713"/>
        <w:gridCol w:w="690"/>
        <w:gridCol w:w="211"/>
        <w:gridCol w:w="616"/>
        <w:gridCol w:w="109"/>
        <w:gridCol w:w="109"/>
        <w:gridCol w:w="109"/>
        <w:gridCol w:w="109"/>
        <w:gridCol w:w="427"/>
        <w:gridCol w:w="823"/>
        <w:gridCol w:w="221"/>
        <w:gridCol w:w="109"/>
        <w:gridCol w:w="109"/>
        <w:gridCol w:w="109"/>
        <w:gridCol w:w="639"/>
        <w:gridCol w:w="1875"/>
        <w:gridCol w:w="333"/>
        <w:gridCol w:w="109"/>
        <w:gridCol w:w="109"/>
        <w:gridCol w:w="109"/>
        <w:gridCol w:w="467"/>
        <w:gridCol w:w="901"/>
        <w:gridCol w:w="349"/>
      </w:tblGrid>
      <w:tr>
        <w:trPr/>
        <w:tc>
          <w:tcPr>
            <w:tcW w:w="85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Directly or Indirectly 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Unobservable Inputs</w:t>
            </w:r>
          </w:p>
        </w:tc>
      </w:tr>
      <w:tr>
        <w:trPr/>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(Level 3)</w:t>
            </w:r>
          </w:p>
        </w:tc>
      </w:tr>
      <w:tr>
        <w:trPr/>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2,400 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946 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Asset-backed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Treasury notes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Municipal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4,100 </w:t>
            </w:r>
          </w:p>
        </w:tc>
        <w:tc>
          <w:tcPr>
            <w:tcW w:w="3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financial instruments measured at fair value on a recurring basis at December 31, 2025, were as follows:</w:t>
      </w:r>
    </w:p>
    <w:tbl>
      <w:tblPr>
        <w:tblW w:w="10205" w:type="dxa"/>
        <w:jc w:val="left"/>
        <w:tblInd w:w="0" w:type="dxa"/>
        <w:tblLayout w:type="fixed"/>
        <w:tblCellMar>
          <w:top w:w="28" w:type="dxa"/>
          <w:left w:w="28" w:type="dxa"/>
          <w:bottom w:w="28" w:type="dxa"/>
          <w:right w:w="28" w:type="dxa"/>
        </w:tblCellMar>
      </w:tblPr>
      <w:tblGrid>
        <w:gridCol w:w="850"/>
        <w:gridCol w:w="713"/>
        <w:gridCol w:w="690"/>
        <w:gridCol w:w="211"/>
        <w:gridCol w:w="616"/>
        <w:gridCol w:w="109"/>
        <w:gridCol w:w="109"/>
        <w:gridCol w:w="109"/>
        <w:gridCol w:w="109"/>
        <w:gridCol w:w="427"/>
        <w:gridCol w:w="823"/>
        <w:gridCol w:w="221"/>
        <w:gridCol w:w="109"/>
        <w:gridCol w:w="109"/>
        <w:gridCol w:w="109"/>
        <w:gridCol w:w="639"/>
        <w:gridCol w:w="1875"/>
        <w:gridCol w:w="333"/>
        <w:gridCol w:w="109"/>
        <w:gridCol w:w="109"/>
        <w:gridCol w:w="109"/>
        <w:gridCol w:w="467"/>
        <w:gridCol w:w="901"/>
        <w:gridCol w:w="349"/>
      </w:tblGrid>
      <w:tr>
        <w:trPr/>
        <w:tc>
          <w:tcPr>
            <w:tcW w:w="85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Directly or Indirectly 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Unobservable Inputs</w:t>
            </w:r>
          </w:p>
        </w:tc>
      </w:tr>
      <w:tr>
        <w:trPr/>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2,465 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953 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Asset-backed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Treasury notes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Municipal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assets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4,008 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Fair Value Measurements – Disclosure Only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carrying amounts and estimated fair values of our notes payable are classified as Level 2 financial instruments. Fair value for these securities is determined using a market approach based on quoted market prices for similar securities in active markets or quoted prices for identical securities in inactive markets.</w:t>
      </w:r>
    </w:p>
    <w:tbl>
      <w:tblPr>
        <w:tblW w:w="6869" w:type="dxa"/>
        <w:jc w:val="left"/>
        <w:tblInd w:w="0" w:type="dxa"/>
        <w:tblLayout w:type="fixed"/>
        <w:tblCellMar>
          <w:top w:w="28" w:type="dxa"/>
          <w:left w:w="28" w:type="dxa"/>
          <w:bottom w:w="28" w:type="dxa"/>
          <w:right w:w="28" w:type="dxa"/>
        </w:tblCellMar>
      </w:tblPr>
      <w:tblGrid>
        <w:gridCol w:w="760"/>
        <w:gridCol w:w="668"/>
        <w:gridCol w:w="671"/>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Fair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Fair Value </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4.375% Notes due 2028</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3.875% Notes due 2030</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6.500% Notes due 2031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3.875% Notes due 2032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6.250% Notes due 2033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11</w:t>
                      </w:r>
                    </w:p>
                  </w:txbxContent>
                </v:textbox>
                <w10:wrap type="none"/>
              </v:rect>
            </w:pict>
          </mc:Fallback>
        </mc:AlternateContent>
      </w:r>
    </w:p>
    <w:p>
      <w:pPr>
        <w:pStyle w:val="TextBody"/>
        <w:bidi w:val="0"/>
        <w:spacing w:lineRule="auto" w:line="288" w:before="0" w:after="0"/>
        <w:jc w:val="left"/>
        <w:rPr/>
      </w:pPr>
      <w:hyperlink w:anchor="if0f7722e66e044efbc92f161b43315a4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 xml:space="preserve">5. Investments </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Available-for-Sale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consider all of our investments classified as current assets to be available-for-sale. The following tables summarize our current investments as of the dates indicated:</w:t>
      </w:r>
    </w:p>
    <w:tbl>
      <w:tblPr>
        <w:tblW w:w="7847" w:type="dxa"/>
        <w:jc w:val="left"/>
        <w:tblInd w:w="0" w:type="dxa"/>
        <w:tblLayout w:type="fixed"/>
        <w:tblCellMar>
          <w:top w:w="28" w:type="dxa"/>
          <w:left w:w="28" w:type="dxa"/>
          <w:bottom w:w="28" w:type="dxa"/>
          <w:right w:w="28" w:type="dxa"/>
        </w:tblCellMar>
      </w:tblPr>
      <w:tblGrid>
        <w:gridCol w:w="862"/>
        <w:gridCol w:w="759"/>
        <w:gridCol w:w="763"/>
        <w:gridCol w:w="304"/>
        <w:gridCol w:w="889"/>
        <w:gridCol w:w="157"/>
        <w:gridCol w:w="109"/>
        <w:gridCol w:w="109"/>
        <w:gridCol w:w="109"/>
        <w:gridCol w:w="211"/>
        <w:gridCol w:w="256"/>
        <w:gridCol w:w="109"/>
        <w:gridCol w:w="109"/>
        <w:gridCol w:w="109"/>
        <w:gridCol w:w="109"/>
        <w:gridCol w:w="211"/>
        <w:gridCol w:w="466"/>
        <w:gridCol w:w="109"/>
        <w:gridCol w:w="109"/>
        <w:gridCol w:w="109"/>
        <w:gridCol w:w="109"/>
        <w:gridCol w:w="380"/>
        <w:gridCol w:w="1112"/>
        <w:gridCol w:w="278"/>
      </w:tblGrid>
      <w:tr>
        <w:trPr/>
        <w:tc>
          <w:tcPr>
            <w:tcW w:w="8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Fair Value</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securities</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Mortgage-backed securities</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Asset-backed securities</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U.S. Treasury notes</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Municipal securities</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4,225 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4,100 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847" w:type="dxa"/>
        <w:jc w:val="left"/>
        <w:tblInd w:w="0" w:type="dxa"/>
        <w:tblLayout w:type="fixed"/>
        <w:tblCellMar>
          <w:top w:w="28" w:type="dxa"/>
          <w:left w:w="28" w:type="dxa"/>
          <w:bottom w:w="28" w:type="dxa"/>
          <w:right w:w="28" w:type="dxa"/>
        </w:tblCellMar>
      </w:tblPr>
      <w:tblGrid>
        <w:gridCol w:w="862"/>
        <w:gridCol w:w="759"/>
        <w:gridCol w:w="763"/>
        <w:gridCol w:w="304"/>
        <w:gridCol w:w="889"/>
        <w:gridCol w:w="157"/>
        <w:gridCol w:w="109"/>
        <w:gridCol w:w="109"/>
        <w:gridCol w:w="109"/>
        <w:gridCol w:w="211"/>
        <w:gridCol w:w="361"/>
        <w:gridCol w:w="109"/>
        <w:gridCol w:w="109"/>
        <w:gridCol w:w="109"/>
        <w:gridCol w:w="109"/>
        <w:gridCol w:w="211"/>
        <w:gridCol w:w="361"/>
        <w:gridCol w:w="109"/>
        <w:gridCol w:w="109"/>
        <w:gridCol w:w="109"/>
        <w:gridCol w:w="109"/>
        <w:gridCol w:w="380"/>
        <w:gridCol w:w="1112"/>
        <w:gridCol w:w="278"/>
      </w:tblGrid>
      <w:tr>
        <w:trPr/>
        <w:tc>
          <w:tcPr>
            <w:tcW w:w="8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Fair Value</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securities</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2,465 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Mortgage-backed securities</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953 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Asset-backed securities</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U.S. Treasury notes</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Municipal securities</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3,988 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4,008 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Expected maturities may differ from contractual maturities because borrowers may have the right to call or prepay obligations with or without call or prepayment penalties. The contractual maturities of our current investments as of September 30, 2026 are summarized below:</w:t>
      </w:r>
    </w:p>
    <w:tbl>
      <w:tblPr>
        <w:tblW w:w="5823" w:type="dxa"/>
        <w:jc w:val="left"/>
        <w:tblInd w:w="0" w:type="dxa"/>
        <w:tblLayout w:type="fixed"/>
        <w:tblCellMar>
          <w:top w:w="28" w:type="dxa"/>
          <w:left w:w="28" w:type="dxa"/>
          <w:bottom w:w="28" w:type="dxa"/>
          <w:right w:w="28" w:type="dxa"/>
        </w:tblCellMar>
      </w:tblPr>
      <w:tblGrid>
        <w:gridCol w:w="1145"/>
        <w:gridCol w:w="1007"/>
        <w:gridCol w:w="1013"/>
        <w:gridCol w:w="304"/>
        <w:gridCol w:w="889"/>
        <w:gridCol w:w="157"/>
        <w:gridCol w:w="109"/>
        <w:gridCol w:w="109"/>
        <w:gridCol w:w="109"/>
        <w:gridCol w:w="211"/>
        <w:gridCol w:w="616"/>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w:t>
              <w:br/>
              <w:t>Fair Value</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in one year or less</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after one year through five years</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after five years through ten years</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after ten years</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4,225 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Arial;sans-serif" w:hAnsi="Arial;sans-serif"/>
          <w:b w:val="false"/>
          <w:color w:val="000000"/>
          <w:sz w:val="20"/>
        </w:rPr>
      </w:pPr>
      <w:r>
        <w:rPr>
          <w:rFonts w:ascii="Arial;sans-serif" w:hAnsi="Arial;sans-serif"/>
          <w:b w:val="false"/>
          <w:color w:val="000000"/>
          <w:sz w:val="20"/>
        </w:rPr>
        <w:t xml:space="preserve">In the nine months ended September 30, 2026, and 2025, maturities and redemptions of available-for-sale securities amounted to $928 million and $933 million, respectively, and sales amounted to $92 million and $84 million, respectively. Gross realized gains and losses from sales of available-for-sale securities are calculated under the specific identification method and are included in investment income. Gross realized investment gains and losses were insignificant for the nine months ended September 30, 2026 and 2025.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have determined that unrealized losses at September 30, 2026, and December 31, 2025, primarily resulted from fluctuating interest rates, rather than a deterioration of the creditworthiness of the issuers. Further, as of September 30, 2026, we do not intend to sell, and it is not likely that we will be required to sell these investments prior to the recovery of their amortized cost basis. Therefore, we determined that an allowance for credit losses was not necessary.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12</w:t>
                      </w:r>
                    </w:p>
                  </w:txbxContent>
                </v:textbox>
                <w10:wrap type="none"/>
              </v:rect>
            </w:pict>
          </mc:Fallback>
        </mc:AlternateContent>
      </w:r>
    </w:p>
    <w:p>
      <w:pPr>
        <w:pStyle w:val="TextBody"/>
        <w:bidi w:val="0"/>
        <w:spacing w:lineRule="auto" w:line="288" w:before="0" w:after="0"/>
        <w:jc w:val="left"/>
        <w:rPr/>
      </w:pPr>
      <w:hyperlink w:anchor="if0f7722e66e044efbc92f161b43315a4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segregates those available-for-sale investments that have been in a continuous loss position for less than 12 months, and those that have been in a continuous loss position for 12 months or more as of September 30, 2026:</w:t>
      </w:r>
    </w:p>
    <w:tbl>
      <w:tblPr>
        <w:tblW w:w="10205" w:type="dxa"/>
        <w:jc w:val="left"/>
        <w:tblInd w:w="0" w:type="dxa"/>
        <w:tblLayout w:type="fixed"/>
        <w:tblCellMar>
          <w:top w:w="28" w:type="dxa"/>
          <w:left w:w="28" w:type="dxa"/>
          <w:bottom w:w="28" w:type="dxa"/>
          <w:right w:w="28" w:type="dxa"/>
        </w:tblCellMar>
      </w:tblPr>
      <w:tblGrid>
        <w:gridCol w:w="818"/>
        <w:gridCol w:w="594"/>
        <w:gridCol w:w="499"/>
        <w:gridCol w:w="211"/>
        <w:gridCol w:w="616"/>
        <w:gridCol w:w="109"/>
        <w:gridCol w:w="109"/>
        <w:gridCol w:w="109"/>
        <w:gridCol w:w="109"/>
        <w:gridCol w:w="293"/>
        <w:gridCol w:w="501"/>
        <w:gridCol w:w="152"/>
        <w:gridCol w:w="109"/>
        <w:gridCol w:w="109"/>
        <w:gridCol w:w="109"/>
        <w:gridCol w:w="500"/>
        <w:gridCol w:w="474"/>
        <w:gridCol w:w="476"/>
        <w:gridCol w:w="109"/>
        <w:gridCol w:w="109"/>
        <w:gridCol w:w="109"/>
        <w:gridCol w:w="241"/>
        <w:gridCol w:w="534"/>
        <w:gridCol w:w="126"/>
        <w:gridCol w:w="110"/>
        <w:gridCol w:w="110"/>
        <w:gridCol w:w="110"/>
        <w:gridCol w:w="293"/>
        <w:gridCol w:w="501"/>
        <w:gridCol w:w="152"/>
        <w:gridCol w:w="110"/>
        <w:gridCol w:w="110"/>
        <w:gridCol w:w="110"/>
        <w:gridCol w:w="430"/>
        <w:gridCol w:w="430"/>
        <w:gridCol w:w="614"/>
      </w:tblGrid>
      <w:tr>
        <w:trPr/>
        <w:tc>
          <w:tcPr>
            <w:tcW w:w="81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a Continuous Loss Position</w:t>
              <w:br/>
              <w:t>for 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a Continuous Loss Position</w:t>
              <w:br/>
              <w:t>for 12 Months or More</w:t>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w:t>
              <w:b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 Positions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w:t>
              <w:br/>
              <w:t>Fair</w:t>
              <w:br/>
              <w:t>Value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w:t>
              <w:br/>
              <w:t>Losses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 Positions</w:t>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millions)</w:t>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1,172 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Mortgage-backed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Asset-backed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Municipal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1,999 </w:t>
            </w:r>
          </w:p>
        </w:tc>
        <w:tc>
          <w:tcPr>
            <w:tcW w:w="4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345 </w:t>
            </w:r>
          </w:p>
        </w:tc>
        <w:tc>
          <w:tcPr>
            <w:tcW w:w="6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segregates those available-for-sale investments that have been in a continuous loss position for less than 12 months, and those that have been in a continuous loss position for 12 months or more as of December 31, 2025:</w:t>
      </w:r>
    </w:p>
    <w:tbl>
      <w:tblPr>
        <w:tblW w:w="10205" w:type="dxa"/>
        <w:jc w:val="left"/>
        <w:tblInd w:w="0" w:type="dxa"/>
        <w:tblLayout w:type="fixed"/>
        <w:tblCellMar>
          <w:top w:w="28" w:type="dxa"/>
          <w:left w:w="28" w:type="dxa"/>
          <w:bottom w:w="28" w:type="dxa"/>
          <w:right w:w="28" w:type="dxa"/>
        </w:tblCellMar>
      </w:tblPr>
      <w:tblGrid>
        <w:gridCol w:w="819"/>
        <w:gridCol w:w="597"/>
        <w:gridCol w:w="504"/>
        <w:gridCol w:w="241"/>
        <w:gridCol w:w="534"/>
        <w:gridCol w:w="126"/>
        <w:gridCol w:w="112"/>
        <w:gridCol w:w="112"/>
        <w:gridCol w:w="112"/>
        <w:gridCol w:w="346"/>
        <w:gridCol w:w="420"/>
        <w:gridCol w:w="180"/>
        <w:gridCol w:w="112"/>
        <w:gridCol w:w="112"/>
        <w:gridCol w:w="112"/>
        <w:gridCol w:w="479"/>
        <w:gridCol w:w="479"/>
        <w:gridCol w:w="481"/>
        <w:gridCol w:w="109"/>
        <w:gridCol w:w="109"/>
        <w:gridCol w:w="109"/>
        <w:gridCol w:w="241"/>
        <w:gridCol w:w="534"/>
        <w:gridCol w:w="126"/>
        <w:gridCol w:w="110"/>
        <w:gridCol w:w="110"/>
        <w:gridCol w:w="110"/>
        <w:gridCol w:w="293"/>
        <w:gridCol w:w="501"/>
        <w:gridCol w:w="152"/>
        <w:gridCol w:w="110"/>
        <w:gridCol w:w="110"/>
        <w:gridCol w:w="110"/>
        <w:gridCol w:w="435"/>
        <w:gridCol w:w="435"/>
        <w:gridCol w:w="623"/>
      </w:tblGrid>
      <w:tr>
        <w:trPr/>
        <w:tc>
          <w:tcPr>
            <w:tcW w:w="81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a Continuous Loss Position</w:t>
              <w:br/>
              <w:t>for 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a Continuous Loss Position</w:t>
              <w:br/>
              <w:t>for 12 Months or More</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w:t>
              <w:br/>
              <w:t>Fair</w:t>
              <w:br/>
              <w:t>Value</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w:t>
              <w:br/>
              <w:t>Losses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 Positions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w:t>
              <w:br/>
              <w:t>Fair</w:t>
              <w:br/>
              <w:t>Value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w:t>
              <w:br/>
              <w:t>Losses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 Positions</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millions)</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securities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Mortgage-backed securities</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Asset-backed securities</w:t>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Municipal securities</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w:t>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523 </w:t>
            </w:r>
          </w:p>
        </w:tc>
        <w:tc>
          <w:tcPr>
            <w:tcW w:w="6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Restricted Investments Held-to-Maturity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Pursuant to the regulations governing our state health plan subsidiaries, we maintain statutory deposits and deposits required by government authorities primarily in cash, cash equivalents, U.S. Treasury securities, and corporate debt securities. We also maintain restricted investments as protection against the insolvency of certain capitated providers. The use of these funds is limited as required by regulations in the various states in which we operate, or as needed in the event of insolvency of capitated providers. Therefore, such investments are reported as “Restricted investments” in the accompanying consolidated balance sheets.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have the intent and ability to hold these restricted investments until maturity and, as a result, we expect to collect the contractual cash flows associated with these investments and do not recognize interim fluctuations in fair value. Accordingly, our held-to-maturity restricted investments are carried at amortized cost, which approximates fair value. Such investments amounted to $345 million at September 30, 2026, of which $281 million will mature in one year or less, $61 million will mature in one through five years, and $3 million will mature after five years.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Arial;sans-serif" w:hAnsi="Arial;sans-serif"/>
          <w:b/>
          <w:color w:val="828282"/>
          <w:sz w:val="20"/>
        </w:rPr>
        <w:t>6. Medical Claims and Benefits Payable</w:t>
      </w:r>
      <w:r>
        <w:rPr>
          <w:color w:val="000000"/>
        </w:rPr>
        <w:t xml:space="preser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following tables present the components of the change in our medical claims and benefits payable for the periods indicated. The amounts presented for “Components of medical care costs related to: Prior years” represent the amount by which our original estimate of medical claims and benefits payable at the beginning of the year varied from the actual liabilities, based on information (principally the payment of claims) developed since those liabilities were first reported.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13</w:t>
                      </w:r>
                    </w:p>
                  </w:txbxContent>
                </v:textbox>
                <w10:wrap type="none"/>
              </v:rect>
            </w:pict>
          </mc:Fallback>
        </mc:AlternateContent>
      </w:r>
    </w:p>
    <w:p>
      <w:pPr>
        <w:pStyle w:val="TextBody"/>
        <w:bidi w:val="0"/>
        <w:spacing w:lineRule="auto" w:line="288" w:before="0" w:after="0"/>
        <w:jc w:val="left"/>
        <w:rPr/>
      </w:pPr>
      <w:hyperlink w:anchor="if0f7722e66e044efbc92f161b43315a4_7">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541"/>
        <w:gridCol w:w="1308"/>
        <w:gridCol w:w="1314"/>
        <w:gridCol w:w="211"/>
        <w:gridCol w:w="616"/>
        <w:gridCol w:w="109"/>
        <w:gridCol w:w="109"/>
        <w:gridCol w:w="109"/>
        <w:gridCol w:w="109"/>
        <w:gridCol w:w="227"/>
        <w:gridCol w:w="502"/>
        <w:gridCol w:w="119"/>
        <w:gridCol w:w="109"/>
        <w:gridCol w:w="109"/>
        <w:gridCol w:w="109"/>
        <w:gridCol w:w="282"/>
        <w:gridCol w:w="623"/>
        <w:gridCol w:w="146"/>
        <w:gridCol w:w="109"/>
        <w:gridCol w:w="109"/>
        <w:gridCol w:w="109"/>
        <w:gridCol w:w="211"/>
        <w:gridCol w:w="361"/>
        <w:gridCol w:w="109"/>
        <w:gridCol w:w="109"/>
        <w:gridCol w:w="109"/>
        <w:gridCol w:w="109"/>
        <w:gridCol w:w="261"/>
        <w:gridCol w:w="763"/>
        <w:gridCol w:w="194"/>
      </w:tblGrid>
      <w:tr>
        <w:trPr/>
        <w:tc>
          <w:tcPr>
            <w:tcW w:w="154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 2026</w:t>
            </w:r>
          </w:p>
        </w:tc>
      </w:tr>
      <w:tr>
        <w:trPr/>
        <w:tc>
          <w:tcPr>
            <w:tcW w:w="4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Medicaid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Medicare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Marketplace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4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2" w:type="dxa"/>
            <w:gridSpan w:val="27"/>
            <w:tcBorders/>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Arial;sans-serif" w:hAnsi="Arial;sans-serif"/>
                <w:b/>
                <w:color w:val="000000"/>
                <w:sz w:val="16"/>
              </w:rPr>
            </w:pPr>
            <w:r>
              <w:rPr>
                <w:rFonts w:ascii="Arial;sans-serif" w:hAnsi="Arial;sans-serif"/>
                <w:b/>
                <w:color w:val="000000"/>
                <w:sz w:val="16"/>
              </w:rPr>
              <w:t>(In millions)</w:t>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 claims and benefits payable, 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Components of medical care costs related to:</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year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28,781 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years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medical care costs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4,285 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1,761 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28,429 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for medical care costs related to:</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year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24,692 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years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paid</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4,343 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2,016 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28,655 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non-risk and other payables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 claims and benefits payable, ending balance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4,988 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67"/>
        <w:gridCol w:w="1292"/>
        <w:gridCol w:w="1297"/>
        <w:gridCol w:w="211"/>
        <w:gridCol w:w="616"/>
        <w:gridCol w:w="109"/>
        <w:gridCol w:w="109"/>
        <w:gridCol w:w="109"/>
        <w:gridCol w:w="109"/>
        <w:gridCol w:w="217"/>
        <w:gridCol w:w="480"/>
        <w:gridCol w:w="114"/>
        <w:gridCol w:w="109"/>
        <w:gridCol w:w="109"/>
        <w:gridCol w:w="109"/>
        <w:gridCol w:w="282"/>
        <w:gridCol w:w="623"/>
        <w:gridCol w:w="146"/>
        <w:gridCol w:w="109"/>
        <w:gridCol w:w="109"/>
        <w:gridCol w:w="109"/>
        <w:gridCol w:w="211"/>
        <w:gridCol w:w="406"/>
        <w:gridCol w:w="109"/>
        <w:gridCol w:w="109"/>
        <w:gridCol w:w="109"/>
        <w:gridCol w:w="109"/>
        <w:gridCol w:w="261"/>
        <w:gridCol w:w="763"/>
        <w:gridCol w:w="193"/>
      </w:tblGrid>
      <w:tr>
        <w:trPr/>
        <w:tc>
          <w:tcPr>
            <w:tcW w:w="1567"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 2025</w:t>
            </w:r>
          </w:p>
        </w:tc>
      </w:tr>
      <w:tr>
        <w:trPr/>
        <w:tc>
          <w:tcPr>
            <w:tcW w:w="4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Medicaid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Medicare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Marketplace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4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9" w:type="dxa"/>
            <w:gridSpan w:val="27"/>
            <w:tcBorders/>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Arial;sans-serif" w:hAnsi="Arial;sans-serif"/>
                <w:b/>
                <w:color w:val="000000"/>
                <w:sz w:val="16"/>
              </w:rPr>
            </w:pPr>
            <w:r>
              <w:rPr>
                <w:rFonts w:ascii="Arial;sans-serif" w:hAnsi="Arial;sans-serif"/>
                <w:b/>
                <w:color w:val="000000"/>
                <w:sz w:val="16"/>
              </w:rPr>
              <w:t>(In millions)</w:t>
            </w:r>
          </w:p>
        </w:tc>
      </w:tr>
      <w:tr>
        <w:trPr/>
        <w:tc>
          <w:tcPr>
            <w:tcW w:w="4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 claims and benefits payable, 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Components of medical care costs related to:</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year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29,476 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years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medical care costs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4,250 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2,990 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29,352 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for medical care costs related to:</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year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25,425 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years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paid</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4,429 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2,831 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29,484 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Acquired balances, net of post-acquisition adjustments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non-risk and other payables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93"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 claims and benefits payable, ending balance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4,844 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Incurred but not paid claims amount totaled $2,985 million as of September 30, 2026, and includes the costs of claims incurred as of the balance sheet date which have been reported to us, and our best estimate of the cost of claims incurred but not yet reported to us. Our estimates of medical claims and benefits payable recorded at December 31, 2025, and 2024 developed favorably by approximately $352 million and $124 million as of September 30, 2026, and 2025, respectively.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favorable prior year development recognized in the nine months ended September 30, 2026 was primarily attributable to reserving under moderately adverse conditions, lower than expected utilization of medical services by our members and improved operating performance, mainly in the Medicaid and Medicare segments. Consequently, the ultimate costs recognized in 2026, as claims payments were processed, were lower than our estimates in 2025. </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14</w:t>
                      </w:r>
                    </w:p>
                  </w:txbxContent>
                </v:textbox>
                <w10:wrap type="none"/>
              </v:rect>
            </w:pict>
          </mc:Fallback>
        </mc:AlternateContent>
      </w:r>
    </w:p>
    <w:p>
      <w:pPr>
        <w:pStyle w:val="TextBody"/>
        <w:bidi w:val="0"/>
        <w:spacing w:lineRule="auto" w:line="288" w:before="0" w:after="0"/>
        <w:jc w:val="left"/>
        <w:rPr/>
      </w:pPr>
      <w:hyperlink w:anchor="if0f7722e66e044efbc92f161b43315a4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 xml:space="preserve">7. Debt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our outstanding debt obligations:</w:t>
      </w:r>
    </w:p>
    <w:tbl>
      <w:tblPr>
        <w:tblW w:w="6071" w:type="dxa"/>
        <w:jc w:val="left"/>
        <w:tblInd w:w="0" w:type="dxa"/>
        <w:tblLayout w:type="fixed"/>
        <w:tblCellMar>
          <w:top w:w="28" w:type="dxa"/>
          <w:left w:w="28" w:type="dxa"/>
          <w:bottom w:w="28" w:type="dxa"/>
          <w:right w:w="28" w:type="dxa"/>
        </w:tblCellMar>
      </w:tblPr>
      <w:tblGrid>
        <w:gridCol w:w="1196"/>
        <w:gridCol w:w="1050"/>
        <w:gridCol w:w="1053"/>
        <w:gridCol w:w="276"/>
        <w:gridCol w:w="809"/>
        <w:gridCol w:w="144"/>
        <w:gridCol w:w="109"/>
        <w:gridCol w:w="109"/>
        <w:gridCol w:w="109"/>
        <w:gridCol w:w="261"/>
        <w:gridCol w:w="763"/>
        <w:gridCol w:w="192"/>
      </w:tblGrid>
      <w:tr>
        <w:trPr/>
        <w:tc>
          <w:tcPr>
            <w:tcW w:w="119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Non-current long-term debt:</w:t>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4.375% Notes due June 15, 2028</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3.875% Notes due November 15, 2030</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6.500% Notes due February 15, 2031</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3.875% Notes due May 15, 2032</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6.250% Notes due January 15, 2033</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Deferred debt issuance costs </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3,771 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3,766 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Arial;sans-serif" w:hAnsi="Arial;sans-serif"/>
          <w:b/>
          <w:i/>
          <w:color w:val="000000"/>
          <w:sz w:val="20"/>
        </w:rPr>
        <w:t>Senior Notes</w:t>
      </w:r>
      <w:r>
        <w:rPr>
          <w:color w:val="000000"/>
        </w:rPr>
        <w:t xml:space="preser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Each of these notes are senior unsecured obligations of the parent corporation, Molina Healthcare, Inc., and rank equally in right of payment with all existing and future senior debt, and senior to all existing and future subordinated debt of Molina Healthcare, Inc. The senior note indentures contain customary non-financial covenants and change of control provisions. As of September 30, 2026, we were in compliance with all non-financial covenants in the indentures governing the senior notes.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indentures governing the senior notes contain cross-default provisions that are triggered upon default by us or any of our subsidiaries on any indebtedness in excess of the amount specified in the applicable indenture. As discussed below, no amounts were outstanding under the Credit Agreement as of September 30, 2026, so there is no risk of a cross-default under the senior notes.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Credit Agreement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are party to a Credit Agreement (the “Credit Agreement”) which includes a revolving credit facility (“Credit Facility”) of $1.25 billion, a $15 million swingline sub-facility, a $100 million letter of credit sub-facility, as well as uncommitted capacity to incur incremental term loans to finance certain acquisitions up to $800 million. Borrowings under the Credit Agreement bear interest based, at our election, on a base rate or other defined rate, plus in each case, the applicable margin. In addition to interest payable on the principal amount of indebtedness outstanding from time to time under the Credit Agreement, we are required to pay a quarterly commitment fee. The Credit Agreement has a term of five years, and all amounts outstanding will be due and payable on November 20, 2030.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Credit Agreement contains customary non-financial and financial covenants, including maintenance of a minimum Interest Coverage Ratio threshold of 3.0 to 1.0, and a maximum Consolidated Total Debt to Capital Ratio of 60%, with a step-up to 65% for four fiscal quarters following a material acquisition or series of related acquisitions (i.e., $500 million or greater cash consideration). We executed an amendment to the Credit Agreement on February 4, 2026 that temporarily reduces the Interest Coverage Ratio threshold to (a) with respect to each fiscal quarter ending March 31, 2026 through and including December 31, 2026, 1.75:1.00, (b) with respect to fiscal quarter ending March 31, 2027, 2.00:1.00, (c) with respect to fiscal quarter ending June 30, 2027, 2.50:1.00 and (d) with respect to fiscal quarter ending September 30, 2027, 2.75:1.00. As of September 30, 2026, we were in compliance with all non-financial and financial covenants under the Credit Agreement.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September 30, 2026, no amount was outstanding under the Credit Agreement.</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 xml:space="preserve">8. Segments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currently have four reportable segments consisting of: 1) Medicaid; 2) Medicare; 3) Marketplace; and 4) Other. Our reportable segments are consistent with how we currently manage the business and view the markets we serve.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Medicaid, Medicare, and Marketplace segments represent the government-funded or sponsored programs under which we offer managed healthcare services. The Other segment, which is insignificant to our consolidated results of operations, includes long-term services and supports consultative services in Wisconsin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15</w:t>
                      </w:r>
                    </w:p>
                  </w:txbxContent>
                </v:textbox>
                <w10:wrap type="none"/>
              </v:rect>
            </w:pict>
          </mc:Fallback>
        </mc:AlternateContent>
      </w:r>
    </w:p>
    <w:p>
      <w:pPr>
        <w:pStyle w:val="TextBody"/>
        <w:bidi w:val="0"/>
        <w:spacing w:lineRule="auto" w:line="288" w:before="0" w:after="0"/>
        <w:jc w:val="left"/>
        <w:rPr/>
      </w:pPr>
      <w:hyperlink w:anchor="if0f7722e66e044efbc92f161b43315a4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commercial portion of the business acquired in connection with the ConnectiCare transaction that closed effective February 1, 2025.</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key metrics used to assess the performance of our segments are revenue, margin and medical care ratio (“MCR”). MCR represents the amount of medical care costs as a percentage of premium revenue. Therefore, the underlying margin, or the amount earned by the segments after medical or service costs are deducted from revenue, represents the most important measure of earnings reviewed by management, and is used by our chief executive officer, who is our chief operating decision maker, to review results, assess performance, and allocate resources. Such oversight and decision making includes, among others, pricing, approving capital expenditures, and identifying growth opportunities. We do not report total assets by segment since this is not a metric used to assess segment performance or allocate resources.</w:t>
      </w:r>
    </w:p>
    <w:p>
      <w:pPr>
        <w:pStyle w:val="TextBody"/>
        <w:bidi w:val="0"/>
        <w:spacing w:before="120" w:after="120"/>
        <w:jc w:val="left"/>
        <w:rPr/>
      </w:pPr>
      <w:r>
        <w:rPr/>
      </w:r>
    </w:p>
    <w:tbl>
      <w:tblPr>
        <w:tblW w:w="9013" w:type="dxa"/>
        <w:jc w:val="left"/>
        <w:tblInd w:w="0" w:type="dxa"/>
        <w:tblLayout w:type="fixed"/>
        <w:tblCellMar>
          <w:top w:w="28" w:type="dxa"/>
          <w:left w:w="28" w:type="dxa"/>
          <w:bottom w:w="28" w:type="dxa"/>
          <w:right w:w="28" w:type="dxa"/>
        </w:tblCellMar>
      </w:tblPr>
      <w:tblGrid>
        <w:gridCol w:w="1075"/>
        <w:gridCol w:w="946"/>
        <w:gridCol w:w="949"/>
        <w:gridCol w:w="211"/>
        <w:gridCol w:w="616"/>
        <w:gridCol w:w="109"/>
        <w:gridCol w:w="109"/>
        <w:gridCol w:w="109"/>
        <w:gridCol w:w="109"/>
        <w:gridCol w:w="211"/>
        <w:gridCol w:w="616"/>
        <w:gridCol w:w="109"/>
        <w:gridCol w:w="109"/>
        <w:gridCol w:w="109"/>
        <w:gridCol w:w="109"/>
        <w:gridCol w:w="282"/>
        <w:gridCol w:w="623"/>
        <w:gridCol w:w="146"/>
        <w:gridCol w:w="109"/>
        <w:gridCol w:w="109"/>
        <w:gridCol w:w="109"/>
        <w:gridCol w:w="211"/>
        <w:gridCol w:w="406"/>
        <w:gridCol w:w="109"/>
        <w:gridCol w:w="109"/>
        <w:gridCol w:w="109"/>
        <w:gridCol w:w="109"/>
        <w:gridCol w:w="211"/>
        <w:gridCol w:w="721"/>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 2026</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Medicaid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Medicare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Marketplace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Premium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from external customers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10,480 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operating revenues </w:t>
            </w:r>
            <w:r>
              <w:rPr>
                <w:rFonts w:ascii="Arial;sans-serif" w:hAnsi="Arial;sans-serif"/>
                <w:b w:val="false"/>
                <w:color w:val="000000"/>
                <w:sz w:val="12"/>
              </w:rPr>
              <w:t>(1)</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11,082 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Expenses: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 care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service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expenses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9,740 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operating expenses </w:t>
            </w:r>
            <w:r>
              <w:rPr>
                <w:rFonts w:ascii="Arial;sans-serif" w:hAnsi="Arial;sans-serif"/>
                <w:b w:val="false"/>
                <w:color w:val="000000"/>
                <w:sz w:val="12"/>
              </w:rPr>
              <w:t>(2)</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interest expense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 expense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 Margin:</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 margin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16</w:t>
                      </w:r>
                    </w:p>
                  </w:txbxContent>
                </v:textbox>
                <w10:wrap type="none"/>
              </v:rect>
            </w:pict>
          </mc:Fallback>
        </mc:AlternateContent>
      </w:r>
    </w:p>
    <w:p>
      <w:pPr>
        <w:pStyle w:val="TextBody"/>
        <w:bidi w:val="0"/>
        <w:spacing w:lineRule="auto" w:line="288" w:before="0" w:after="0"/>
        <w:jc w:val="left"/>
        <w:rPr/>
      </w:pPr>
      <w:hyperlink w:anchor="if0f7722e66e044efbc92f161b43315a4_7">
        <w:r>
          <w:rPr>
            <w:rStyle w:val="InternetLink"/>
            <w:rFonts w:ascii="Arial;sans-serif" w:hAnsi="Arial;sans-serif"/>
            <w:b w:val="false"/>
            <w:color w:val="0000FF"/>
            <w:sz w:val="20"/>
            <w:u w:val="single"/>
          </w:rPr>
          <w:t>Table of Contents</w:t>
        </w:r>
      </w:hyperlink>
    </w:p>
    <w:tbl>
      <w:tblPr>
        <w:tblW w:w="8968" w:type="dxa"/>
        <w:jc w:val="left"/>
        <w:tblInd w:w="0" w:type="dxa"/>
        <w:tblLayout w:type="fixed"/>
        <w:tblCellMar>
          <w:top w:w="28" w:type="dxa"/>
          <w:left w:w="28" w:type="dxa"/>
          <w:bottom w:w="28" w:type="dxa"/>
          <w:right w:w="28" w:type="dxa"/>
        </w:tblCellMar>
      </w:tblPr>
      <w:tblGrid>
        <w:gridCol w:w="1075"/>
        <w:gridCol w:w="946"/>
        <w:gridCol w:w="949"/>
        <w:gridCol w:w="211"/>
        <w:gridCol w:w="616"/>
        <w:gridCol w:w="109"/>
        <w:gridCol w:w="109"/>
        <w:gridCol w:w="109"/>
        <w:gridCol w:w="109"/>
        <w:gridCol w:w="211"/>
        <w:gridCol w:w="616"/>
        <w:gridCol w:w="109"/>
        <w:gridCol w:w="109"/>
        <w:gridCol w:w="109"/>
        <w:gridCol w:w="109"/>
        <w:gridCol w:w="236"/>
        <w:gridCol w:w="691"/>
        <w:gridCol w:w="124"/>
        <w:gridCol w:w="109"/>
        <w:gridCol w:w="109"/>
        <w:gridCol w:w="109"/>
        <w:gridCol w:w="211"/>
        <w:gridCol w:w="361"/>
        <w:gridCol w:w="109"/>
        <w:gridCol w:w="109"/>
        <w:gridCol w:w="109"/>
        <w:gridCol w:w="109"/>
        <w:gridCol w:w="211"/>
        <w:gridCol w:w="721"/>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 2025</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Medicaid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Medicare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Marketplace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Premium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from external customers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1,197 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10,862 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operating revenues </w:t>
            </w:r>
            <w:r>
              <w:rPr>
                <w:rFonts w:ascii="Arial;sans-serif" w:hAnsi="Arial;sans-serif"/>
                <w:b w:val="false"/>
                <w:color w:val="000000"/>
                <w:sz w:val="12"/>
              </w:rPr>
              <w:t>(1)</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Expenses: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 care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service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expenses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1,144 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10,064 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operating expenses </w:t>
            </w:r>
            <w:r>
              <w:rPr>
                <w:rFonts w:ascii="Arial;sans-serif" w:hAnsi="Arial;sans-serif"/>
                <w:b w:val="false"/>
                <w:color w:val="000000"/>
                <w:sz w:val="12"/>
              </w:rPr>
              <w:t>(2)</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interest expense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 expense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 Margin:</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 margin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968" w:type="dxa"/>
        <w:jc w:val="left"/>
        <w:tblInd w:w="0" w:type="dxa"/>
        <w:tblLayout w:type="fixed"/>
        <w:tblCellMar>
          <w:top w:w="28" w:type="dxa"/>
          <w:left w:w="28" w:type="dxa"/>
          <w:bottom w:w="28" w:type="dxa"/>
          <w:right w:w="28" w:type="dxa"/>
        </w:tblCellMar>
      </w:tblPr>
      <w:tblGrid>
        <w:gridCol w:w="1075"/>
        <w:gridCol w:w="946"/>
        <w:gridCol w:w="949"/>
        <w:gridCol w:w="211"/>
        <w:gridCol w:w="721"/>
        <w:gridCol w:w="109"/>
        <w:gridCol w:w="109"/>
        <w:gridCol w:w="109"/>
        <w:gridCol w:w="109"/>
        <w:gridCol w:w="211"/>
        <w:gridCol w:w="616"/>
        <w:gridCol w:w="109"/>
        <w:gridCol w:w="109"/>
        <w:gridCol w:w="109"/>
        <w:gridCol w:w="109"/>
        <w:gridCol w:w="236"/>
        <w:gridCol w:w="691"/>
        <w:gridCol w:w="124"/>
        <w:gridCol w:w="109"/>
        <w:gridCol w:w="109"/>
        <w:gridCol w:w="109"/>
        <w:gridCol w:w="211"/>
        <w:gridCol w:w="256"/>
        <w:gridCol w:w="109"/>
        <w:gridCol w:w="109"/>
        <w:gridCol w:w="109"/>
        <w:gridCol w:w="109"/>
        <w:gridCol w:w="211"/>
        <w:gridCol w:w="721"/>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 2026</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Medicaid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Medicare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Marketplace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Premium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from external customers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1,994 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30,942 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operating revenues </w:t>
            </w:r>
            <w:r>
              <w:rPr>
                <w:rFonts w:ascii="Arial;sans-serif" w:hAnsi="Arial;sans-serif"/>
                <w:b w:val="false"/>
                <w:color w:val="000000"/>
                <w:sz w:val="12"/>
              </w:rPr>
              <w:t>(1)</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32,752 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 care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service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expenses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1,761 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28,493 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operating expenses </w:t>
            </w:r>
            <w:r>
              <w:rPr>
                <w:rFonts w:ascii="Arial;sans-serif" w:hAnsi="Arial;sans-serif"/>
                <w:b w:val="false"/>
                <w:color w:val="000000"/>
                <w:sz w:val="12"/>
              </w:rPr>
              <w:t>(2)</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interest expense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 expense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 Margin: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 margin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17</w:t>
                      </w:r>
                    </w:p>
                  </w:txbxContent>
                </v:textbox>
                <w10:wrap type="none"/>
              </v:rect>
            </w:pict>
          </mc:Fallback>
        </mc:AlternateContent>
      </w:r>
    </w:p>
    <w:p>
      <w:pPr>
        <w:pStyle w:val="TextBody"/>
        <w:bidi w:val="0"/>
        <w:spacing w:lineRule="auto" w:line="288" w:before="0" w:after="0"/>
        <w:jc w:val="left"/>
        <w:rPr/>
      </w:pPr>
      <w:hyperlink w:anchor="if0f7722e66e044efbc92f161b43315a4_7">
        <w:r>
          <w:rPr>
            <w:rStyle w:val="InternetLink"/>
            <w:rFonts w:ascii="Arial;sans-serif" w:hAnsi="Arial;sans-serif"/>
            <w:b w:val="false"/>
            <w:color w:val="0000FF"/>
            <w:sz w:val="20"/>
            <w:u w:val="single"/>
          </w:rPr>
          <w:t>Table of Contents</w:t>
        </w:r>
      </w:hyperlink>
    </w:p>
    <w:tbl>
      <w:tblPr>
        <w:tblW w:w="9073" w:type="dxa"/>
        <w:jc w:val="left"/>
        <w:tblInd w:w="0" w:type="dxa"/>
        <w:tblLayout w:type="fixed"/>
        <w:tblCellMar>
          <w:top w:w="28" w:type="dxa"/>
          <w:left w:w="28" w:type="dxa"/>
          <w:bottom w:w="28" w:type="dxa"/>
          <w:right w:w="28" w:type="dxa"/>
        </w:tblCellMar>
      </w:tblPr>
      <w:tblGrid>
        <w:gridCol w:w="1075"/>
        <w:gridCol w:w="946"/>
        <w:gridCol w:w="949"/>
        <w:gridCol w:w="211"/>
        <w:gridCol w:w="721"/>
        <w:gridCol w:w="109"/>
        <w:gridCol w:w="109"/>
        <w:gridCol w:w="109"/>
        <w:gridCol w:w="109"/>
        <w:gridCol w:w="211"/>
        <w:gridCol w:w="616"/>
        <w:gridCol w:w="109"/>
        <w:gridCol w:w="109"/>
        <w:gridCol w:w="109"/>
        <w:gridCol w:w="109"/>
        <w:gridCol w:w="236"/>
        <w:gridCol w:w="691"/>
        <w:gridCol w:w="124"/>
        <w:gridCol w:w="109"/>
        <w:gridCol w:w="109"/>
        <w:gridCol w:w="109"/>
        <w:gridCol w:w="211"/>
        <w:gridCol w:w="361"/>
        <w:gridCol w:w="109"/>
        <w:gridCol w:w="109"/>
        <w:gridCol w:w="109"/>
        <w:gridCol w:w="109"/>
        <w:gridCol w:w="211"/>
        <w:gridCol w:w="721"/>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 2025</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Medicaid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Medicare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Marketplace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Premium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from external customers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3,401 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32,402 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operating revenues </w:t>
            </w:r>
            <w:r>
              <w:rPr>
                <w:rFonts w:ascii="Arial;sans-serif" w:hAnsi="Arial;sans-serif"/>
                <w:b w:val="false"/>
                <w:color w:val="000000"/>
                <w:sz w:val="12"/>
              </w:rPr>
              <w:t>(1)</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34,051 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 care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service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expenses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2,990 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29,410 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operating expenses </w:t>
            </w:r>
            <w:r>
              <w:rPr>
                <w:rFonts w:ascii="Arial;sans-serif" w:hAnsi="Arial;sans-serif"/>
                <w:b w:val="false"/>
                <w:color w:val="000000"/>
                <w:sz w:val="12"/>
              </w:rPr>
              <w:t>(2)</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interest expense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 expense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 Margin: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 margin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______________________</w:t>
      </w:r>
    </w:p>
    <w:p>
      <w:pPr>
        <w:pStyle w:val="TextBody"/>
        <w:bidi w:val="0"/>
        <w:spacing w:lineRule="auto" w:line="288" w:before="60" w:after="283"/>
        <w:ind w:left="0" w:right="0" w:hanging="360"/>
        <w:jc w:val="left"/>
        <w:rPr>
          <w:rFonts w:ascii="Arial;sans-serif" w:hAnsi="Arial;sans-serif"/>
          <w:b w:val="false"/>
          <w:color w:val="000000"/>
          <w:sz w:val="18"/>
        </w:rPr>
      </w:pPr>
      <w:r>
        <w:rPr>
          <w:rFonts w:ascii="Arial;sans-serif" w:hAnsi="Arial;sans-serif"/>
          <w:b w:val="false"/>
          <w:color w:val="000000"/>
          <w:sz w:val="18"/>
        </w:rPr>
        <w:t>(1)Other operating revenues include premium tax revenue, investment income, and certain other revenue.</w:t>
      </w:r>
    </w:p>
    <w:p>
      <w:pPr>
        <w:pStyle w:val="TextBody"/>
        <w:bidi w:val="0"/>
        <w:spacing w:lineRule="auto" w:line="288" w:before="0" w:after="120"/>
        <w:ind w:left="0" w:right="0" w:hanging="360"/>
        <w:jc w:val="left"/>
        <w:rPr>
          <w:rFonts w:ascii="Arial;sans-serif" w:hAnsi="Arial;sans-serif"/>
          <w:b w:val="false"/>
          <w:color w:val="000000"/>
          <w:sz w:val="18"/>
        </w:rPr>
      </w:pPr>
      <w:r>
        <w:rPr>
          <w:rFonts w:ascii="Arial;sans-serif" w:hAnsi="Arial;sans-serif"/>
          <w:b w:val="false"/>
          <w:color w:val="000000"/>
          <w:sz w:val="18"/>
        </w:rPr>
        <w:t>(2)Other operating expenses include general and administrative expenses, premium tax expenses, depreciation and amortization, impairment, and certain other operating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 xml:space="preserve">9. Commitments and Contingencies </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Legal Proceedings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healthcare industry is subject to numerous laws and regulations of federal, state, and local governments, as well as various contractual provisions, governing our operations. Compliance with these laws, regulations, and contractual provisions can be subject to government audit, review, and interpretation, as well as regulatory actions. Penalties associated with violations of these laws, regulations, and contractual provisions can include significant fines and penalties, temporary or permanent exclusion from participating in publicly funded programs, a limitation on our ability to market or sell products, the repayment of previously billed and collected revenues, and reputational damage.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are involved in legal actions in the ordinary course of business including, but not limited to, various employment claims, vendor disputes, and provider claims. Some of these legal actions seek monetary damages, including claims for punitive damages, which may not be covered by insurance. We review legal matters and update our estimates, or range of estimates, of reasonably possible and estimable losses and related disclosures, as necessary. We have accrued liabilities for legal matters for which we deem the loss to be both probable and reasonably estimable. These liability estimates could change as a result of further developments. The outcome of these legal actions are inherently uncertain. An adverse determination in one or more of these pending matters could have a material adverse effect on our consolidated financial position, results of operations, or cash flows.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On October 3, 2025, a securities class action, captioned Hindlemann v. Molina Healthcare, Inc., et al., was filed in the United States District Court for the Central District of California (the “Securities Action”). The Securities Action was brought on behalf of a putative class of shareholders who had acquired Company securities between February 5, 2025 and July 23, 2025. On March 31, 2026, the lead plaintiff filed a consolidated complaint, and expanded the purported class period from October 23, 2024 to February 6, 2026. The Securities Action asserted violations of federal securities laws relating to the Company’s disclosures, including those involving earnings guidance. On June 5, 2026, the Company filed a motion to dismiss the consolidated complaint. On October 20, 2026, this matter was formally dismissed by the Court with prejudice. On December 12, 2025, a shareholder derivative suit, captioned Taylor v. Wolf, et al., had been filed in the United States District Court for the Central District of California against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18</w:t>
                      </w:r>
                    </w:p>
                  </w:txbxContent>
                </v:textbox>
                <w10:wrap type="none"/>
              </v:rect>
            </w:pict>
          </mc:Fallback>
        </mc:AlternateContent>
      </w:r>
    </w:p>
    <w:p>
      <w:pPr>
        <w:pStyle w:val="TextBody"/>
        <w:bidi w:val="0"/>
        <w:spacing w:lineRule="auto" w:line="288" w:before="0" w:after="0"/>
        <w:jc w:val="left"/>
        <w:rPr/>
      </w:pPr>
      <w:hyperlink w:anchor="if0f7722e66e044efbc92f161b43315a4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Company’s directors and certain officers (“Derivative Action”). The Derivative Action asserted claims for breach of fiduciary duty and violation of securities laws in connection with the same statements and events at issue in the Securities Action. On June 2, 2026, the Court stayed the Derivative Action pending resolution of the Securities Action. With the recent resolution of the Securities Action, on October 6, 2026, the plaintiff filed a notice of dismissal with prejudice of the Derivative Action.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19</w:t>
                      </w:r>
                    </w:p>
                  </w:txbxContent>
                </v:textbox>
                <w10:wrap type="none"/>
              </v:rect>
            </w:pict>
          </mc:Fallback>
        </mc:AlternateContent>
      </w:r>
    </w:p>
    <w:p>
      <w:pPr>
        <w:pStyle w:val="TextBody"/>
        <w:bidi w:val="0"/>
        <w:spacing w:lineRule="auto" w:line="288" w:before="0" w:after="0"/>
        <w:jc w:val="left"/>
        <w:rPr/>
      </w:pPr>
      <w:hyperlink w:anchor="if0f7722e66e044efbc92f161b43315a4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F7C7F"/>
          <w:sz w:val="24"/>
        </w:rPr>
      </w:pPr>
      <w:r>
        <w:rPr>
          <w:rFonts w:ascii="Arial;sans-serif" w:hAnsi="Arial;sans-serif"/>
          <w:b/>
          <w:color w:val="0F7C7F"/>
          <w:sz w:val="24"/>
        </w:rPr>
        <w:t>MANAGEMENT’S DISCUSSION AND ANALYSIS OF FINANCIAL CONDITION AND RESULTS OF OPERATIONS (“MD&amp;A”)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FORWARD-LOOKING STATEMENTS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This Quarterly Report on Form 10-Q (this “Form 10-Q”) contains forward-looking statements. We intend such forward-looking statements to be covered under the safe harbor provisions for forward-looking statements contained in Section 27A of the Securities Act of 1933, or Securities Act, and Section 21E of the Securities Exchange Act of 1934, or Securities Exchange Act. Many of the forward-looking statements are located under the heading “Management’s Discussion and Analysis of Financial Condition and Results of Operations.” Forward-looking statements provide current expectations of future events based on certain assumptions, and all statements other than statements of historical fact contained in this Form 10-Q may be forward-looking statements. In some cases, you can identify forward-looking statements by words such as “guidance,” “future,” “anticipates,” “assumes,” “believes,” “embedded,” “estimates,” “expects,” “growth,” “intends,” “plans,” “predicts,” “projects,” “will,” “would,” “could,” “can,” “may,” or the negative of these terms or other similar expressions. Forward-looking statements contained in this Form 10-Q include, but are not limited to, statements regarding our future results of operations and financial position, industry and business trends, legislative and regulatory developments and their potential impact, business strategy, strategic transactions and commercial arrangements, market and offering changes, membership, medical cost and market trends and our objectives for future operations. Readers are cautioned not to place undue reliance on any forward-looking statements, as the future is inherently unpredictable. Thus, forward-looking statements are not guarantees of future performance and the Company’s actual results may differ significantly due to numerous known and unknown risks and uncertainties.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Those known risks and uncertainties include, but are not limited to, the risk factors identified in the section titled “Risk Factors” in our 2025 Annual Report on Form 10-K, including without limitation risks related to the following matters: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Medicaid, Medicare, or Marketplace capitation rates that are insufficient to fully cover our medical care costs and/or the rates of utilization and the health acuity status of our members, including without limitation inpatient and outpatient costs, pharmacy costs, and behavioral health care costs, and insufficient rate increases that do not keep pace with or catch up to the prevailing medical care cost trend on an actuarially sound basis;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federal or state legislative or regulatory changes, including changes effected by, or negative public perceptions of the Medicaid program created by, the One Big Beautiful Bill Act, or changes effected through Executive Orders or HHS/CMS administrative agency rulemaking with regard to the Medicaid, Medicare, or Marketplace programs, including potential reductions in Medicaid funding, political pressures directed at the health insurance industry regarding managed care and prior authorization practices, advocacy for and potential implementation of aspects of the so-called Great Healthcare Plan, changes to the federal matching percentage paid to states, the implementation of Medicaid work requirements, block grants or per capita caps, the reduction or elimination of provider taxes, uncertainty regarding the status or effect of Marketplace subsidies, the implementation of new program integrity rules, insufficient Medicare Advantage rate adjustments, new rules pertaining to Medicare Risk Adjustment Data Validation, or amendments of the Affordable Care Act (“ACA”);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budget pressures on state governments, CMS’ withholding of FMAP payments to states based on allegations of fraud, and states’ efforts to reduce rates and limit rate increases to avoid budget deficits;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evolving Marketplace dynamics including issues impacting enrollment, special enrollment periods, member choice, premium subsidies, broker rates, risk adjustment estimates and results, Marketplace plan insolvencies or receiverships, and the potential for disproportionate enrollment of higher acuity members;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the success of our efforts to retain existing or awarded government contracts, the success of our bid submissions in response to requests for proposal, our ability to identify merger and acquisition targets to support our continued growth over time at projected levels, and our ability to realize the full amount of our embedded earnings;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the success of the scaling up of our operations in new states in connection with request for proposal wins, including our new Florida Kids program contract and operations, and the satisfaction of all readiness review requirements under the new Medicaid contracts;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our ability to integrate our acquisitions and realize expected benefits and limit our liabilities as projected;</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subsequent adjustments to reported premium revenue based upon subsequent developments or new information, including retroactive Medicaid rate adjustments in a state or changes to estimated amounts payable or receivable related to Marketplace risk adjustment;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effective management of our medical costs, and the accurate estimation of incurred but not reported or paid medical costs across our health plans;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our ability to predict with a reasonable degree of accuracy utilization 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20</w:t>
                      </w:r>
                    </w:p>
                  </w:txbxContent>
                </v:textbox>
                <w10:wrap type="none"/>
              </v:rect>
            </w:pict>
          </mc:Fallback>
        </mc:AlternateContent>
      </w:r>
    </w:p>
    <w:p>
      <w:pPr>
        <w:pStyle w:val="TextBody"/>
        <w:bidi w:val="0"/>
        <w:spacing w:lineRule="auto" w:line="288" w:before="0" w:after="0"/>
        <w:jc w:val="left"/>
        <w:rPr/>
      </w:pPr>
      <w:hyperlink w:anchor="if0f7722e66e044efbc92f161b43315a4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cyber-attacks, ransomware attacks, or other privacy or data security incidents involving either ourselves or our contracted vendors, that result in an inadvertent unauthorized disclosure of protected information or operational delays;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the ability to manage our operations, including maintaining and creating adequate internal systems and controls relating to authorizations, approvals, provider payments, and the overall success of our care management initiatives;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operational improvements, efficiencies, and cost savings that are less than anticipated, or that result in unforeseen consequences, from our investments in artificial intelligence (“AI”) administrative tools and initiatives;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the impact of our working in a remote work environment;</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our receipt of rates adequate to support increasing pharmacy costs, including costs associated with specialty drugs and costs resulting from formulary changes that allow the option of higher-priced non-generic drugs;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the interpretation, implementation, and estimates of amounts owed for federal or state medical cost expenditure floors, administrative cost and profit ceilings, premium stabilization programs, profit-sharing arrangements, and risk adjustment provisions and requirements;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the interpretation and implementation of at-risk premium rules and state contract performance requirements regarding the achievement of certain quality measures, and our ability to recognize revenue amounts associated therewith;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the transition of Medicare-Medicaid pilot programs in California, Illinois, Michigan, Ohio, South Carolina, and Texas serving those dually eligible for both Medicare and Medicaid, the increasing integration of Medicare and Medicaid programmatic and compliance requirements, and the extension or incorporation of federal Medicare requirements developed by CMS into state-administered Medicaid programs;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changes in our annual effective tax rate due to federal and/or state legislation, or changes in our mix of earnings and other factors;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efficient and effective operations of the vendors on whom our business relies;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complications, member confusion, or enrollment backlogs related to the renewal of Medicaid coverage;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fraud, waste and abuse matters, including the recent expressions of a federal crackdown on purported Medicaid fraud in certain of the states in which we operate, government audits, reviews, investigations, demands, or comment letters, and any fine, sanction, enrollment freeze, debarment, corrective action plan, monitoring program, settlement, or premium recovery that may result therefrom;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the success of our providers, including delegated providers, the adequacy of our provider networks, the successful maintenance of relations with our providers, the accuracy of our provider directories incidental to provider turnover and network changes, and potential medical or pharmaceutical supply shortfalls suffered by our providers incidental to the implementation of tariffs;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approval by state regulators of dividends and distributions by our health plan subsidiaries;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high dollar claims related to catastrophic illness;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the favorable resolution of litigation, arbitration, investigations, or administrative proceedings consistent with our expectations;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the greater scale and revenues of our health plans in California, New York, Texas, and Washington, and risks related to the concentration of our business in those states;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the failure to comply with the financial or other covenants in the Credit Agreement (as defined below) or the indentures governing our outstanding senior notes;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availability of adequate financing on acceptable terms to fund and capitalize our expansion and growth, and to meet our general liquidity needs;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the failure of a state in which we operate to renew its federal Medicaid waiver;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risks associated with vaccine hesitancy and the potential for a new epidemic or pandemic, including risks presented by the flu, measles, or other contagious diseases;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changes generally affecting the managed care industry, including any new federal or state legislation that impacts the business space in which we operate, or negative public perceptions that may arise about managed care practices or government healthcare programs;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increases in government surcharges, taxes, and assessments;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the impact of inflation on our medical costs and the cost of refinancing our outstanding indebtedness;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the unexpected loss of the leadership of one or more of our senior executives; and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increasing competition and consolidation in the Medicaid or general healthcare sector.</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Each of the terms “Molina Healthcare, Inc.” “Molina Healthcare,” “Company,” “we,” “our,” and “us,” as used herein, refers collectively to Molina Healthcare, Inc. and its wholly owned subsidiaries, unless otherwise stated. The forward-looking statements in this Form 10-Q are based upon information available to us as of the date of this Form 10-Q, and while we believe such information forms a reasonable basis for such statements, such information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21</w:t>
                      </w:r>
                    </w:p>
                  </w:txbxContent>
                </v:textbox>
                <w10:wrap type="none"/>
              </v:rect>
            </w:pict>
          </mc:Fallback>
        </mc:AlternateContent>
      </w:r>
    </w:p>
    <w:p>
      <w:pPr>
        <w:pStyle w:val="TextBody"/>
        <w:bidi w:val="0"/>
        <w:spacing w:lineRule="auto" w:line="288" w:before="0" w:after="0"/>
        <w:jc w:val="left"/>
        <w:rPr/>
      </w:pPr>
      <w:hyperlink w:anchor="if0f7722e66e044efbc92f161b43315a4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be limited or incomplete, and our statements should not be read to indicate that we have conducted an exhaustive inquiry into, or review of, all potentially available relevant information. We qualify all of our forward-looking statements by these cautionary statements. These forward-looking statements speak only as of the date of this Form 10-Q. The Company assumes no obligation to revise or update any forward-looking statements for any reason, except as required by law.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This Form 10-Q and the following discussion of our financial condition and results of operations should be read in conjunction with the accompanying consolidated financial statements and the notes to those statements appearing elsewhere in this report, and the audited financial statements and Management’s Discussion and Analysis appearing in our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22</w:t>
                      </w:r>
                    </w:p>
                  </w:txbxContent>
                </v:textbox>
                <w10:wrap type="none"/>
              </v:rect>
            </w:pict>
          </mc:Fallback>
        </mc:AlternateContent>
      </w:r>
    </w:p>
    <w:p>
      <w:pPr>
        <w:pStyle w:val="TextBody"/>
        <w:bidi w:val="0"/>
        <w:spacing w:lineRule="auto" w:line="288" w:before="0" w:after="0"/>
        <w:jc w:val="left"/>
        <w:rPr/>
      </w:pPr>
      <w:hyperlink w:anchor="if0f7722e66e044efbc92f161b43315a4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color w:val="0F7C7F"/>
          <w:sz w:val="24"/>
        </w:rPr>
      </w:pPr>
      <w:r>
        <w:rPr>
          <w:rFonts w:ascii="Arial;sans-serif" w:hAnsi="Arial;sans-serif"/>
          <w:b/>
          <w:color w:val="0F7C7F"/>
          <w:sz w:val="24"/>
        </w:rPr>
        <w:t>OVERVIEW</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Molina Healthcare, Inc., a FORTUNE 500 company, provides managed healthcare services under the Medicaid and Medicare programs, and through the state insurance marketplaces (the “Marketplace”). We served approximately 4.9 million members as of September 30, 2026, located across 21 states.</w:t>
      </w: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THIRD QUARTER 2026 HIGHLIGHTS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reported net income of $38 million, or $0.73 per diluted share, for the third quarter of 2026, which reflected the following:</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Membership of 4.9 million at September 30, 2026, which decreased 766,000, or 14%, compared with September 30, 2025, primarily due to general market contraction in Medicaid, and a decrease in Marketplace membership resulting from our product and pricing strategy;</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Premium revenue of $10.5 billion, which decreased 4% compared with the third quarter of 2025, mainly reflects the impact of lower membership, partially offset by rate updates;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Consolidated medical care ratio (“MCR”) of 92.9% compared with 92.6% for the third quarter of 2025, as we continue to navigate a challenging medical cost environment;</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General and administrative expense (“G&amp;A”) ratio of 6.4%, consistent with the third quarter of 2025; and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Pre-tax margin of 0.5%.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23</w:t>
                      </w:r>
                    </w:p>
                  </w:txbxContent>
                </v:textbox>
                <w10:wrap type="none"/>
              </v:rect>
            </w:pict>
          </mc:Fallback>
        </mc:AlternateContent>
      </w:r>
    </w:p>
    <w:p>
      <w:pPr>
        <w:pStyle w:val="TextBody"/>
        <w:bidi w:val="0"/>
        <w:spacing w:lineRule="auto" w:line="288" w:before="0" w:after="0"/>
        <w:jc w:val="left"/>
        <w:rPr/>
      </w:pPr>
      <w:hyperlink w:anchor="if0f7722e66e044efbc92f161b43315a4_7">
        <w:r>
          <w:rPr>
            <w:rStyle w:val="InternetLink"/>
            <w:rFonts w:ascii="Arial;sans-serif" w:hAnsi="Arial;sans-serif"/>
            <w:b w:val="false"/>
            <w:color w:val="0000FF"/>
            <w:sz w:val="20"/>
            <w:u w:val="single"/>
          </w:rPr>
          <w:t>Table of Contents</w:t>
        </w:r>
      </w:hyperlink>
    </w:p>
    <w:p>
      <w:pPr>
        <w:pStyle w:val="TextBody"/>
        <w:bidi w:val="0"/>
        <w:spacing w:lineRule="auto" w:line="288" w:before="120" w:after="60"/>
        <w:jc w:val="left"/>
        <w:rPr>
          <w:rFonts w:ascii="Arial;sans-serif" w:hAnsi="Arial;sans-serif"/>
          <w:b/>
          <w:color w:val="0F7C7F"/>
          <w:sz w:val="24"/>
        </w:rPr>
      </w:pPr>
      <w:r>
        <w:rPr>
          <w:rFonts w:ascii="Arial;sans-serif" w:hAnsi="Arial;sans-serif"/>
          <w:b/>
          <w:color w:val="0F7C7F"/>
          <w:sz w:val="24"/>
        </w:rPr>
        <w:t>CONSOLIDATED FINANCIAL SUMMARY</w:t>
      </w:r>
    </w:p>
    <w:p>
      <w:pPr>
        <w:pStyle w:val="TextBody"/>
        <w:bidi w:val="0"/>
        <w:spacing w:lineRule="auto" w:line="288" w:before="120" w:after="60"/>
        <w:jc w:val="left"/>
        <w:rPr>
          <w:rFonts w:ascii="Arial;sans-serif" w:hAnsi="Arial;sans-serif"/>
          <w:b w:val="false"/>
          <w:color w:val="000000"/>
          <w:sz w:val="20"/>
        </w:rPr>
      </w:pPr>
      <w:r>
        <w:rPr>
          <w:rFonts w:ascii="Arial;sans-serif" w:hAnsi="Arial;sans-serif"/>
          <w:b w:val="false"/>
          <w:color w:val="000000"/>
          <w:sz w:val="20"/>
        </w:rPr>
        <w:t>The following table summarizes our consolidated results of operations and other financial information for the periods indicated:</w:t>
      </w:r>
    </w:p>
    <w:tbl>
      <w:tblPr>
        <w:tblW w:w="9948" w:type="dxa"/>
        <w:jc w:val="left"/>
        <w:tblInd w:w="0" w:type="dxa"/>
        <w:tblLayout w:type="fixed"/>
        <w:tblCellMar>
          <w:top w:w="28" w:type="dxa"/>
          <w:left w:w="28" w:type="dxa"/>
          <w:bottom w:w="28" w:type="dxa"/>
          <w:right w:w="28" w:type="dxa"/>
        </w:tblCellMar>
      </w:tblPr>
      <w:tblGrid>
        <w:gridCol w:w="1385"/>
        <w:gridCol w:w="1215"/>
        <w:gridCol w:w="1224"/>
        <w:gridCol w:w="225"/>
        <w:gridCol w:w="771"/>
        <w:gridCol w:w="290"/>
        <w:gridCol w:w="116"/>
        <w:gridCol w:w="116"/>
        <w:gridCol w:w="116"/>
        <w:gridCol w:w="225"/>
        <w:gridCol w:w="771"/>
        <w:gridCol w:w="290"/>
        <w:gridCol w:w="109"/>
        <w:gridCol w:w="109"/>
        <w:gridCol w:w="109"/>
        <w:gridCol w:w="218"/>
        <w:gridCol w:w="747"/>
        <w:gridCol w:w="281"/>
        <w:gridCol w:w="113"/>
        <w:gridCol w:w="113"/>
        <w:gridCol w:w="113"/>
        <w:gridCol w:w="218"/>
        <w:gridCol w:w="747"/>
        <w:gridCol w:w="327"/>
      </w:tblGrid>
      <w:tr>
        <w:trPr/>
        <w:tc>
          <w:tcPr>
            <w:tcW w:w="138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per-share amounts)</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Premium revenue</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10,457 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10,841 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30,873 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32,337 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medical care costs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9,719 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10,044 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28,429 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29,352 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 margin</w:t>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738 </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797 </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2,444 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2,985 </w:t>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8"/>
              </w:rPr>
              <w:t xml:space="preserve">MCR </w:t>
            </w:r>
            <w:r>
              <w:rPr>
                <w:rFonts w:ascii="Arial;sans-serif" w:hAnsi="Arial;sans-serif"/>
                <w:b w:val="false"/>
                <w:i/>
                <w:color w:val="000000"/>
                <w:sz w:val="12"/>
              </w:rPr>
              <w:t>(1)</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92.9</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92.6</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92.1</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90.8</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revenues:</w:t>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Premium tax revenue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1,509 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income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2,213 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2,214 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8"/>
              </w:rPr>
              <w:t xml:space="preserve">G&amp;A ratio </w:t>
            </w:r>
            <w:r>
              <w:rPr>
                <w:rFonts w:ascii="Arial;sans-serif" w:hAnsi="Arial;sans-serif"/>
                <w:b w:val="false"/>
                <w:i/>
                <w:color w:val="000000"/>
                <w:sz w:val="12"/>
              </w:rPr>
              <w:t>(2)</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6.4</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6.4</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6.8</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6.5</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Premium tax expenses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334 </w:t>
            </w:r>
          </w:p>
        </w:tc>
        <w:tc>
          <w:tcPr>
            <w:tcW w:w="2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943 </w:t>
            </w:r>
          </w:p>
        </w:tc>
        <w:tc>
          <w:tcPr>
            <w:tcW w:w="3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 expense</w:t>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2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803 </w:t>
            </w:r>
          </w:p>
        </w:tc>
        <w:tc>
          <w:tcPr>
            <w:tcW w:w="3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2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632 </w:t>
            </w:r>
          </w:p>
        </w:tc>
        <w:tc>
          <w:tcPr>
            <w:tcW w:w="3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Net income per share – Diluted</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0.73 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11.79 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weighted average shares outstanding</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Key Statistics</w:t>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Membership</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income tax rate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Pre-tax margin </w:t>
            </w:r>
            <w:r>
              <w:rPr>
                <w:rFonts w:ascii="Arial;sans-serif" w:hAnsi="Arial;sans-serif"/>
                <w:b w:val="false"/>
                <w:color w:val="000000"/>
                <w:sz w:val="12"/>
              </w:rPr>
              <w:t>(3)</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________________________</w:t>
      </w:r>
    </w:p>
    <w:p>
      <w:pPr>
        <w:pStyle w:val="TextBody"/>
        <w:bidi w:val="0"/>
        <w:spacing w:lineRule="auto" w:line="288" w:before="60" w:after="283"/>
        <w:ind w:left="0" w:right="0" w:hanging="360"/>
        <w:jc w:val="left"/>
        <w:rPr>
          <w:rFonts w:ascii="Arial;sans-serif" w:hAnsi="Arial;sans-serif"/>
          <w:b w:val="false"/>
          <w:color w:val="000000"/>
          <w:sz w:val="18"/>
        </w:rPr>
      </w:pPr>
      <w:r>
        <w:rPr>
          <w:rFonts w:ascii="Arial;sans-serif" w:hAnsi="Arial;sans-serif"/>
          <w:b w:val="false"/>
          <w:color w:val="000000"/>
          <w:sz w:val="18"/>
        </w:rPr>
        <w:t>(1)    MCR represents medical care costs as a percentage of premium revenue.</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(2)    G&amp;A ratio represents general and administrative expenses as a percentage of total revenue.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    Pre-tax margin represents income before income tax expense as a percentage of total revenue.</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F7C7F"/>
          <w:sz w:val="24"/>
        </w:rPr>
      </w:pPr>
      <w:r>
        <w:rPr>
          <w:rFonts w:ascii="Arial;sans-serif" w:hAnsi="Arial;sans-serif"/>
          <w:b/>
          <w:color w:val="0F7C7F"/>
          <w:sz w:val="24"/>
        </w:rPr>
        <w:t>CONSOLIDATED RESULTS</w:t>
      </w:r>
    </w:p>
    <w:p>
      <w:pPr>
        <w:pStyle w:val="TextBody"/>
        <w:bidi w:val="0"/>
        <w:spacing w:lineRule="auto" w:line="288" w:before="120" w:after="120"/>
        <w:ind w:left="0" w:right="0" w:hanging="180"/>
        <w:jc w:val="left"/>
        <w:rPr>
          <w:rFonts w:ascii="Arial;sans-serif" w:hAnsi="Arial;sans-serif"/>
          <w:b/>
          <w:color w:val="828282"/>
          <w:sz w:val="20"/>
        </w:rPr>
      </w:pPr>
      <w:r>
        <w:rPr>
          <w:rFonts w:ascii="Arial;sans-serif" w:hAnsi="Arial;sans-serif"/>
          <w:b/>
          <w:color w:val="828282"/>
          <w:sz w:val="20"/>
        </w:rPr>
        <w:t>NET INCOME AND OPERATING INCOME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Net income in the third quarter of 2026 amounted to $38 million, or $0.73 per diluted share, compared with $79 million, or $1.51 per diluted share, in the third quarter of 2025. Net income in the nine months ended September 30, 2026 amounted to $112 million, or $2.19 per diluted share, compared with $632 million, or $11.79 per diluted share, in the nine months ended September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24</w:t>
                      </w:r>
                    </w:p>
                  </w:txbxContent>
                </v:textbox>
                <w10:wrap type="none"/>
              </v:rect>
            </w:pict>
          </mc:Fallback>
        </mc:AlternateContent>
      </w:r>
    </w:p>
    <w:p>
      <w:pPr>
        <w:pStyle w:val="TextBody"/>
        <w:bidi w:val="0"/>
        <w:spacing w:lineRule="auto" w:line="288" w:before="0" w:after="0"/>
        <w:jc w:val="left"/>
        <w:rPr/>
      </w:pPr>
      <w:hyperlink w:anchor="if0f7722e66e044efbc92f161b43315a4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Operating income decreased to $106 million in the third quarter of 2026, compared with $137 million in the third quarter of 2025. Operating income in the nine months ended September 30, 2026 decreased to $334 million, compared with $943 million in the nine months ended September 30, 2025.</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change in operating income was mainly due to the impact of lower premium revenue, the increase in MCR, and the $93 million impairment charge related to our planned exit of the MAPD product in 2027 that was recorded in the first quarter of 2026.</w:t>
      </w: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PREMIUM REVENUE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Premium revenue decreased $384 million, or 4%, in the third quarter of 2026, when compared with the third quarter of 2025, and decreased $1.5 billion, or 5%, in the nine months ended September 30, 2026, when compared with the nine months ended September 30, 2025. The lower premium revenue in both periods reflects the impact of lower membership, partially offset by rate updates. See further discussion in “Reportable Segments—Segment Financial Performance,” below.</w:t>
      </w: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MEDICAL CARE RATIO</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consolidated MCR in the third quarter of 2026 increased to 92.9%, compared with 92.6% in the third quarter of 2025, or 30 basis points, and the consolidated MCR in the nine months ended September 30, 2026 increased to 92.1%, compared with 90.8% MCR for the nine months ended September 30, 2025, or 130 basis points. The increase in the third quarter of 2026 is mainly attributable to our Medicaid segment. The increase in the nine months ended September 30, 2026, reflects a higher MCR in all of our segments, as we continue to navigate a challenging medical cost environment. See further discussion in “Reportable Segments—Segment Financial Performance,” below.</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impact of prior year reserve development in the nine months ended September 30, 2026 was partially absorbed by minimum MLRs and medical cost corridors.</w:t>
      </w: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PREMIUM TAX REVENUE AND EXPENSES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premium tax ratio (premium tax expense as a percentage of premium revenue plus premium tax revenue) was 4.6% and 4.5% for the third quarter of 2026 and 2025, respectively, and 4.7% and 3.9% for the nine months ended September 30, 2026 and 2025, respectively. The increased ratio for both periods was mainly due to state mix changes in our Medicaid segment. </w:t>
      </w: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INVESTMENT INCOME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Investment income decreased to $102 million in the third quarter of 2026, compared with $108 million in the third quarter of 2025, and decreased to $301 million in the nine months ended September 30, 2026, compared with $322 million in the nine months ended September 30, 2025. The decrease was mainly attributable to a decline in prevailing interest rates and investment yields. </w:t>
      </w: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OTHER REVENUE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Other revenue amounted to $23 million in the third quarter of 2026, compared with $22 million in the third quarter of 2025, and totaled $69 million in the nine months ended September 30, 2026, compared with $67 million in the nine months ended September 30, 2025. Other revenue mainly includes service revenue associated with long-term services and supports consultative services we provide in Wisconsin. </w:t>
      </w: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G&amp;A EXPENSES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G&amp;A expense ratio was 6.4% in the third quarter of 2026, consistent with the third quarter of 2025. The G&amp;A expense ratio was 6.8% in the nine months ended September 30, 2026, compared with 6.5% in the nine months ended September 30, 2025. The increase in G&amp;A ratio for the nine months ended September 30, 2026 reflects the impact of lower premium revenues, partially offset by the impact of continued operating discipline.</w:t>
      </w: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DEPRECIATION AND AMORTIZATION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Depreciation and amortization was $38 million in the third quarter of 2026, compared with $45 million in the third quarter of 2025, and was $117 million in the nine months ended September 30, 2026, compared with $151 million in the nine months ended September 30, 2025. The decrease is due to certain intangibles becoming fully amortized and the resulting impact from the impairment discussed below. </w:t>
      </w: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IMPAIRMENT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In the first quarter of 2026, we recognized an impairment of $93 million on intangible assets due to our strategic shift to focus exclusively on dual-eligible members in Medicare and plan to exit MAPD for 2027.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25</w:t>
                      </w:r>
                    </w:p>
                  </w:txbxContent>
                </v:textbox>
                <w10:wrap type="none"/>
              </v:rect>
            </w:pict>
          </mc:Fallback>
        </mc:AlternateContent>
      </w:r>
    </w:p>
    <w:p>
      <w:pPr>
        <w:pStyle w:val="TextBody"/>
        <w:bidi w:val="0"/>
        <w:spacing w:lineRule="auto" w:line="288" w:before="0" w:after="0"/>
        <w:jc w:val="left"/>
        <w:rPr/>
      </w:pPr>
      <w:hyperlink w:anchor="if0f7722e66e044efbc92f161b43315a4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OTHER OPERATING EXPENSES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Other operating expenses amounted to $9 million in the third quarter of 2026, a decrease of $7 million compared with the third quarter of 2025, and amounted to $57 million in the nine months ended September 30, 2026, a decrease of $9 million compared with the nine months ended September 30, 2025. Other operating expenses primarily include service costs associated with long-term services and supports consultative services we provide in Wisconsin, as noted above. Additionally, the changes in both periods reflect lower non-recurring costs associated with acquisitions compared to 2025. </w:t>
      </w: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INTEREST EXPENSE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Interest expense was $53 million and $49 million in the third quarter of 2026 and 2025, respectively, and $161 million and $140 million for the nine months ended September 30, 2026 and 2025, respectively. The increase is mainly attributable to the issuance of $850 million of notes in November 2025. </w:t>
      </w: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INCOME TAXES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Income tax expense amounted to $15 million in the third quarter of 2026, or 28.5% of pretax income, compared with income tax expense of $9 million, or 10.1% of pretax income, in the third quarter of 2025. Income tax expense amounted to $61 million in the nine months ended September 30, 2026, or 35.2% of pretax income, compared with income tax expense of $171 million, or 21.3% of pretax income, in the nine months ended September 30, 2025. The differences in the effective tax rate is due to the impact of higher nondeductible expenses and lower tax benefits related to transferrable federal tax credits on lower pretax income in 2026, and differences in discrete tax items recognized in the respective periods.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F7C7F"/>
          <w:sz w:val="24"/>
        </w:rPr>
      </w:pPr>
      <w:r>
        <w:rPr>
          <w:rFonts w:ascii="Arial;sans-serif" w:hAnsi="Arial;sans-serif"/>
          <w:b/>
          <w:color w:val="0F7C7F"/>
          <w:sz w:val="24"/>
        </w:rPr>
        <w:t>TRENDS AND UNCERTAINTIES</w:t>
      </w: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LEGISLATIVE AND REGULATORY DEVELOPMENTS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One Big Beautiful Bill Act (“OBBBA”)</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President signed the OBBBA into law in July 2025, which contains changes to the Medicaid and Marketplace programs. For Medicaid, the law requires states to establish work requirements, more frequent redeterminations, and cost sharing for the Expansion program over the period from 2027 to 2029, among other modifications. These changes are expected to reduce enrollment in state Medicaid programs, but the timing and magnitude of the reductions may vary by state depending on how quickly states implement the changes, as well as macroeconomic factors since some changes are subject to suspension in case of increases in local unemployment rates. We estimate the reduction in enrollment will emerge gradually and reduce premium at compounded annual growth of 2% to 3% through 2029, primarily in Medicaid Expansion, and any acuity shift should be minor and gradual. An estimated two-thirds of our Expansion members already work in some capacity. The law also reduces revenues that states can raise through provider taxes to finance their share of Medicaid spending and limits payments to Medicaid providers to 100 percent of the mandated Medicare rate for Expansion states and 110 percent of the Medicare rate for non-Expansion states. These changes are scheduled to begin in 2028, and we expect they may take 5 to 10 years to be fully implemented. Their impact is uncertain at this time and will depend on how states may adapt their future tax and Medicaid funding policies in response.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law limits which legal aliens may be eligible for Marketplace premium tax credits (“PTCs”) and will require pre-enrollment eligibility verification for enrollees to receive PTCs. These changes are planned to be phased in over the period from 2026 to 2028 and are expected to reduce national Marketplace enrollment as well. </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Marketplace Program Integrity and Affordability Rule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In June 2025, the Department of Health and Human Services (“HHS”) finalized the Marketplace Program Integrity and Affordability Rule. The rule, among other changes, shortens the open enrollment period starting in 2027, eliminated the special enrollment period for people with incomes at or below 150% federal poverty level, and tightened eligibility verification requirements for all enrollees. Certain provisions of the Marketplace Program Integrity and Affordability Rule have been subject to legal challenges. The Notice of Benefit and Payment Parameters (“NBPP”) Final Rule for the 2027 plan year reintroduces updated versions of certain of these provisions, which could significantly impact the Marketplace. Certain of the provisions have been subject to legal challenge, and the outcome of these legal challenges and the long-term impacts of the Marketplace Program Integrity and Affordability Rule and the NBPP Rule are uncertain.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26</w:t>
                      </w:r>
                    </w:p>
                  </w:txbxContent>
                </v:textbox>
                <w10:wrap type="none"/>
              </v:rect>
            </w:pict>
          </mc:Fallback>
        </mc:AlternateContent>
      </w:r>
    </w:p>
    <w:p>
      <w:pPr>
        <w:pStyle w:val="TextBody"/>
        <w:bidi w:val="0"/>
        <w:spacing w:lineRule="auto" w:line="288" w:before="0" w:after="0"/>
        <w:jc w:val="left"/>
        <w:rPr/>
      </w:pPr>
      <w:hyperlink w:anchor="if0f7722e66e044efbc92f161b43315a4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828282"/>
          <w:sz w:val="20"/>
        </w:rPr>
      </w:pPr>
      <w:r>
        <w:rPr>
          <w:rFonts w:ascii="Arial;sans-serif" w:hAnsi="Arial;sans-serif"/>
          <w:b/>
          <w:color w:val="828282"/>
          <w:sz w:val="20"/>
        </w:rPr>
        <w:t>OTHER RECENT DEVELOPMENTS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RFPs</w:t>
      </w:r>
    </w:p>
    <w:p>
      <w:pPr>
        <w:pStyle w:val="TextBody"/>
        <w:bidi w:val="0"/>
        <w:spacing w:lineRule="auto" w:line="288" w:before="120" w:after="120"/>
        <w:jc w:val="left"/>
        <w:rPr/>
      </w:pPr>
      <w:r>
        <w:rPr>
          <w:rFonts w:ascii="Arial;sans-serif" w:hAnsi="Arial;sans-serif"/>
          <w:b w:val="false"/>
          <w:i/>
          <w:color w:val="000000"/>
          <w:sz w:val="20"/>
        </w:rPr>
        <w:t xml:space="preserve">Florida Procurement—Medicaid. </w:t>
      </w:r>
      <w:r>
        <w:rPr>
          <w:rFonts w:ascii="Arial;sans-serif" w:hAnsi="Arial;sans-serif"/>
          <w:b w:val="false"/>
          <w:color w:val="000000"/>
          <w:sz w:val="20"/>
        </w:rPr>
        <w:t xml:space="preserve">In November 2025, the Florida Agency for Health Care Administration issued a Notice of Agency Decision that it intended to award a contract to provide Statewide Medicaid Managed services to enrollees of the Title XIX and Title XXI Children’s Medical Services Program (“Florida Kids”) to our Florida health plan. We were the sole plan selected and we expect to serve approximately 120,000 enrollees. The contract commenced on October 1, 2026, and is expected to run through December 2030. </w:t>
      </w:r>
    </w:p>
    <w:p>
      <w:pPr>
        <w:pStyle w:val="TextBody"/>
        <w:bidi w:val="0"/>
        <w:spacing w:lineRule="auto" w:line="288" w:before="120" w:after="120"/>
        <w:jc w:val="left"/>
        <w:rPr/>
      </w:pPr>
      <w:r>
        <w:rPr>
          <w:rFonts w:ascii="Arial;sans-serif" w:hAnsi="Arial;sans-serif"/>
          <w:b w:val="false"/>
          <w:i/>
          <w:color w:val="000000"/>
          <w:sz w:val="20"/>
        </w:rPr>
        <w:t>Wisconsin Procurement—Medicaid.</w:t>
      </w:r>
      <w:r>
        <w:rPr>
          <w:color w:val="000000"/>
        </w:rPr>
        <w:t xml:space="preserve"> </w:t>
      </w:r>
      <w:r>
        <w:rPr>
          <w:rFonts w:ascii="Arial;sans-serif" w:hAnsi="Arial;sans-serif"/>
          <w:b w:val="false"/>
          <w:color w:val="000000"/>
          <w:sz w:val="20"/>
        </w:rPr>
        <w:t xml:space="preserve">In July 2026, the Wisconsin Department of Health Services issued a notice of intent to award a contract to provide services under the Family Care and Family Care Partnership programs in its Geographic Service Region 3 to our Wisconsin health plan. The new contract is expected to begin on January 1, 2027 with an expected duration of one year, with an option to renew for an additional seven, one-year renewals. </w:t>
      </w:r>
    </w:p>
    <w:p>
      <w:pPr>
        <w:pStyle w:val="TextBody"/>
        <w:bidi w:val="0"/>
        <w:spacing w:lineRule="auto" w:line="288" w:before="120" w:after="120"/>
        <w:jc w:val="left"/>
        <w:rPr/>
      </w:pPr>
      <w:r>
        <w:rPr>
          <w:rFonts w:ascii="Arial;sans-serif" w:hAnsi="Arial;sans-serif"/>
          <w:b w:val="false"/>
          <w:i/>
          <w:color w:val="000000"/>
          <w:sz w:val="20"/>
        </w:rPr>
        <w:t xml:space="preserve">Illinois Procurement—Medicaid. </w:t>
      </w:r>
      <w:r>
        <w:rPr>
          <w:rFonts w:ascii="Arial;sans-serif" w:hAnsi="Arial;sans-serif"/>
          <w:b w:val="false"/>
          <w:color w:val="000000"/>
          <w:sz w:val="20"/>
        </w:rPr>
        <w:t xml:space="preserve">In June 2026, the Illinois Department of Healthcare and Family Services awarded a HealthChoice Illinois Medicaid Managed Care program contract to our Illinois health plan. The go-live date for the new contract is expected to be January 1, 2027. The contract is expected to have a duration of four-and-a-half years, with the option to extend the contract up to an additional five-and-a-half years at the discretion of the state. </w:t>
      </w:r>
    </w:p>
    <w:p>
      <w:pPr>
        <w:pStyle w:val="TextBody"/>
        <w:bidi w:val="0"/>
        <w:spacing w:lineRule="auto" w:line="288" w:before="120" w:after="120"/>
        <w:jc w:val="left"/>
        <w:rPr/>
      </w:pPr>
      <w:r>
        <w:rPr>
          <w:rFonts w:ascii="Arial;sans-serif" w:hAnsi="Arial;sans-serif"/>
          <w:b w:val="false"/>
          <w:i/>
          <w:color w:val="000000"/>
          <w:sz w:val="20"/>
        </w:rPr>
        <w:t xml:space="preserve">Idaho Procurement—Medicaid and Medicare. </w:t>
      </w:r>
      <w:r>
        <w:rPr>
          <w:rFonts w:ascii="Arial;sans-serif" w:hAnsi="Arial;sans-serif"/>
          <w:b w:val="false"/>
          <w:color w:val="000000"/>
          <w:sz w:val="20"/>
        </w:rPr>
        <w:t xml:space="preserve">Our new contract commenced on January 1, 2026. </w:t>
      </w:r>
    </w:p>
    <w:p>
      <w:pPr>
        <w:pStyle w:val="TextBody"/>
        <w:bidi w:val="0"/>
        <w:spacing w:lineRule="auto" w:line="288" w:before="120" w:after="120"/>
        <w:jc w:val="left"/>
        <w:rPr/>
      </w:pPr>
      <w:r>
        <w:rPr>
          <w:rFonts w:ascii="Arial;sans-serif" w:hAnsi="Arial;sans-serif"/>
          <w:b w:val="false"/>
          <w:i/>
          <w:color w:val="000000"/>
          <w:sz w:val="20"/>
        </w:rPr>
        <w:t xml:space="preserve">Michigan Procurement—Medicare. </w:t>
      </w:r>
      <w:r>
        <w:rPr>
          <w:rFonts w:ascii="Arial;sans-serif" w:hAnsi="Arial;sans-serif"/>
          <w:b w:val="false"/>
          <w:color w:val="000000"/>
          <w:sz w:val="20"/>
        </w:rPr>
        <w:t>Our new contract commenced on January 1, 2026 in select regions.</w:t>
      </w:r>
    </w:p>
    <w:p>
      <w:pPr>
        <w:pStyle w:val="TextBody"/>
        <w:bidi w:val="0"/>
        <w:spacing w:lineRule="auto" w:line="288" w:before="120" w:after="120"/>
        <w:jc w:val="left"/>
        <w:rPr/>
      </w:pPr>
      <w:r>
        <w:rPr>
          <w:rFonts w:ascii="Arial;sans-serif" w:hAnsi="Arial;sans-serif"/>
          <w:b w:val="false"/>
          <w:i/>
          <w:color w:val="000000"/>
          <w:sz w:val="20"/>
        </w:rPr>
        <w:t>Massachusetts Procurement—Medicare.</w:t>
      </w:r>
      <w:r>
        <w:rPr>
          <w:color w:val="000000"/>
        </w:rPr>
        <w:t xml:space="preserve"> </w:t>
      </w:r>
      <w:r>
        <w:rPr>
          <w:rFonts w:ascii="Arial;sans-serif" w:hAnsi="Arial;sans-serif"/>
          <w:b w:val="false"/>
          <w:color w:val="000000"/>
          <w:sz w:val="20"/>
        </w:rPr>
        <w:t>Our new contract commenced on January 1, 2026.</w:t>
      </w:r>
    </w:p>
    <w:p>
      <w:pPr>
        <w:pStyle w:val="TextBody"/>
        <w:bidi w:val="0"/>
        <w:spacing w:lineRule="auto" w:line="288" w:before="120" w:after="120"/>
        <w:jc w:val="left"/>
        <w:rPr/>
      </w:pPr>
      <w:r>
        <w:rPr>
          <w:rFonts w:ascii="Arial;sans-serif" w:hAnsi="Arial;sans-serif"/>
          <w:b w:val="false"/>
          <w:i/>
          <w:color w:val="000000"/>
          <w:sz w:val="20"/>
        </w:rPr>
        <w:t xml:space="preserve">Ohio Procurement—Medicare. </w:t>
      </w:r>
      <w:r>
        <w:rPr>
          <w:rFonts w:ascii="Arial;sans-serif" w:hAnsi="Arial;sans-serif"/>
          <w:b w:val="false"/>
          <w:color w:val="000000"/>
          <w:sz w:val="20"/>
        </w:rPr>
        <w:t>Our new contract commenced on January 1, 2026.</w:t>
      </w:r>
    </w:p>
    <w:p>
      <w:pPr>
        <w:pStyle w:val="TextBody"/>
        <w:bidi w:val="0"/>
        <w:spacing w:lineRule="auto" w:line="288" w:before="120" w:after="120"/>
        <w:jc w:val="left"/>
        <w:rPr/>
      </w:pPr>
      <w:r>
        <w:rPr>
          <w:rFonts w:ascii="Arial;sans-serif" w:hAnsi="Arial;sans-serif"/>
          <w:b w:val="false"/>
          <w:i/>
          <w:color w:val="000000"/>
          <w:sz w:val="20"/>
        </w:rPr>
        <w:t xml:space="preserve">Wisconsin Procurement—Medicaid. </w:t>
      </w:r>
      <w:r>
        <w:rPr>
          <w:rFonts w:ascii="Arial;sans-serif" w:hAnsi="Arial;sans-serif"/>
          <w:b w:val="false"/>
          <w:color w:val="000000"/>
          <w:sz w:val="20"/>
        </w:rPr>
        <w:t xml:space="preserve">In August 2025, the Wisconsin Department of Health Services awarded a contract to provide services under the Family Care and Family Care Partnership programs in its Geographic Service Regions 2 and 7 to our Wisconsin health plan. The contract commenced on January 1, 2026 and is expected to have a duration of two years, with an option for three two-year extensions. </w:t>
      </w:r>
    </w:p>
    <w:p>
      <w:pPr>
        <w:pStyle w:val="TextBody"/>
        <w:bidi w:val="0"/>
        <w:spacing w:lineRule="auto" w:line="288" w:before="120" w:after="120"/>
        <w:jc w:val="left"/>
        <w:rPr/>
      </w:pPr>
      <w:r>
        <w:rPr>
          <w:rFonts w:ascii="Arial;sans-serif" w:hAnsi="Arial;sans-serif"/>
          <w:b w:val="false"/>
          <w:i/>
          <w:color w:val="000000"/>
          <w:sz w:val="20"/>
        </w:rPr>
        <w:t xml:space="preserve">Nevada Procurement—Medicaid. </w:t>
      </w:r>
      <w:r>
        <w:rPr>
          <w:rFonts w:ascii="Arial;sans-serif" w:hAnsi="Arial;sans-serif"/>
          <w:b w:val="false"/>
          <w:color w:val="000000"/>
          <w:sz w:val="20"/>
        </w:rPr>
        <w:t>In March 2025, the Nevada Department of Health and Human Services Division of Health Care Financing and Policy awarded a Medicaid and Children’s Health Insurance Program managed care contracts to our Nevada health plan. The new contract will cover Urban Clark and Urban Washoe. The new contract commenced on January 1, 2026 and will run through December 31, 2030, with one two-year extension.</w:t>
      </w:r>
    </w:p>
    <w:p>
      <w:pPr>
        <w:pStyle w:val="TextBody"/>
        <w:bidi w:val="0"/>
        <w:spacing w:lineRule="auto" w:line="288" w:before="120" w:after="120"/>
        <w:jc w:val="left"/>
        <w:rPr/>
      </w:pPr>
      <w:r>
        <w:rPr>
          <w:rFonts w:ascii="Arial;sans-serif" w:hAnsi="Arial;sans-serif"/>
          <w:b w:val="false"/>
          <w:i/>
          <w:color w:val="000000"/>
          <w:sz w:val="20"/>
        </w:rPr>
        <w:t xml:space="preserve">Illinois Procurement—Medicare. </w:t>
      </w:r>
      <w:r>
        <w:rPr>
          <w:rFonts w:ascii="Arial;sans-serif" w:hAnsi="Arial;sans-serif"/>
          <w:b w:val="false"/>
          <w:color w:val="000000"/>
          <w:sz w:val="20"/>
        </w:rPr>
        <w:t>In March 2025,</w:t>
      </w:r>
      <w:r>
        <w:rPr>
          <w:color w:val="000000"/>
        </w:rPr>
        <w:t xml:space="preserve"> </w:t>
      </w:r>
      <w:r>
        <w:rPr>
          <w:rFonts w:ascii="Arial;sans-serif" w:hAnsi="Arial;sans-serif"/>
          <w:b w:val="false"/>
          <w:color w:val="000000"/>
          <w:sz w:val="20"/>
        </w:rPr>
        <w:t>the Illinois Department of Healthcare and Family Services awarded a contract to provide a Fully Integrated Dual Eligible Special Needs Plan to our Illinois health plan. This contract will replace the state’s Medicare-Medicaid Alignment Initiative demonstration program. The new contract commenced on January 1, 2026. The contract is expected to have an initial term of four years, with the option to extend the contract from the initial term so long as the total contract term does not exceed ten years.</w:t>
      </w:r>
    </w:p>
    <w:p>
      <w:pPr>
        <w:pStyle w:val="TextBody"/>
        <w:bidi w:val="0"/>
        <w:spacing w:lineRule="auto" w:line="288" w:before="120" w:after="120"/>
        <w:jc w:val="left"/>
        <w:rPr/>
      </w:pPr>
      <w:r>
        <w:rPr>
          <w:rFonts w:ascii="Arial;sans-serif" w:hAnsi="Arial;sans-serif"/>
          <w:b w:val="false"/>
          <w:i/>
          <w:color w:val="000000"/>
          <w:sz w:val="20"/>
        </w:rPr>
        <w:t xml:space="preserve">Georgia Procurement—Medicaid. </w:t>
      </w:r>
      <w:r>
        <w:rPr>
          <w:rFonts w:ascii="Arial;sans-serif" w:hAnsi="Arial;sans-serif"/>
          <w:b w:val="false"/>
          <w:color w:val="000000"/>
          <w:sz w:val="20"/>
        </w:rPr>
        <w:t>In December 2024, the Georgia Department of Administrative Services issued the Notice of Intent to Award in the Georgia Families Medicaid Managed procurement. Our Georgia health plan was the top scorer, and was noticed for award of one of the four statewide contracts. The new contract was originally scheduled to commence on July 1, 2025; however, due to ongoing procurement protests, we now anticipate implementation beginning in late 2027 or in 2028.</w:t>
      </w:r>
    </w:p>
    <w:p>
      <w:pPr>
        <w:pStyle w:val="TextBody"/>
        <w:bidi w:val="0"/>
        <w:spacing w:lineRule="auto" w:line="288" w:before="120" w:after="120"/>
        <w:jc w:val="left"/>
        <w:rPr/>
      </w:pPr>
      <w:r>
        <w:rPr>
          <w:rFonts w:ascii="Arial;sans-serif" w:hAnsi="Arial;sans-serif"/>
          <w:b w:val="false"/>
          <w:i/>
          <w:color w:val="000000"/>
          <w:sz w:val="20"/>
        </w:rPr>
        <w:t xml:space="preserve">Texas Procurement—Medicaid - STAR CHIP. </w:t>
      </w:r>
      <w:r>
        <w:rPr>
          <w:rFonts w:ascii="Arial;sans-serif" w:hAnsi="Arial;sans-serif"/>
          <w:b w:val="false"/>
          <w:color w:val="000000"/>
          <w:sz w:val="20"/>
        </w:rPr>
        <w:t xml:space="preserve">In the first quarter of 2024, we were notified of the Texas Health and Human Services Commission’s intent to award us a contract for Temporary Assistance for Needy Families (“TANF”) and Children’s Health Insurance Program (“CHIP”) (known in Texas as the STAR &amp; CHIP programs, and both existing contracts for Molina), expanding our footprint and expecting to grow our market share. The expected start of operations is now in late 2027 or in 2028. </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Business Trends</w:t>
      </w:r>
    </w:p>
    <w:p>
      <w:pPr>
        <w:pStyle w:val="TextBody"/>
        <w:bidi w:val="0"/>
        <w:spacing w:lineRule="auto" w:line="288" w:before="120" w:after="120"/>
        <w:jc w:val="left"/>
        <w:rPr/>
      </w:pPr>
      <w:r>
        <w:rPr>
          <w:rFonts w:ascii="Arial;sans-serif" w:hAnsi="Arial;sans-serif"/>
          <w:b w:val="false"/>
          <w:i/>
          <w:color w:val="000000"/>
          <w:sz w:val="20"/>
        </w:rPr>
        <w:t xml:space="preserve">Medicaid. </w:t>
      </w:r>
      <w:r>
        <w:rPr>
          <w:rFonts w:ascii="Arial;sans-serif" w:hAnsi="Arial;sans-serif"/>
          <w:b w:val="false"/>
          <w:color w:val="000000"/>
          <w:sz w:val="20"/>
        </w:rPr>
        <w:t xml:space="preserve">We expect our Medicaid enrollment to decrease in 2026, to a total of 4.4 million members by the end of the year, excluding the 120,000 members we expect to serve in the new Florida Kids program that commenced on October 1, 2026, due to general market contraction. </w:t>
      </w:r>
    </w:p>
    <w:p>
      <w:pPr>
        <w:pStyle w:val="TextBody"/>
        <w:bidi w:val="0"/>
        <w:spacing w:lineRule="auto" w:line="288" w:before="120" w:after="120"/>
        <w:jc w:val="left"/>
        <w:rPr/>
      </w:pPr>
      <w:r>
        <w:rPr>
          <w:rFonts w:ascii="Arial;sans-serif" w:hAnsi="Arial;sans-serif"/>
          <w:b w:val="false"/>
          <w:i/>
          <w:color w:val="000000"/>
          <w:sz w:val="20"/>
        </w:rPr>
        <w:t xml:space="preserve">MMP Transition—Medicare. </w:t>
      </w:r>
      <w:r>
        <w:rPr>
          <w:rFonts w:ascii="Arial;sans-serif" w:hAnsi="Arial;sans-serif"/>
          <w:b w:val="false"/>
          <w:color w:val="000000"/>
          <w:sz w:val="20"/>
        </w:rPr>
        <w:t>On January 1, 2026, we successfully completed the transition of Medicare-Medicaid Plan (“MMP”) members in five states (Illinois, Michigan, Ohio, South Carolina, and Texas) to new integrated dual eligible special needs plans (“FIDE/HIDE”), which totaled approximately $1.9 billion in total premium revenue in 2025. Our duals business will be the long-term strategic focus for our Medicare segment. As previously mentioned, we will exit the MAPD product in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27</w:t>
                      </w:r>
                    </w:p>
                  </w:txbxContent>
                </v:textbox>
                <w10:wrap type="none"/>
              </v:rect>
            </w:pict>
          </mc:Fallback>
        </mc:AlternateContent>
      </w:r>
    </w:p>
    <w:p>
      <w:pPr>
        <w:pStyle w:val="TextBody"/>
        <w:bidi w:val="0"/>
        <w:spacing w:lineRule="auto" w:line="288" w:before="0" w:after="0"/>
        <w:jc w:val="left"/>
        <w:rPr/>
      </w:pPr>
      <w:hyperlink w:anchor="if0f7722e66e044efbc92f161b43315a4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pPr>
      <w:r>
        <w:rPr>
          <w:rFonts w:ascii="Arial;sans-serif" w:hAnsi="Arial;sans-serif"/>
          <w:b w:val="false"/>
          <w:i/>
          <w:color w:val="000000"/>
          <w:sz w:val="20"/>
        </w:rPr>
        <w:t>Medicare.</w:t>
      </w:r>
      <w:r>
        <w:rPr>
          <w:color w:val="000000"/>
        </w:rPr>
        <w:t xml:space="preserve"> </w:t>
      </w:r>
      <w:r>
        <w:rPr>
          <w:rFonts w:ascii="Arial;sans-serif" w:hAnsi="Arial;sans-serif"/>
          <w:b w:val="false"/>
          <w:color w:val="000000"/>
          <w:sz w:val="20"/>
        </w:rPr>
        <w:t>We expect our Medicare enrollment to decrease in 2026, including further reductions in MAPD membership aimed at improving margins to a total of 230,000 members, or 12%, by the end of the year. In 2026, we are participating in Medicare in all our markets except Florida.</w:t>
      </w:r>
    </w:p>
    <w:p>
      <w:pPr>
        <w:pStyle w:val="TextBody"/>
        <w:bidi w:val="0"/>
        <w:spacing w:lineRule="auto" w:line="288" w:before="120" w:after="283"/>
        <w:jc w:val="left"/>
        <w:rPr/>
      </w:pPr>
      <w:r>
        <w:rPr>
          <w:rFonts w:ascii="Arial;sans-serif" w:hAnsi="Arial;sans-serif"/>
          <w:b w:val="false"/>
          <w:i/>
          <w:color w:val="000000"/>
          <w:sz w:val="20"/>
        </w:rPr>
        <w:t>Marketplace.</w:t>
      </w:r>
      <w:r>
        <w:rPr>
          <w:color w:val="000000"/>
        </w:rPr>
        <w:t xml:space="preserve"> </w:t>
      </w:r>
      <w:r>
        <w:rPr>
          <w:rFonts w:ascii="Arial;sans-serif" w:hAnsi="Arial;sans-serif"/>
          <w:b w:val="false"/>
          <w:color w:val="000000"/>
          <w:sz w:val="20"/>
        </w:rPr>
        <w:t xml:space="preserve">In 2026, we are offering Marketplace health plans in all our markets except Arizona, Iowa, Massachusetts, Nebraska, and New York. We now expect our Marketplace enrollment to decrease to approximately 250,000 members by the end of the year, in line with our product and pricing strategy towards restoring our target margins. We expect to make further reductions in Marketplace enrollment for 2027 towards restoring our target margins, which we estimate to result in a $1 billion decrease in Marketplace premiums compared to 2026.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F7C7F"/>
          <w:sz w:val="24"/>
        </w:rPr>
      </w:pPr>
      <w:r>
        <w:rPr>
          <w:rFonts w:ascii="Arial;sans-serif" w:hAnsi="Arial;sans-serif"/>
          <w:b/>
          <w:color w:val="0F7C7F"/>
          <w:sz w:val="24"/>
        </w:rPr>
        <w:t>REPORTABLE SEGMENTS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As of September 30, 2026, we served approximately 4.9 million members eligible for Medicaid, Medicare, and other government-sponsored healthcare programs for low-income families and individuals, including Marketplace members, most of whom receive government premium subsidies.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currently have four reportable segments consisting of: 1) Medicaid; 2) Medicare; 3) Marketplace; and 4) Other.</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Medicaid, Medicare, and Marketplace segments represent the government-funded or sponsored programs under which we offer managed healthcare services. The Other segment, which is insignificant to our consolidated results of operations, includes long-term services and supports consultative services in Wisconsin and the commercial portion of the business acquired in connection with the ConnectiCare transaction that closed effective February 1, 2025.</w:t>
      </w: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HOW WE ASSESS PERFORMANCE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derive our revenues primarily from health insurance premiums. Our primary customers are state Medicaid agencies and the federal government.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key metrics used to assess the performance of our segments are revenue, margin and medical care ratio (“MCR”). MCR represents the amount of medical care costs as a percentage of premium revenue. Therefore, the underlying margin, or the amount earned by the segments after medical or service costs are deducted from revenue, represents the most important measure of earnings reviewed by management, and is used by our chief executive officer, who is our chief operating decision maker, to review results, assess performance, and allocate resources. Such oversight and decision making includes, among others, pricing, approving capital expenditures, and identifying growth opportunities. We do not report total assets by segment since this is not a metric used to assess segment performance or allocate resources.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Management’s discussion and analysis of the change in medical margin is discussed below under “Segment Financial Performance.” For more information, see Notes to Consolidated Financial Statements, Note 8, “Segments.”</w:t>
      </w: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SEGMENT MEMBERSHIP</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sets forth our membership by segment as of the dates indicated:</w:t>
      </w:r>
    </w:p>
    <w:tbl>
      <w:tblPr>
        <w:tblW w:w="6040" w:type="dxa"/>
        <w:jc w:val="left"/>
        <w:tblInd w:w="0" w:type="dxa"/>
        <w:tblLayout w:type="fixed"/>
        <w:tblCellMar>
          <w:top w:w="28" w:type="dxa"/>
          <w:left w:w="28" w:type="dxa"/>
          <w:bottom w:w="28" w:type="dxa"/>
          <w:right w:w="28" w:type="dxa"/>
        </w:tblCellMar>
      </w:tblPr>
      <w:tblGrid>
        <w:gridCol w:w="406"/>
        <w:gridCol w:w="357"/>
        <w:gridCol w:w="363"/>
        <w:gridCol w:w="488"/>
        <w:gridCol w:w="488"/>
        <w:gridCol w:w="411"/>
        <w:gridCol w:w="109"/>
        <w:gridCol w:w="109"/>
        <w:gridCol w:w="109"/>
        <w:gridCol w:w="488"/>
        <w:gridCol w:w="488"/>
        <w:gridCol w:w="391"/>
        <w:gridCol w:w="109"/>
        <w:gridCol w:w="109"/>
        <w:gridCol w:w="109"/>
        <w:gridCol w:w="488"/>
        <w:gridCol w:w="488"/>
        <w:gridCol w:w="530"/>
      </w:tblGrid>
      <w:tr>
        <w:trPr/>
        <w:tc>
          <w:tcPr>
            <w:tcW w:w="40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Medicaid</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4,372,000 </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4,568,000 </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4,639,000 </w:t>
            </w:r>
          </w:p>
        </w:tc>
        <w:tc>
          <w:tcPr>
            <w:tcW w:w="5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Medicare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222,000 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262,000 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266,000 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Marketplace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267,000 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655,000 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713,000 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Other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6,000 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4,862,000 </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5,491,000 </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5,628,000 </w:t>
            </w:r>
          </w:p>
        </w:tc>
        <w:tc>
          <w:tcPr>
            <w:tcW w:w="5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28</w:t>
                      </w:r>
                    </w:p>
                  </w:txbxContent>
                </v:textbox>
                <w10:wrap type="none"/>
              </v:rect>
            </w:pict>
          </mc:Fallback>
        </mc:AlternateContent>
      </w:r>
    </w:p>
    <w:p>
      <w:pPr>
        <w:pStyle w:val="TextBody"/>
        <w:bidi w:val="0"/>
        <w:spacing w:lineRule="auto" w:line="288" w:before="0" w:after="0"/>
        <w:jc w:val="left"/>
        <w:rPr/>
      </w:pPr>
      <w:hyperlink w:anchor="if0f7722e66e044efbc92f161b43315a4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SEGMENT FINANCIAL PERFORMANCE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tables summarize premium revenue, medical margin, and MCR by segment for the periods indicated (dollars in millions):</w:t>
      </w:r>
    </w:p>
    <w:tbl>
      <w:tblPr>
        <w:tblW w:w="8024" w:type="dxa"/>
        <w:jc w:val="center"/>
        <w:tblInd w:w="0" w:type="dxa"/>
        <w:tblLayout w:type="fixed"/>
        <w:tblCellMar>
          <w:top w:w="28" w:type="dxa"/>
          <w:left w:w="28" w:type="dxa"/>
          <w:bottom w:w="28" w:type="dxa"/>
          <w:right w:w="28" w:type="dxa"/>
        </w:tblCellMar>
      </w:tblPr>
      <w:tblGrid>
        <w:gridCol w:w="406"/>
        <w:gridCol w:w="357"/>
        <w:gridCol w:w="363"/>
        <w:gridCol w:w="211"/>
        <w:gridCol w:w="721"/>
        <w:gridCol w:w="109"/>
        <w:gridCol w:w="109"/>
        <w:gridCol w:w="109"/>
        <w:gridCol w:w="109"/>
        <w:gridCol w:w="211"/>
        <w:gridCol w:w="466"/>
        <w:gridCol w:w="109"/>
        <w:gridCol w:w="109"/>
        <w:gridCol w:w="109"/>
        <w:gridCol w:w="109"/>
        <w:gridCol w:w="255"/>
        <w:gridCol w:w="256"/>
        <w:gridCol w:w="271"/>
        <w:gridCol w:w="109"/>
        <w:gridCol w:w="109"/>
        <w:gridCol w:w="109"/>
        <w:gridCol w:w="211"/>
        <w:gridCol w:w="721"/>
        <w:gridCol w:w="109"/>
        <w:gridCol w:w="109"/>
        <w:gridCol w:w="109"/>
        <w:gridCol w:w="109"/>
        <w:gridCol w:w="211"/>
        <w:gridCol w:w="466"/>
        <w:gridCol w:w="109"/>
        <w:gridCol w:w="109"/>
        <w:gridCol w:w="109"/>
        <w:gridCol w:w="109"/>
        <w:gridCol w:w="255"/>
        <w:gridCol w:w="256"/>
        <w:gridCol w:w="316"/>
      </w:tblGrid>
      <w:tr>
        <w:trPr/>
        <w:tc>
          <w:tcPr>
            <w:tcW w:w="40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Premium</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Medical</w:t>
              <w:br/>
              <w:t>Margin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Premium</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Medical</w:t>
              <w:br/>
              <w:t>Margin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MCR</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Medicaid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93.0</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Marketplace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w:t>
            </w:r>
            <w:r>
              <w:rPr>
                <w:color w:val="000000"/>
              </w:rPr>
              <w:t xml:space="preserve"> </w:t>
            </w:r>
            <w:r>
              <w:rPr>
                <w:rFonts w:ascii="Arial;sans-serif" w:hAnsi="Arial;sans-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324" w:type="dxa"/>
        <w:jc w:val="center"/>
        <w:tblInd w:w="0" w:type="dxa"/>
        <w:tblLayout w:type="fixed"/>
        <w:tblCellMar>
          <w:top w:w="28" w:type="dxa"/>
          <w:left w:w="28" w:type="dxa"/>
          <w:bottom w:w="28" w:type="dxa"/>
          <w:right w:w="28" w:type="dxa"/>
        </w:tblCellMar>
      </w:tblPr>
      <w:tblGrid>
        <w:gridCol w:w="406"/>
        <w:gridCol w:w="357"/>
        <w:gridCol w:w="363"/>
        <w:gridCol w:w="211"/>
        <w:gridCol w:w="721"/>
        <w:gridCol w:w="109"/>
        <w:gridCol w:w="109"/>
        <w:gridCol w:w="109"/>
        <w:gridCol w:w="109"/>
        <w:gridCol w:w="211"/>
        <w:gridCol w:w="616"/>
        <w:gridCol w:w="109"/>
        <w:gridCol w:w="109"/>
        <w:gridCol w:w="109"/>
        <w:gridCol w:w="109"/>
        <w:gridCol w:w="255"/>
        <w:gridCol w:w="256"/>
        <w:gridCol w:w="271"/>
        <w:gridCol w:w="109"/>
        <w:gridCol w:w="109"/>
        <w:gridCol w:w="109"/>
        <w:gridCol w:w="211"/>
        <w:gridCol w:w="721"/>
        <w:gridCol w:w="109"/>
        <w:gridCol w:w="109"/>
        <w:gridCol w:w="109"/>
        <w:gridCol w:w="109"/>
        <w:gridCol w:w="211"/>
        <w:gridCol w:w="616"/>
        <w:gridCol w:w="109"/>
        <w:gridCol w:w="109"/>
        <w:gridCol w:w="109"/>
        <w:gridCol w:w="109"/>
        <w:gridCol w:w="255"/>
        <w:gridCol w:w="256"/>
        <w:gridCol w:w="316"/>
      </w:tblGrid>
      <w:tr>
        <w:trPr/>
        <w:tc>
          <w:tcPr>
            <w:tcW w:w="40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3"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Premium</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Medical</w:t>
              <w:br/>
              <w:t>Margin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Premium</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Medical</w:t>
              <w:br/>
              <w:t>Margin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MCR</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Medicaid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Marketplace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w:t>
            </w:r>
            <w:r>
              <w:rPr>
                <w:color w:val="000000"/>
              </w:rPr>
              <w:t xml:space="preserve"> </w:t>
            </w:r>
            <w:r>
              <w:rPr>
                <w:rFonts w:ascii="Arial;sans-serif" w:hAnsi="Arial;sans-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________________________</w:t>
      </w:r>
    </w:p>
    <w:p>
      <w:pPr>
        <w:pStyle w:val="TextBody"/>
        <w:bidi w:val="0"/>
        <w:spacing w:lineRule="auto" w:line="288" w:before="60" w:after="283"/>
        <w:ind w:left="0" w:right="0" w:hanging="360"/>
        <w:jc w:val="left"/>
        <w:rPr>
          <w:rFonts w:ascii="Arial;sans-serif" w:hAnsi="Arial;sans-serif"/>
          <w:b w:val="false"/>
          <w:color w:val="000000"/>
          <w:sz w:val="18"/>
        </w:rPr>
      </w:pPr>
      <w:r>
        <w:rPr>
          <w:rFonts w:ascii="Arial;sans-serif" w:hAnsi="Arial;sans-serif"/>
          <w:b w:val="false"/>
          <w:color w:val="000000"/>
          <w:sz w:val="18"/>
        </w:rPr>
        <w:t xml:space="preserve">(1)    The Other MCRs are not meaningful. </w:t>
      </w:r>
    </w:p>
    <w:p>
      <w:pPr>
        <w:pStyle w:val="TextBody"/>
        <w:bidi w:val="0"/>
        <w:spacing w:lineRule="auto" w:line="288" w:before="140" w:after="120"/>
        <w:jc w:val="left"/>
        <w:rPr>
          <w:rFonts w:ascii="Arial;sans-serif" w:hAnsi="Arial;sans-serif"/>
          <w:b/>
          <w:i/>
          <w:color w:val="000000"/>
          <w:sz w:val="20"/>
        </w:rPr>
      </w:pPr>
      <w:r>
        <w:rPr>
          <w:rFonts w:ascii="Arial;sans-serif" w:hAnsi="Arial;sans-serif"/>
          <w:b/>
          <w:i/>
          <w:color w:val="000000"/>
          <w:sz w:val="20"/>
        </w:rPr>
        <w:t>Medicaid</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Medicaid premium revenue increased $184 million, or 2.3%, in the third quarter of 2026, when compared with the third quarter of 2025, but was relatively unchanged on a net basis in the nine months ended September 30, 2026, when compared with the nine months ended September 30, 2025. Both periods in 2026 reflect the impact of rate updates, program changes, and member mix changes, offset by the impact of lower membership due to general Medicaid market contraction. Additionally, the change in the nine months ended September 30, 2026 when compared with the nine months ended September 30, 2025, reflects the expiration of our Virginia Medicaid contract effective June 30, 2025.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medical margin in our Medicaid program decreased $62 million, or 10%, in the third quarter of 2026 when compared with the third quarter of 2025, and decreased $334 million, or 16%, in the nine months ended September 30, 2026 when compared with the nine months ended September 30, 2025. The changes for both periods were mainly driven by the increases in the MCR, as described below.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Medicaid MCR increased 100 basis points to 93.0% in the third quarter of 2026, from 92.0% in the third quarter of 2025, and increased 140 basis points to 92.6% in the nine months ended September 30, 2026, from 91.2% in the nine months ended September 30, 2025. The increase in both periods reflects a challenging medical cost environment, particularly in outpatient and high-cost drug cost categories, program changes, and member mix changes, partially offset by rate updates that were in effect during the nine months ended September 30, 2026. The MCR is in line with our expectations. </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Medicare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Medicare premium revenue increased $6 million, in the third quarter of 2026 compared to the third quarter of 2025, and increased $12 million, or 0.3%, in the nine months ended September 30, 2026 compared to the nine months ended September 30, 2025. The increase in both periods primarily reflects changes in product mix, as we transitioned MMP members into integrated duals products, and membership growth associated with the ConnectiCare acquisition that closed on February 1, 2025, partially offset by the impact of further reductions in our MAPD footprint due to our pricing strategy aimed at improving margins.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medical margin for Medicare increased $10 million in the third quarter of 2026, and decreased $23 million in the nine months ended September 30, 2026, when compared to the same periods in 2025. The changes for both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29</w:t>
                      </w:r>
                    </w:p>
                  </w:txbxContent>
                </v:textbox>
                <w10:wrap type="none"/>
              </v:rect>
            </w:pict>
          </mc:Fallback>
        </mc:AlternateContent>
      </w:r>
    </w:p>
    <w:p>
      <w:pPr>
        <w:pStyle w:val="TextBody"/>
        <w:bidi w:val="0"/>
        <w:spacing w:lineRule="auto" w:line="288" w:before="0" w:after="0"/>
        <w:jc w:val="left"/>
        <w:rPr/>
      </w:pPr>
      <w:hyperlink w:anchor="if0f7722e66e044efbc92f161b43315a4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periods were mainly due to the changes in MCR discussed below, and the year-over-year changes in premium revenues discussed above.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Medicare MCR decreased to 93.0% in the third quarter of 2026, or 60 basis points, compared to the third quarter of 2025, and increased to 91.2% in the nine months ended September 30, 2026, or 50 basis points, compared to the nine months ended September 30, 2025. The decrease in the third quarter was primarily due to favorable risk adjustment premiums and prior period reserve development, partially offset by the impact of product mix changes. The increase in the nine months ended September 30, 2026 was mainly attributable to the impact of product mix changes from transitioning MMP members into integrated duals products discussed above. The third quarter MCR is in line with our expectations.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Marketplace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Marketplace premium revenue decreased $555 million in the third quarter of 2026 compared to the third quarter of 2025, and decreased $1.4 billion in the nine months ended September 30, 2026 compared to the nine months ended September 30, 2025, due to an expected decrease in membership in line with our product and pricing strategy towards restoring our target margins, and the impact of changes in estimate for prior year risk adjustment. Our Marketplace membership as of September 30, 2026, amounted to 267,000 members, representing a decrease of 446,000 members compared to September 30, 2025.</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Marketplace medical margin decreased $5 million in the third quarter of 2026 when compared with the third quarter of 2025, and decreased $178 million in the nine months ended September 30, 2026 when compared with the nine months ended September 30, 2025. The changes in each period were primarily due to the decline in premium revenue discussed above and the MCR changes discussed below.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Marketplace MCR decreased to 92.5% in the third quarter of 2026, or 310 basis points, compared to 95.6% in the third quarter of 2025, and increased to 88.3% in the nine months ended September 30, 2026, or 40 basis points, compared to 87.9% in the nine months ended September 30, 2025. The decrease in the MCR for the third quarter of 2026 was mainly due to the impact of favorable changes in estimate for risk adjustment premiums, partially offset by the impact of unfavorable current year member acuity mix changes and continued CMS program integrity initiatives. The increase in MCR for the nine months ended September 30, 2026 mainly reflects the impact of changes in estimate for prior year risk adjustment premiums, continued CMS program integrity initiatives resulting in unfavorable prior year premium adjustments and the impact of unfavorable current year member acuity mix changes. The MCR is in line with our expectations. </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Other</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Other segment includes service revenues and costs associated with long-term services and supports consultative services we provide in Wisconsin, the commercial portion of the business acquired in connection with the ConnectiCare transaction that closed effective February 1, 2025, and certain corporate amounts not allocated to the Medicaid, Medicare, or Marketplace segments. Such amounts were immaterial to our consolidated results of operations for the three and nine months ended September 30, 2026 and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F7C7F"/>
          <w:sz w:val="24"/>
        </w:rPr>
      </w:pPr>
      <w:r>
        <w:rPr>
          <w:rFonts w:ascii="Arial;sans-serif" w:hAnsi="Arial;sans-serif"/>
          <w:b/>
          <w:color w:val="0F7C7F"/>
          <w:sz w:val="24"/>
        </w:rPr>
        <w:t>LIQUIDITY, FINANCIAL CONDITION AND CAPITAL RESOURCES</w:t>
      </w: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LIQUIDITY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manage our cash, investments, and capital structure to meet the short- and long-term obligations of our business while maintaining liquidity and financial flexibility. We forecast, analyze, and monitor our cash flows to enable prudent investment management and financing within the confines of our financial strategy.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maintain liquidity at two levels: 1) the regulated health plan subsidiaries; and 2) the parent company. </w:t>
      </w:r>
    </w:p>
    <w:p>
      <w:pPr>
        <w:pStyle w:val="TextBody"/>
        <w:bidi w:val="0"/>
        <w:spacing w:lineRule="auto" w:line="288" w:before="120" w:after="120"/>
        <w:jc w:val="left"/>
        <w:rPr/>
      </w:pPr>
      <w:r>
        <w:rPr>
          <w:rFonts w:ascii="Arial;sans-serif" w:hAnsi="Arial;sans-serif"/>
          <w:b w:val="false"/>
          <w:color w:val="000000"/>
          <w:sz w:val="20"/>
        </w:rPr>
        <w:t>Our regulated health plan subsidiaries’ primary liquidity requirements include payment of medical claims and other health care services; payment of certain settlements with our state and federal customers, such as minimum medical loss ratio and risk corridors and Marketplace risk transfers on behalf of CMS; general and administrative costs directly incurred or paid through an administrative services agreement to the parent company; and federal tax payments to the parent company under an intercompany tax sharing agreement. Our regulated health plan subsidiaries meet their liquidity needs by generating cash flows from operating activities, primarily from premium revenue; cash flows from investing activities, including investment income and sales of investments; and capital contributions received from our parent company. In the three and nine months ended September 30, 2026, the parent company contributed capital in the aggregate amount of</w:t>
      </w:r>
      <w:r>
        <w:rPr>
          <w:color w:val="000000"/>
          <w:shd w:fill="FFFFFF" w:val="clear"/>
        </w:rPr>
        <w:t xml:space="preserve"> </w:t>
      </w:r>
      <w:r>
        <w:rPr>
          <w:rFonts w:ascii="Arial;sans-serif" w:hAnsi="Arial;sans-serif"/>
          <w:b w:val="false"/>
          <w:color w:val="000000"/>
          <w:sz w:val="20"/>
          <w:shd w:fill="FFFFFF" w:val="clear"/>
        </w:rPr>
        <w:t xml:space="preserve">$100 million and $130 million, respectively, </w:t>
      </w:r>
      <w:r>
        <w:rPr>
          <w:rFonts w:ascii="Arial;sans-serif" w:hAnsi="Arial;sans-serif"/>
          <w:b w:val="false"/>
          <w:color w:val="000000"/>
          <w:sz w:val="20"/>
        </w:rPr>
        <w:t xml:space="preserve">to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30</w:t>
                      </w:r>
                    </w:p>
                  </w:txbxContent>
                </v:textbox>
                <w10:wrap type="none"/>
              </v:rect>
            </w:pict>
          </mc:Fallback>
        </mc:AlternateContent>
      </w:r>
    </w:p>
    <w:p>
      <w:pPr>
        <w:pStyle w:val="TextBody"/>
        <w:bidi w:val="0"/>
        <w:spacing w:lineRule="auto" w:line="288" w:before="0" w:after="0"/>
        <w:jc w:val="left"/>
        <w:rPr/>
      </w:pPr>
      <w:hyperlink w:anchor="if0f7722e66e044efbc92f161b43315a4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regulated health plan subsidiaries in California, Connecticut, Florida, New Mexico and South Carolina to satisfy statutory capital and surplus requirements.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Our regulated health plan subsidiaries are each subject to applicable state regulations that, among other things, require the maintenance of minimum levels of capital and surplus. We continue to maintain levels of aggregate excess statutory capital and surplus in our regulated health plan subsidiaries that we believe are appropriate. See further discussion under “Regulatory Capital and Dividend Restrictions” below. When available and as permitted by applicable regulations, cash in excess of the capital needs of our regulated health plan subsidiaries is generally paid in the form of dividends to our parent company to be used for general corporate purposes. In the three and nine months ended September 30, 2026, the parent company received $185 million and $329 million, respectively, in dividends and return of capital from the regulated health plan subsidiaries. See further discussion of dividends below in “Future Sources and Uses of Liquidity—Future Sources.”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Parent company liquidity requirements generally consist of payment of administrative costs not directly incurred by our regulated operations, including, but not limited to, staffing costs, lease payments, branding and certain information technology services; capital contributions paid to our regulated health plan subsidiaries, including funding for newer health plans; capital expenditures; debt service; funding for common stock purchases, acquisitions and other growth-related activities; and federal tax payments. Our parent company normally meets its liquidity requirements from administrative services fees earned under administrative services agreements; dividends received from our regulated subsidiaries; federal tax payments collected from the regulated subsidiaries; proceeds received from the issuance of debt and equity securities; and cash flows from investing activities, including investment income and sales of investments.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Cash, cash equivalents and investments at the parent company amounted to approximately $608 million and $223 million as of September 30, 2026, and December 31, 2025, respectively. The change for the nine months ended September 30, 2026 was primarily due to timing of certain corporate payments, and the net impact of dividends received from, and contributions made to, our regulated health plan subsidiaries.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Investments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After considering expected cash flows from operating activities, we generally invest cash of regulated subsidiaries that exceeds our expected short-term obligations in longer term, investment-grade, and marketable debt securities to improve our overall investment return. These investments are made pursuant to board-approved investment policies which conform to applicable state laws and regulations.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investment policies are designed to provide liquidity, preserve capital, and maximize total return on invested assets, all in a manner consistent with state requirements that prescribe the types of instruments in which our subsidiaries may invest. These investment policies require that our investments have final maturities of less than 15 years, or less than 15 years average life for structured securities. Professional portfolio managers operating under documented guidelines manage our investments and a portion of our cash equivalents. Our portfolio managers must obtain our prior approval before selling investments where the loss position of those investments exceeds certain levels.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overall rating of our portfolio is AA-. Our investment policy has directives in conjunction with state guidelines to minimize risks and exposures in volatile markets. Additionally, our portfolio managers assist us in navigating the current volatility in the capital markets.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restricted investments are invested principally in cash, cash equivalents, U.S. Treasury securities, and corporate debt securities, and we have the ability to hold such restricted investments until maturity. All of our unrestricted investments are classified as current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31</w:t>
                      </w:r>
                    </w:p>
                  </w:txbxContent>
                </v:textbox>
                <w10:wrap type="none"/>
              </v:rect>
            </w:pict>
          </mc:Fallback>
        </mc:AlternateContent>
      </w:r>
    </w:p>
    <w:p>
      <w:pPr>
        <w:pStyle w:val="TextBody"/>
        <w:bidi w:val="0"/>
        <w:spacing w:lineRule="auto" w:line="288" w:before="0" w:after="0"/>
        <w:jc w:val="left"/>
        <w:rPr/>
      </w:pPr>
      <w:hyperlink w:anchor="if0f7722e66e044efbc92f161b43315a4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Cash Flow Activities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cash flows are summarized as follows:</w:t>
      </w:r>
    </w:p>
    <w:tbl>
      <w:tblPr>
        <w:tblW w:w="10205" w:type="dxa"/>
        <w:jc w:val="center"/>
        <w:tblInd w:w="0" w:type="dxa"/>
        <w:tblLayout w:type="fixed"/>
        <w:tblCellMar>
          <w:top w:w="28" w:type="dxa"/>
          <w:left w:w="28" w:type="dxa"/>
          <w:bottom w:w="28" w:type="dxa"/>
          <w:right w:w="28" w:type="dxa"/>
        </w:tblCellMar>
      </w:tblPr>
      <w:tblGrid>
        <w:gridCol w:w="2573"/>
        <w:gridCol w:w="2248"/>
        <w:gridCol w:w="2256"/>
        <w:gridCol w:w="211"/>
        <w:gridCol w:w="466"/>
        <w:gridCol w:w="109"/>
        <w:gridCol w:w="109"/>
        <w:gridCol w:w="109"/>
        <w:gridCol w:w="109"/>
        <w:gridCol w:w="211"/>
        <w:gridCol w:w="536"/>
        <w:gridCol w:w="109"/>
        <w:gridCol w:w="109"/>
        <w:gridCol w:w="109"/>
        <w:gridCol w:w="109"/>
        <w:gridCol w:w="211"/>
        <w:gridCol w:w="466"/>
        <w:gridCol w:w="155"/>
      </w:tblGrid>
      <w:tr>
        <w:trPr/>
        <w:tc>
          <w:tcPr>
            <w:tcW w:w="2573"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7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7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7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provided by investing activities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cash equivalents, and restricted cash and cash equivalents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u w:val="single"/>
        </w:rPr>
      </w:pPr>
      <w:r>
        <w:rPr>
          <w:rFonts w:ascii="Arial;sans-serif" w:hAnsi="Arial;sans-serif"/>
          <w:b w:val="false"/>
          <w:color w:val="000000"/>
          <w:sz w:val="20"/>
          <w:u w:val="single"/>
        </w:rPr>
        <w:t>Operating Activities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typically receive capitation payments monthly, in advance of payments for medical claims; however, government payors may adjust their payment schedules, positively or negatively impacting our reported cash flows from operating activities in any given period. For example, government payors may delay our premium payments, or they may prepay the following month’s premium payment.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Net cash provided by operations for the nine months ended September 30, 2026 was $629 million, compared with $237 million used in the nine months ended September 30, 2025. The increase in cash flow mainly results from a lower magnitude of net government receivable and payable settlements in 2026 compared to 2025, partially offset by the impact of lower net income in the nine months ended September 30, 2026. </w:t>
      </w:r>
    </w:p>
    <w:p>
      <w:pPr>
        <w:pStyle w:val="TextBody"/>
        <w:bidi w:val="0"/>
        <w:spacing w:lineRule="auto" w:line="288" w:before="120" w:after="120"/>
        <w:jc w:val="left"/>
        <w:rPr/>
      </w:pPr>
      <w:r>
        <w:rPr>
          <w:rFonts w:ascii="Arial;sans-serif" w:hAnsi="Arial;sans-serif"/>
          <w:b w:val="false"/>
          <w:color w:val="000000"/>
          <w:sz w:val="20"/>
          <w:u w:val="single"/>
        </w:rPr>
        <w:t>Investing Activities</w:t>
      </w:r>
      <w:r>
        <w:rPr>
          <w:color w:val="000000"/>
        </w:rPr>
        <w:t xml:space="preserv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Net cash used in investing activities was $328 million in the nine months ended September 30, 2026, compared with $82 million provided in the nine months ended September 30, 2025, a decrease in cash flow of $410 million. This change in cash flow reflects the net impact of proceeds and purchases of investments, which amounted to net purchases of $225 million in the nine months ended September 30, 2026 and net proceeds of $410 million in the nine months ended September 30, 2025. Net cash paid in business combinations amounted to $245 million in the nine months ended September 30, 2025, related to the ConnectiCare acquisition. </w:t>
      </w:r>
    </w:p>
    <w:p>
      <w:pPr>
        <w:pStyle w:val="TextBody"/>
        <w:bidi w:val="0"/>
        <w:spacing w:lineRule="auto" w:line="288" w:before="120" w:after="120"/>
        <w:jc w:val="left"/>
        <w:rPr>
          <w:rFonts w:ascii="Arial;sans-serif" w:hAnsi="Arial;sans-serif"/>
          <w:b w:val="false"/>
          <w:color w:val="000000"/>
          <w:sz w:val="20"/>
          <w:u w:val="single"/>
        </w:rPr>
      </w:pPr>
      <w:r>
        <w:rPr>
          <w:rFonts w:ascii="Arial;sans-serif" w:hAnsi="Arial;sans-serif"/>
          <w:b w:val="false"/>
          <w:color w:val="000000"/>
          <w:sz w:val="20"/>
          <w:u w:val="single"/>
        </w:rPr>
        <w:t>Financing Activities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Net cash used in financing activities was $31 million in the nine months ended September 30, 2026, compared with $262 million in the nine months ended September 30, 2025, an increase in cash flow of $231 million. In the nine months ended September 30, 2025, financing activity included common stock purchases of $1.0 billion and $1.1 billion in combined borrowings under our prior credit facility, partially offset by $360 million in repayment under the prior credit facility. In addition, in the nine months ended September 30, 2026 and 2025, financing cash outflows included $15 million and $37 million, respectively, for common stock withheld to settle employee tax obligations.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FINANCIAL CONDITION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believe that our cash resources, borrowing capacity available under our Credit Agreement as discussed further below in “Future Sources and Uses of Liquidity—Future Sources,” and internally generated funds will be sufficient to support our operations, regulatory requirements, debt repayment obligations and capital expenditures for at least the next 12 months.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working capital on a consolidated basis was $5.1 billion at both September 30, 2026 and December 31, 2025. At September 30, 2026, our cash and investments amounted to $8.9 billion, compared with $8.6 billion at December 31, 2025. A significant portion of our portfolio is held in cash and cash equivalents, and we do not anticipate the fluctuations in the aggregate fair value of our financial assets to have a material impact on our liquidity or capital position since we intend to hold our securities to maturity. Net unrealized losses on our investments classified as current and available for sale amounted to $125 million at September 30, 2026 compared to net unrealized gains of $20 million at December 31, 2025. We have determined that the unrealized losses primarily resulted from fluctuating interest rates, rather than a deterioration of the creditworthiness of the issuers.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Because of the statutory restrictions that inhibit the ability of our health plan subsidiaries to transfer net assets to us, the amount of retained earnings readily available to pay dividends to our stockholders is generally limited to cash, cash equivalents and investments held by our unregulated parent. For more information, see the “Liquidity” discussion presented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32</w:t>
                      </w:r>
                    </w:p>
                  </w:txbxContent>
                </v:textbox>
                <w10:wrap type="none"/>
              </v:rect>
            </w:pict>
          </mc:Fallback>
        </mc:AlternateContent>
      </w:r>
    </w:p>
    <w:p>
      <w:pPr>
        <w:pStyle w:val="TextBody"/>
        <w:bidi w:val="0"/>
        <w:spacing w:lineRule="auto" w:line="288" w:before="0" w:after="0"/>
        <w:jc w:val="left"/>
        <w:rPr/>
      </w:pPr>
      <w:hyperlink w:anchor="if0f7722e66e044efbc92f161b43315a4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 xml:space="preserve">Regulatory Capital and Dividend Restrictions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Each of our regulated, wholly owned subsidiaries must maintain a minimum amount of statutory capital determined by statute or regulations. Such statutes, regulations and capital requirements also restrict the timing, payment and amount of dividends and other distributions, loans or advances that may be paid to us as the sole stockholder. To the extent our subsidiaries must comply with these regulations, they may not have the financial flexibility to transfer funds to us. Based upon current statutes and regulations, the minimum capital and surplus requirement for these subsidiaries was estimated to be approximately $3.0 billion at September 30, 2026 and $3.1 billion at December 31, 2025. The aggregate capital and surplus of our wholly owned subsidiaries was in excess of these minimum capital requirements as of both dates.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Under applicable regulatory requirements, the amount of dividends that may be paid by our wholly owned subsidiaries without prior approval by regulatory authorities as of September 30, 2026, was approximately $170 million in the aggregate. The subsidiaries may pay dividends over this amount, but only after approval is granted by the regulatory authorities.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Based on our cash and investments balances as of September 30, 2026, management believes that our regulated, wholly owned subsidiaries remain well capitalized and exceed their regulatory minimum requirements. We have the ability, and have committed, to provide additional capital to each of our health plans as necessary to ensure compliance with minimum statutory capital requirements, including new state contract wins and growth in existing states.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Debt Ratings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In April 2026, Standard &amp; Poor’s (“S&amp;P”) lowered the rating of our senior notes to “BB-” from “BB”. Our senior notes are currently rated “Ba2” by Moody’s Investor Service, Inc. The S&amp;P downgrade could adversely affect our borrowing capacity and increase our borrowing costs. </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Financial Covenants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Our Credit Agreement contains customary non-financial and financial covenants, including a minimum Interest Coverage Ratio and a maximum Consolidated Total Debt to Capital Ratio. Such ratios are computed as defined by the terms of the Credit Agreement.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 addition, the indentures governing each of our outstanding senior notes contain cross-default provisions that are triggered upon default by us or any of our subsidiaries on any indebtedness in excess of the amount specified in the applicable indenture. As of September 30, 2026, we were in compliance with all financial and non-financial covenants under the Credit Agreement and other long-term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FUTURE SOURCES AND USES OF LIQUIDITY</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Future Sources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regulated subsidiaries generate significant cash flows from premium revenue, which is generally received a short time before related healthcare services are paid. Premium revenue is our primary source of liquidity. Thus, any decline in the receipt of premium revenue, and our profitability, could have a negative impact on our liquidity.</w:t>
      </w:r>
    </w:p>
    <w:p>
      <w:pPr>
        <w:pStyle w:val="TextBody"/>
        <w:bidi w:val="0"/>
        <w:spacing w:lineRule="auto" w:line="288" w:before="120" w:after="120"/>
        <w:jc w:val="left"/>
        <w:rPr/>
      </w:pPr>
      <w:r>
        <w:rPr>
          <w:rFonts w:ascii="Arial;sans-serif" w:hAnsi="Arial;sans-serif"/>
          <w:b w:val="false"/>
          <w:i/>
          <w:color w:val="000000"/>
          <w:sz w:val="20"/>
        </w:rPr>
        <w:t>Dividends from Subsidiaries.</w:t>
      </w:r>
      <w:r>
        <w:rPr>
          <w:color w:val="000000"/>
        </w:rPr>
        <w:t xml:space="preserve"> </w:t>
      </w:r>
      <w:r>
        <w:rPr>
          <w:rFonts w:ascii="Arial;sans-serif" w:hAnsi="Arial;sans-serif"/>
          <w:b w:val="false"/>
          <w:color w:val="000000"/>
          <w:sz w:val="20"/>
        </w:rPr>
        <w:t xml:space="preserve">When available and as permitted by applicable regulations, cash in excess of the capital needs of our regulated health plans is generally paid in the form of dividends to our unregulated parent company to be used for general corporate purposes. </w:t>
      </w:r>
    </w:p>
    <w:p>
      <w:pPr>
        <w:pStyle w:val="TextBody"/>
        <w:bidi w:val="0"/>
        <w:spacing w:lineRule="auto" w:line="288" w:before="120" w:after="120"/>
        <w:jc w:val="left"/>
        <w:rPr/>
      </w:pPr>
      <w:r>
        <w:rPr>
          <w:rFonts w:ascii="Arial;sans-serif" w:hAnsi="Arial;sans-serif"/>
          <w:b w:val="false"/>
          <w:i/>
          <w:color w:val="000000"/>
          <w:sz w:val="20"/>
        </w:rPr>
        <w:t xml:space="preserve">Credit Agreement Borrowing Capacity. </w:t>
      </w:r>
      <w:r>
        <w:rPr>
          <w:rFonts w:ascii="Arial;sans-serif" w:hAnsi="Arial;sans-serif"/>
          <w:b w:val="false"/>
          <w:color w:val="000000"/>
          <w:sz w:val="20"/>
        </w:rPr>
        <w:t>We are party to a credit agreement (the “Credit Agreement”), which provides for a revolving credit facility (“Credit Facility”) of $1.25 billion, with a lending commitment termination date of November 20, 2030. The Credit Agreement also provides for a $15 million swingline sub-facility and a $100 million letter of credit sub-facility, as well as incremental term loans available to finance certain acquisitions up to $800 million. As of September 30, 2026, we had available borrowing capacity of $1.25 billion under the Credit Facility. See further discussion in the Notes to Consolidated Financial Statements, Note 7, “Debt.”</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Future Uses</w:t>
      </w:r>
    </w:p>
    <w:p>
      <w:pPr>
        <w:pStyle w:val="TextBody"/>
        <w:bidi w:val="0"/>
        <w:spacing w:lineRule="auto" w:line="288" w:before="120" w:after="120"/>
        <w:jc w:val="left"/>
        <w:rPr/>
      </w:pPr>
      <w:r>
        <w:rPr>
          <w:rFonts w:ascii="Arial;sans-serif" w:hAnsi="Arial;sans-serif"/>
          <w:b w:val="false"/>
          <w:i/>
          <w:color w:val="000000"/>
          <w:sz w:val="20"/>
        </w:rPr>
        <w:t xml:space="preserve">Common Stock Purchases. </w:t>
      </w:r>
      <w:r>
        <w:rPr>
          <w:rFonts w:ascii="Arial;sans-serif" w:hAnsi="Arial;sans-serif"/>
          <w:b w:val="false"/>
          <w:color w:val="000000"/>
          <w:sz w:val="20"/>
        </w:rPr>
        <w:t xml:space="preserve">In April 2025, our board of directors authorized the purchase of up to an additional $1 billion of our common stock. This new program extends through December 31, 2026. The exact timing and amount of any share repurchases shall be determined by management, in consultation with the Finance Committee of the Board, based on market conditions and share price, in addition to other factors, and repurchases generally will be made in accordance with the volume, price, and timing parameters under Rule 10b-18 of the Securities Exchange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33</w:t>
                      </w:r>
                    </w:p>
                  </w:txbxContent>
                </v:textbox>
                <w10:wrap type="none"/>
              </v:rect>
            </w:pict>
          </mc:Fallback>
        </mc:AlternateContent>
      </w:r>
    </w:p>
    <w:p>
      <w:pPr>
        <w:pStyle w:val="TextBody"/>
        <w:bidi w:val="0"/>
        <w:spacing w:lineRule="auto" w:line="288" w:before="0" w:after="0"/>
        <w:jc w:val="left"/>
        <w:rPr/>
      </w:pPr>
      <w:hyperlink w:anchor="if0f7722e66e044efbc92f161b43315a4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Act. As of October 16, 2026, $500 million remained available to purchase our common stock under this program through December 31, 2026.</w:t>
      </w:r>
    </w:p>
    <w:p>
      <w:pPr>
        <w:pStyle w:val="TextBody"/>
        <w:bidi w:val="0"/>
        <w:spacing w:lineRule="auto" w:line="288" w:before="120" w:after="120"/>
        <w:jc w:val="left"/>
        <w:rPr/>
      </w:pPr>
      <w:r>
        <w:rPr>
          <w:rFonts w:ascii="Arial;sans-serif" w:hAnsi="Arial;sans-serif"/>
          <w:b w:val="false"/>
          <w:i/>
          <w:color w:val="000000"/>
          <w:sz w:val="20"/>
        </w:rPr>
        <w:t xml:space="preserve">Acquisitions. </w:t>
      </w:r>
      <w:r>
        <w:rPr>
          <w:rFonts w:ascii="Arial;sans-serif" w:hAnsi="Arial;sans-serif"/>
          <w:b w:val="false"/>
          <w:color w:val="000000"/>
          <w:sz w:val="20"/>
        </w:rPr>
        <w:t xml:space="preserve">We have a disciplined and steady approach to growth. Organic growth, which includes leveraging our existing health plan portfolio and winning new territories, is our highest priority. In addition to organic growth, we will consider targeted acquisitions that are a strategic fit that we believe will leverage operational synergies, and lead to incremental earnings accretion. </w:t>
      </w:r>
    </w:p>
    <w:p>
      <w:pPr>
        <w:pStyle w:val="TextBody"/>
        <w:bidi w:val="0"/>
        <w:spacing w:lineRule="auto" w:line="288" w:before="120" w:after="120"/>
        <w:jc w:val="left"/>
        <w:rPr/>
      </w:pPr>
      <w:r>
        <w:rPr>
          <w:rFonts w:ascii="Arial;sans-serif" w:hAnsi="Arial;sans-serif"/>
          <w:b w:val="false"/>
          <w:i/>
          <w:color w:val="000000"/>
          <w:sz w:val="20"/>
        </w:rPr>
        <w:t>Regulatory Capital Requirements and Dividend Restrictions.</w:t>
      </w:r>
      <w:r>
        <w:rPr>
          <w:color w:val="000000"/>
        </w:rPr>
        <w:t xml:space="preserve"> </w:t>
      </w:r>
      <w:r>
        <w:rPr>
          <w:rFonts w:ascii="Arial;sans-serif" w:hAnsi="Arial;sans-serif"/>
          <w:b w:val="false"/>
          <w:color w:val="000000"/>
          <w:sz w:val="20"/>
        </w:rPr>
        <w:t xml:space="preserve">We have the ability, and have committed, to provide additional capital to each of our health plans as necessary to ensure compliance with minimum statutory capital requirements, including new state contract wins and growth in existing states.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F7C7F"/>
          <w:sz w:val="24"/>
        </w:rPr>
      </w:pPr>
      <w:r>
        <w:rPr>
          <w:rFonts w:ascii="Arial;sans-serif" w:hAnsi="Arial;sans-serif"/>
          <w:b/>
          <w:color w:val="0F7C7F"/>
          <w:sz w:val="24"/>
        </w:rPr>
        <w:t>CONTRACTUAL OBLIGATIONS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 summary of future obligations under our various contractual obligations and commitments as of December 31, 2025 was disclosed in our 2025 Annual Report on Form 10-K.</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There were no significant changes to our contractual obligations and commitments not otherwise disclosed or outside the ordinary course of business during the nine months ended September 30, 2026.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F7C7F"/>
          <w:sz w:val="24"/>
        </w:rPr>
      </w:pPr>
      <w:r>
        <w:rPr>
          <w:rFonts w:ascii="Arial;sans-serif" w:hAnsi="Arial;sans-serif"/>
          <w:b/>
          <w:color w:val="0F7C7F"/>
          <w:sz w:val="24"/>
        </w:rPr>
        <w:t>CRITICAL ACCOUNTING ESTIMATES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When we prepare our consolidated financial statements, we use estimates and assumptions that may affect reported amounts and disclosures. Actual results could differ from these estimates, and some differences could be material. Our most significant accounting estimates, which include a higher degree of judgment and/or complexity, include the following: </w:t>
      </w:r>
    </w:p>
    <w:p>
      <w:pPr>
        <w:pStyle w:val="TextBody"/>
        <w:bidi w:val="0"/>
        <w:spacing w:lineRule="auto" w:line="288" w:before="120" w:after="120"/>
        <w:ind w:left="0" w:right="0" w:hanging="360"/>
        <w:jc w:val="left"/>
        <w:rPr/>
      </w:pPr>
      <w:r>
        <w:rPr>
          <w:color w:val="000000"/>
        </w:rPr>
        <w:t>•</w:t>
      </w:r>
      <w:r>
        <w:rPr>
          <w:rFonts w:ascii="Arial;sans-serif" w:hAnsi="Arial;sans-serif"/>
          <w:b w:val="false"/>
          <w:i/>
          <w:color w:val="000000"/>
          <w:sz w:val="20"/>
        </w:rPr>
        <w:t>Medical costs, claims and benefits payable</w:t>
      </w:r>
      <w:r>
        <w:rPr>
          <w:rFonts w:ascii="Arial;sans-serif" w:hAnsi="Arial;sans-serif"/>
          <w:b w:val="false"/>
          <w:color w:val="000000"/>
          <w:sz w:val="20"/>
        </w:rPr>
        <w:t>. Refer to Notes to Consolidated Financial Statements, Note 6, “Medical Claims and Benefits Payable,” for a table that presents the components of the change in medical claims and benefits payable, and for additional information regarding the factors used to determine our changes in estimates for all periods presented in the accompanying consolidated financial statements. Other than the discussion as noted above, in the nine months ended September 30, 2026 there were no significant changes to our disclosure reported in “Critical Accounting Estimates” in our 2025 Annual Report on Form 10-K.</w:t>
      </w:r>
    </w:p>
    <w:p>
      <w:pPr>
        <w:pStyle w:val="TextBody"/>
        <w:bidi w:val="0"/>
        <w:spacing w:lineRule="auto" w:line="288" w:before="120" w:after="120"/>
        <w:ind w:left="0" w:right="0" w:hanging="360"/>
        <w:jc w:val="left"/>
        <w:rPr/>
      </w:pPr>
      <w:r>
        <w:rPr>
          <w:color w:val="000000"/>
        </w:rPr>
        <w:t>•</w:t>
      </w:r>
      <w:r>
        <w:rPr>
          <w:rFonts w:ascii="Arial;sans-serif" w:hAnsi="Arial;sans-serif"/>
          <w:b w:val="false"/>
          <w:i/>
          <w:color w:val="000000"/>
          <w:sz w:val="20"/>
        </w:rPr>
        <w:t>Premium Revenue Recognition and Amounts Due Government Agencies: Risk Adjustment</w:t>
      </w:r>
      <w:r>
        <w:rPr>
          <w:rFonts w:ascii="Arial;sans-serif" w:hAnsi="Arial;sans-serif"/>
          <w:b w:val="false"/>
          <w:color w:val="000000"/>
          <w:sz w:val="20"/>
        </w:rPr>
        <w:t xml:space="preserve">. For a discussion of this topic, including amounts recorded in our consolidated financial statements, refer to Notes to Consolidated Financial Statements, Note 2, “Significant Accounting Policies.” </w:t>
      </w:r>
    </w:p>
    <w:p>
      <w:pPr>
        <w:pStyle w:val="TextBody"/>
        <w:bidi w:val="0"/>
        <w:spacing w:lineRule="auto" w:line="288" w:before="120" w:after="120"/>
        <w:ind w:left="0" w:right="0" w:hanging="360"/>
        <w:jc w:val="left"/>
        <w:rPr/>
      </w:pPr>
      <w:r>
        <w:rPr>
          <w:color w:val="000000"/>
        </w:rPr>
        <w:t>•</w:t>
      </w:r>
      <w:r>
        <w:rPr>
          <w:rFonts w:ascii="Arial;sans-serif" w:hAnsi="Arial;sans-serif"/>
          <w:b w:val="false"/>
          <w:i/>
          <w:color w:val="000000"/>
          <w:sz w:val="20"/>
        </w:rPr>
        <w:t>Business Combinations, and Goodwill and intangible assets, net.</w:t>
      </w:r>
      <w:r>
        <w:rPr>
          <w:color w:val="000000"/>
        </w:rPr>
        <w:t xml:space="preserve"> </w:t>
      </w:r>
      <w:r>
        <w:rPr>
          <w:rFonts w:ascii="Arial;sans-serif" w:hAnsi="Arial;sans-serif"/>
          <w:b w:val="false"/>
          <w:color w:val="000000"/>
          <w:sz w:val="20"/>
        </w:rPr>
        <w:t xml:space="preserve">In the nine months ended September 30, 2026, there were no significant changes to our disclosure reported in “Critical Accounting Estimates” in our 2025 Annual Report on Form 10-K.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F7C7F"/>
          <w:sz w:val="24"/>
        </w:rPr>
      </w:pPr>
      <w:r>
        <w:rPr>
          <w:rFonts w:ascii="Arial;sans-serif" w:hAnsi="Arial;sans-serif"/>
          <w:b/>
          <w:color w:val="0F7C7F"/>
          <w:sz w:val="24"/>
        </w:rPr>
        <w:t>QUANTITATIVE AND QUALITATIVE DISCLOSURES ABOUT MARKET RISK</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earnings and financial position are exposed to financial market risk relating to changes in interest rates, and the resulting impact on investment income and interest expense.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Substantially all of our investments and restricted investments are subject to interest rate risk and will decrease in value if market interest rates increase. Assuming a hypothetical and immediate 1% increase in market interest rates at September 30, 2026, the fair value of our fixed income investments would decrease by approximately $122 million. Declines in interest rates over time will reduce our investment income.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For further information on fair value measurements and our investment portfolio, please refer to Notes to Consolidated Financial Statements, Note 4, “Fair Value Measurements,” and Note 5, “Investments.”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Borrowings under the Credit Agreement bear interest based, at our election, on a base rate or other defined rate, plus in each case, the applicable margin. Our notes bear interest at specified rates, each payable semiannually in arrears. For further information, see Notes to Consolidated Financial Statements, Note 7, “Debt.”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34</w:t>
                      </w:r>
                    </w:p>
                  </w:txbxContent>
                </v:textbox>
                <w10:wrap type="none"/>
              </v:rect>
            </w:pict>
          </mc:Fallback>
        </mc:AlternateContent>
      </w:r>
    </w:p>
    <w:p>
      <w:pPr>
        <w:pStyle w:val="TextBody"/>
        <w:bidi w:val="0"/>
        <w:spacing w:lineRule="auto" w:line="288" w:before="0" w:after="0"/>
        <w:jc w:val="left"/>
        <w:rPr/>
      </w:pPr>
      <w:hyperlink w:anchor="if0f7722e66e044efbc92f161b43315a4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color w:val="0F7C7F"/>
          <w:sz w:val="24"/>
        </w:rPr>
      </w:pPr>
      <w:r>
        <w:rPr>
          <w:rFonts w:ascii="Arial;sans-serif" w:hAnsi="Arial;sans-serif"/>
          <w:b/>
          <w:color w:val="0F7C7F"/>
          <w:sz w:val="24"/>
        </w:rPr>
        <w:t>CONTROLS AND PROCEDURES</w:t>
      </w:r>
    </w:p>
    <w:p>
      <w:pPr>
        <w:pStyle w:val="TextBody"/>
        <w:bidi w:val="0"/>
        <w:spacing w:lineRule="auto" w:line="288" w:before="120" w:after="120"/>
        <w:jc w:val="left"/>
        <w:rPr/>
      </w:pPr>
      <w:r>
        <w:rPr>
          <w:rFonts w:ascii="Arial;sans-serif" w:hAnsi="Arial;sans-serif"/>
          <w:b w:val="false"/>
          <w:i/>
          <w:color w:val="000000"/>
          <w:sz w:val="20"/>
        </w:rPr>
        <w:t>Evaluation of Disclosure Controls and Procedures.</w:t>
      </w:r>
      <w:r>
        <w:rPr>
          <w:color w:val="000000"/>
        </w:rPr>
        <w:t xml:space="preserve"> </w:t>
      </w:r>
      <w:r>
        <w:rPr>
          <w:rFonts w:ascii="Arial;sans-serif" w:hAnsi="Arial;sans-serif"/>
          <w:b w:val="false"/>
          <w:color w:val="000000"/>
          <w:sz w:val="20"/>
        </w:rPr>
        <w:t>Our management, with the participation of our chief executive officer and our chief financial officer, evaluated, as of the end of the period covered by this Quarterly Report on Form 10-Q, the effectiveness of our disclosure controls and procedures (as defined in Rules 13a-15(e) and 15d-15(e) under the Securities Exchange Act). Based on that evaluation, our chief executive officer and chief financial officer concluded that, as of September 30, 2026, our disclosure controls and procedures were effective at the reasonable assurance level.</w:t>
      </w:r>
    </w:p>
    <w:p>
      <w:pPr>
        <w:pStyle w:val="TextBody"/>
        <w:bidi w:val="0"/>
        <w:spacing w:lineRule="auto" w:line="288" w:before="120" w:after="120"/>
        <w:jc w:val="left"/>
        <w:rPr/>
      </w:pPr>
      <w:r>
        <w:rPr>
          <w:rFonts w:ascii="Arial;sans-serif" w:hAnsi="Arial;sans-serif"/>
          <w:b w:val="false"/>
          <w:i/>
          <w:color w:val="000000"/>
          <w:sz w:val="20"/>
        </w:rPr>
        <w:t>Changes in Internal Control Over Financial Reporting.</w:t>
      </w:r>
      <w:r>
        <w:rPr>
          <w:color w:val="000000"/>
        </w:rPr>
        <w:t xml:space="preserve"> </w:t>
      </w:r>
      <w:r>
        <w:rPr>
          <w:rFonts w:ascii="Arial;sans-serif" w:hAnsi="Arial;sans-serif"/>
          <w:b w:val="false"/>
          <w:color w:val="000000"/>
          <w:sz w:val="20"/>
        </w:rPr>
        <w:t xml:space="preserve">There were no changes in our internal control over financial reporting during the quarter ended September 30, 2026, that materially affected, or are reasonably likely to materially affect, our internal controls over financial reporting.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PART II—OTHER INFORMATION</w:t>
      </w:r>
    </w:p>
    <w:p>
      <w:pPr>
        <w:pStyle w:val="TextBody"/>
        <w:bidi w:val="0"/>
        <w:spacing w:lineRule="auto" w:line="288" w:before="0" w:after="0"/>
        <w:jc w:val="left"/>
        <w:rPr>
          <w:rFonts w:ascii="Arial;sans-serif" w:hAnsi="Arial;sans-serif"/>
          <w:b/>
          <w:color w:val="0F7C7F"/>
          <w:sz w:val="24"/>
        </w:rPr>
      </w:pPr>
      <w:r>
        <w:rPr>
          <w:rFonts w:ascii="Arial;sans-serif" w:hAnsi="Arial;sans-serif"/>
          <w:b/>
          <w:color w:val="0F7C7F"/>
          <w:sz w:val="24"/>
        </w:rPr>
        <w:t>LEGAL PROCEEDINGS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For information regarding legal proceedings, see Notes to Consolidated Financial Statements, Note 9, “Commitments and Contingencies.”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F7C7F"/>
          <w:sz w:val="24"/>
        </w:rPr>
      </w:pPr>
      <w:r>
        <w:rPr>
          <w:rFonts w:ascii="Arial;sans-serif" w:hAnsi="Arial;sans-serif"/>
          <w:b/>
          <w:color w:val="0F7C7F"/>
          <w:sz w:val="24"/>
        </w:rPr>
        <w:t>RISK FACTORS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Certain risks may have a material adverse effect on our business, financial condition, cash flows, results of operations, or stock price, and you should carefully consider them before making an investment decision with respect to our securities. In addition to the other information set forth in this report, you should carefully consider the risk factors discussed under the caption “Risk Factors,” in our 2025 Annual Report on Form 10-K.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F7C7F"/>
          <w:sz w:val="24"/>
        </w:rPr>
      </w:pPr>
      <w:r>
        <w:rPr>
          <w:rFonts w:ascii="Arial;sans-serif" w:hAnsi="Arial;sans-serif"/>
          <w:b/>
          <w:color w:val="0F7C7F"/>
          <w:sz w:val="24"/>
        </w:rPr>
        <w:t>UNREGISTERED SALES OF EQUITY SECURITIES AND USE OF PROCEEDS</w:t>
      </w: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ISSUER PURCHASES OF EQUITY SECURITIES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Purchases of common stock made by us, or on our behalf, during the third quarter of 2026, including shares withheld by us to satisfy our employees’ income tax obligations, are set forth below:</w:t>
      </w:r>
    </w:p>
    <w:tbl>
      <w:tblPr>
        <w:tblW w:w="10205" w:type="dxa"/>
        <w:jc w:val="left"/>
        <w:tblInd w:w="0" w:type="dxa"/>
        <w:tblLayout w:type="fixed"/>
        <w:tblCellMar>
          <w:top w:w="28" w:type="dxa"/>
          <w:left w:w="28" w:type="dxa"/>
          <w:bottom w:w="28" w:type="dxa"/>
          <w:right w:w="28" w:type="dxa"/>
        </w:tblCellMar>
      </w:tblPr>
      <w:tblGrid>
        <w:gridCol w:w="680"/>
        <w:gridCol w:w="342"/>
        <w:gridCol w:w="240"/>
        <w:gridCol w:w="420"/>
        <w:gridCol w:w="420"/>
        <w:gridCol w:w="421"/>
        <w:gridCol w:w="109"/>
        <w:gridCol w:w="109"/>
        <w:gridCol w:w="109"/>
        <w:gridCol w:w="373"/>
        <w:gridCol w:w="1278"/>
        <w:gridCol w:w="194"/>
        <w:gridCol w:w="109"/>
        <w:gridCol w:w="109"/>
        <w:gridCol w:w="109"/>
        <w:gridCol w:w="710"/>
        <w:gridCol w:w="710"/>
        <w:gridCol w:w="711"/>
        <w:gridCol w:w="109"/>
        <w:gridCol w:w="109"/>
        <w:gridCol w:w="109"/>
        <w:gridCol w:w="369"/>
        <w:gridCol w:w="2081"/>
        <w:gridCol w:w="275"/>
      </w:tblGrid>
      <w:tr>
        <w:trPr/>
        <w:tc>
          <w:tcPr>
            <w:tcW w:w="68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Total Number</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of Shares</w:t>
            </w:r>
          </w:p>
          <w:p>
            <w:pPr>
              <w:pStyle w:val="TableContents"/>
              <w:bidi w:val="0"/>
              <w:spacing w:lineRule="auto" w:line="240" w:before="0" w:after="0"/>
              <w:jc w:val="center"/>
              <w:rPr/>
            </w:pPr>
            <w:r>
              <w:rPr>
                <w:rFonts w:ascii="Arial;sans-serif" w:hAnsi="Arial;sans-serif"/>
                <w:b/>
                <w:color w:val="000000"/>
                <w:sz w:val="18"/>
              </w:rPr>
              <w:t>Purchased </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Number of Shares</w:t>
              <w:br/>
              <w:t>Purchased as Part of</w:t>
              <w:br/>
              <w:t>Publicly </w:t>
              <w:br/>
              <w:t>Announced </w:t>
              <w:br/>
              <w:t xml:space="preserve">Plans or </w:t>
              <w:br/>
              <w:t>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Approximate Dollar Value</w:t>
            </w:r>
          </w:p>
          <w:p>
            <w:pPr>
              <w:pStyle w:val="TableContents"/>
              <w:bidi w:val="0"/>
              <w:spacing w:lineRule="auto" w:line="240" w:before="0" w:after="0"/>
              <w:jc w:val="center"/>
              <w:rPr/>
            </w:pPr>
            <w:r>
              <w:rPr>
                <w:rFonts w:ascii="Arial;sans-serif" w:hAnsi="Arial;sans-serif"/>
                <w:b/>
                <w:color w:val="000000"/>
                <w:sz w:val="18"/>
              </w:rPr>
              <w:t xml:space="preserve">of Shares that May Yet Be Purchased Under the Plans or Programs </w:t>
            </w:r>
            <w:r>
              <w:rPr>
                <w:rFonts w:ascii="Arial;sans-serif" w:hAnsi="Arial;sans-serif"/>
                <w:b/>
                <w:color w:val="000000"/>
                <w:sz w:val="12"/>
              </w:rPr>
              <w:t>(2)</w:t>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1 - July 31</w:t>
            </w:r>
          </w:p>
        </w:tc>
        <w:tc>
          <w:tcPr>
            <w:tcW w:w="8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2,700 </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232.55 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500,000,000 </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August 1 - August 31</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500,000,000 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September 1 - September 30</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203.06 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500,000,000 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8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2,900 </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230.73 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rFonts w:ascii="Arial;sans-serif" w:hAnsi="Arial;sans-serif"/>
          <w:b w:val="false"/>
          <w:color w:val="000000"/>
          <w:sz w:val="20"/>
        </w:rPr>
      </w:pPr>
      <w:r>
        <w:rPr>
          <w:rFonts w:ascii="Arial;sans-serif" w:hAnsi="Arial;sans-serif"/>
          <w:b w:val="false"/>
          <w:color w:val="000000"/>
          <w:sz w:val="20"/>
        </w:rPr>
        <w:t>_______________________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(1)During the third quarter of 2026, we withheld approximately 2,900 shares of common stock to settle employee income tax obligations for releases of awards granted under the Molina Healthcare, Inc. 2019 Equity Incentive Plan and 2025 Equity Incentive Plan.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(2)For further information on our stock repurchase programs, refer to our 2025 Annual Report on Form 10-K, Note 13, “Stockholders' Equity.”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F7C7F"/>
          <w:sz w:val="24"/>
        </w:rPr>
      </w:pPr>
      <w:r>
        <w:rPr>
          <w:rFonts w:ascii="Arial;sans-serif" w:hAnsi="Arial;sans-serif"/>
          <w:b/>
          <w:color w:val="0F7C7F"/>
          <w:sz w:val="24"/>
        </w:rPr>
        <w:t>OTHER INFORMATION</w:t>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(a)    None.    </w:t>
      </w:r>
    </w:p>
    <w:p>
      <w:pPr>
        <w:pStyle w:val="TextBody"/>
        <w:bidi w:val="0"/>
        <w:spacing w:lineRule="auto" w:line="288" w:before="120" w:after="120"/>
        <w:ind w:left="0" w:right="0" w:hanging="360"/>
        <w:jc w:val="left"/>
        <w:rPr>
          <w:rFonts w:ascii="Arial;sans-serif" w:hAnsi="Arial;sans-serif"/>
          <w:b w:val="false"/>
          <w:color w:val="000000"/>
          <w:sz w:val="20"/>
        </w:rPr>
      </w:pPr>
      <w:r>
        <w:rPr>
          <w:rFonts w:ascii="Arial;sans-serif" w:hAnsi="Arial;sans-serif"/>
          <w:b w:val="false"/>
          <w:color w:val="000000"/>
          <w:sz w:val="20"/>
        </w:rPr>
        <w:t>(b)    None.</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(c)    No director or officer (as defined in 17 CFR § 240.16a-1(f)) of the Company adopted or terminated (i) any contract, instruction or written plan for the purchase or sale of securities of the Company intended to satisfy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35</w:t>
                      </w:r>
                    </w:p>
                  </w:txbxContent>
                </v:textbox>
                <w10:wrap type="none"/>
              </v:rect>
            </w:pict>
          </mc:Fallback>
        </mc:AlternateContent>
      </w:r>
    </w:p>
    <w:p>
      <w:pPr>
        <w:pStyle w:val="TextBody"/>
        <w:bidi w:val="0"/>
        <w:spacing w:lineRule="auto" w:line="288" w:before="0" w:after="0"/>
        <w:jc w:val="left"/>
        <w:rPr/>
      </w:pPr>
      <w:hyperlink w:anchor="if0f7722e66e044efbc92f161b43315a4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affirmative defense conditions of Rule 10b5-1(c), or (ii) any “non-Rule 10b5-1 trading arrangement” (as defined in 17 CFR § 229.408(c)) during the three months ended September 30, 2026.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36</w:t>
                      </w:r>
                    </w:p>
                  </w:txbxContent>
                </v:textbox>
                <w10:wrap type="none"/>
              </v:rect>
            </w:pict>
          </mc:Fallback>
        </mc:AlternateContent>
      </w:r>
    </w:p>
    <w:p>
      <w:pPr>
        <w:pStyle w:val="TextBody"/>
        <w:bidi w:val="0"/>
        <w:spacing w:lineRule="auto" w:line="288" w:before="0" w:after="0"/>
        <w:jc w:val="left"/>
        <w:rPr/>
      </w:pPr>
      <w:hyperlink w:anchor="if0f7722e66e044efbc92f161b43315a4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pPr>
      <w:r>
        <w:rPr>
          <w:rFonts w:ascii="Arial;sans-serif" w:hAnsi="Arial;sans-serif"/>
          <w:b/>
          <w:color w:val="0F7C7F"/>
          <w:sz w:val="24"/>
        </w:rPr>
        <w:t>INDEX TO EXHIBITS</w:t>
      </w:r>
      <w:r>
        <w:rPr>
          <w:color w:val="000000"/>
        </w:rPr>
        <w:t> </w:t>
      </w:r>
    </w:p>
    <w:tbl>
      <w:tblPr>
        <w:tblW w:w="10205" w:type="dxa"/>
        <w:jc w:val="left"/>
        <w:tblInd w:w="0" w:type="dxa"/>
        <w:tblLayout w:type="fixed"/>
        <w:tblCellMar>
          <w:top w:w="28" w:type="dxa"/>
          <w:left w:w="28" w:type="dxa"/>
          <w:bottom w:w="28" w:type="dxa"/>
          <w:right w:w="28" w:type="dxa"/>
        </w:tblCellMar>
      </w:tblPr>
      <w:tblGrid>
        <w:gridCol w:w="359"/>
        <w:gridCol w:w="315"/>
        <w:gridCol w:w="317"/>
        <w:gridCol w:w="109"/>
        <w:gridCol w:w="109"/>
        <w:gridCol w:w="109"/>
        <w:gridCol w:w="2532"/>
        <w:gridCol w:w="2334"/>
        <w:gridCol w:w="2359"/>
        <w:gridCol w:w="109"/>
        <w:gridCol w:w="109"/>
        <w:gridCol w:w="109"/>
        <w:gridCol w:w="471"/>
        <w:gridCol w:w="364"/>
        <w:gridCol w:w="500"/>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Method of Filing</w:t>
            </w:r>
          </w:p>
        </w:tc>
      </w:tr>
      <w:tr>
        <w:trPr/>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moh3q26_ex311.htm">
              <w:r>
                <w:rPr>
                  <w:rStyle w:val="InternetLink"/>
                  <w:rFonts w:ascii="Arial;sans-serif" w:hAnsi="Arial;sans-serif"/>
                  <w:b w:val="false"/>
                  <w:color w:val="0F7C7F"/>
                  <w:sz w:val="18"/>
                  <w:u w:val="single"/>
                </w:rPr>
                <w:t>Section 302 Certification of Chief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Filed herewith. </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oh3q26_ex312.htm">
              <w:r>
                <w:rPr>
                  <w:rStyle w:val="InternetLink"/>
                  <w:rFonts w:ascii="Arial;sans-serif" w:hAnsi="Arial;sans-serif"/>
                  <w:b w:val="false"/>
                  <w:color w:val="0F7C7F"/>
                  <w:sz w:val="18"/>
                  <w:u w:val="single"/>
                </w:rPr>
                <w:t>Section 302 Certification of Chief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Filed herewith. </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oh3q26_ex321.htm">
              <w:r>
                <w:rPr>
                  <w:rStyle w:val="InternetLink"/>
                  <w:rFonts w:ascii="Arial;sans-serif" w:hAnsi="Arial;sans-serif"/>
                  <w:b w:val="false"/>
                  <w:color w:val="0F7C7F"/>
                  <w:sz w:val="18"/>
                  <w:u w:val="single"/>
                </w:rPr>
                <w:t>Certification of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Furnished herewith. </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oh3q26_ex322.htm">
              <w:r>
                <w:rPr>
                  <w:rStyle w:val="InternetLink"/>
                  <w:rFonts w:ascii="Arial;sans-serif" w:hAnsi="Arial;sans-serif"/>
                  <w:b w:val="false"/>
                  <w:color w:val="0F7C7F"/>
                  <w:sz w:val="18"/>
                  <w:u w:val="single"/>
                </w:rPr>
                <w:t>Certification of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Furnished herewith. </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101.INS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Filed herewith. </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101.SCH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Filed herewith. </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101.CAL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Filed herewith. </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101.DEF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Filed herewith. </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101.LAB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Filed herewith. </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Filed herewith. </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(formatted as Inline XBRL and embedded within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Filed herewith.</w:t>
            </w:r>
          </w:p>
        </w:tc>
      </w:tr>
    </w:tbl>
    <w:p>
      <w:pPr>
        <w:pStyle w:val="TextBody"/>
        <w:bidi w:val="0"/>
        <w:spacing w:before="12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Molina Healthcare, Inc. September 30, 2026 Form 10-Q | 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Molina Healthcare, Inc. September 30, 2026 Form 10-Q | 37</w:t>
                      </w:r>
                    </w:p>
                  </w:txbxContent>
                </v:textbox>
                <w10:wrap type="none"/>
              </v:rect>
            </w:pict>
          </mc:Fallback>
        </mc:AlternateContent>
      </w:r>
    </w:p>
    <w:p>
      <w:pPr>
        <w:pStyle w:val="TextBody"/>
        <w:bidi w:val="0"/>
        <w:spacing w:lineRule="auto" w:line="288" w:before="0" w:after="0"/>
        <w:jc w:val="left"/>
        <w:rPr/>
      </w:pPr>
      <w:hyperlink w:anchor="if0f7722e66e044efbc92f161b43315a4_7">
        <w:r>
          <w:rPr>
            <w:rStyle w:val="InternetLink"/>
            <w:rFonts w:ascii="Arial;sans-serif" w:hAnsi="Arial;sans-serif"/>
            <w:b w:val="false"/>
            <w:color w:val="0000FF"/>
            <w:sz w:val="20"/>
            <w:u w:val="single"/>
          </w:rPr>
          <w:t>Table of Contents</w:t>
        </w:r>
      </w:hyperlink>
    </w:p>
    <w:p>
      <w:pPr>
        <w:pStyle w:val="TextBody"/>
        <w:bidi w:val="0"/>
        <w:spacing w:before="120" w:after="120"/>
        <w:jc w:val="left"/>
        <w:rPr/>
      </w:pPr>
      <w:r>
        <w:rPr/>
      </w:r>
    </w:p>
    <w:p>
      <w:pPr>
        <w:pStyle w:val="TextBody"/>
        <w:bidi w:val="0"/>
        <w:spacing w:lineRule="auto" w:line="288" w:before="0" w:after="0"/>
        <w:jc w:val="left"/>
        <w:rPr>
          <w:rFonts w:ascii="Arial;sans-serif" w:hAnsi="Arial;sans-serif"/>
          <w:b/>
          <w:color w:val="0F7C7F"/>
          <w:sz w:val="24"/>
        </w:rPr>
      </w:pPr>
      <w:r>
        <w:rPr>
          <w:rFonts w:ascii="Arial;sans-serif" w:hAnsi="Arial;sans-serif"/>
          <w:b/>
          <w:color w:val="0F7C7F"/>
          <w:sz w:val="24"/>
        </w:rPr>
        <w:t>SIGNATURES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5845" w:type="dxa"/>
        <w:jc w:val="left"/>
        <w:tblInd w:w="0" w:type="dxa"/>
        <w:tblLayout w:type="fixed"/>
        <w:tblCellMar>
          <w:top w:w="28" w:type="dxa"/>
          <w:left w:w="28" w:type="dxa"/>
          <w:bottom w:w="28" w:type="dxa"/>
          <w:right w:w="28" w:type="dxa"/>
        </w:tblCellMar>
      </w:tblPr>
      <w:tblGrid>
        <w:gridCol w:w="255"/>
        <w:gridCol w:w="224"/>
        <w:gridCol w:w="225"/>
        <w:gridCol w:w="504"/>
        <w:gridCol w:w="504"/>
        <w:gridCol w:w="506"/>
        <w:gridCol w:w="109"/>
        <w:gridCol w:w="109"/>
        <w:gridCol w:w="109"/>
        <w:gridCol w:w="965"/>
        <w:gridCol w:w="965"/>
        <w:gridCol w:w="1370"/>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MOLINA HEALTHCARE, INC.</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(Registrant)</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 xml:space="preserve">Dated: </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JOSEPH M. ZUBRETSKY</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Joseph M. Zubretsky</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Chief Executive Officer</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(Principal Executive Officer)</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 xml:space="preserve">Dated: </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MARK L. KEIM</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Mark L. Keim</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Chief Financial Officer and Treasurer</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September 30, 2026 Form 10-Q | 38</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31.1 </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 xml:space="preserve">CERTIFICATION </w:t>
      </w:r>
    </w:p>
    <w:p>
      <w:pPr>
        <w:pStyle w:val="TextBody"/>
        <w:bidi w:val="0"/>
        <w:spacing w:before="360" w:after="283"/>
        <w:jc w:val="center"/>
        <w:rPr/>
      </w:pPr>
      <w:r>
        <w:rPr/>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 Joseph M. Zubretsky, certify that:</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1. I have reviewed this Quarterly Report on Form 10-Q for the period ended September 30, 2026 of Molina Healthcare, Inc.;</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firstLine="990"/>
        <w:jc w:val="left"/>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firstLine="990"/>
        <w:jc w:val="left"/>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firstLine="990"/>
        <w:jc w:val="left"/>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firstLine="990"/>
        <w:jc w:val="left"/>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firstLine="990"/>
        <w:jc w:val="left"/>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firstLine="990"/>
        <w:jc w:val="left"/>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r>
        <w:rPr>
          <w:color w:val="000000"/>
        </w:rPr>
        <w:t> </w:t>
      </w:r>
    </w:p>
    <w:tbl>
      <w:tblPr>
        <w:tblW w:w="7045" w:type="dxa"/>
        <w:jc w:val="center"/>
        <w:tblInd w:w="0" w:type="dxa"/>
        <w:tblLayout w:type="fixed"/>
        <w:tblCellMar>
          <w:top w:w="28" w:type="dxa"/>
          <w:left w:w="28" w:type="dxa"/>
          <w:bottom w:w="28" w:type="dxa"/>
          <w:right w:w="28" w:type="dxa"/>
        </w:tblCellMar>
      </w:tblPr>
      <w:tblGrid>
        <w:gridCol w:w="814"/>
        <w:gridCol w:w="716"/>
        <w:gridCol w:w="719"/>
        <w:gridCol w:w="109"/>
        <w:gridCol w:w="109"/>
        <w:gridCol w:w="109"/>
        <w:gridCol w:w="1308"/>
        <w:gridCol w:w="1308"/>
        <w:gridCol w:w="1853"/>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Dated: October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Joseph M. Zubretsky</w:t>
            </w:r>
          </w:p>
        </w:tc>
      </w:tr>
      <w:tr>
        <w:trPr/>
        <w:tc>
          <w:tcPr>
            <w:tcW w:w="2249"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Joseph M. Zubretsky</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20"/>
              </w:rPr>
            </w:pPr>
            <w:r>
              <w:rPr>
                <w:rFonts w:ascii="Arial;sans-serif" w:hAnsi="Arial;sans-serif"/>
                <w:b/>
                <w:color w:val="000000"/>
                <w:sz w:val="20"/>
              </w:rPr>
              <w:t>Chief Executive Officer, President and Director</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31.2 </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 xml:space="preserve">CERTIFICATION </w:t>
      </w:r>
    </w:p>
    <w:p>
      <w:pPr>
        <w:pStyle w:val="TextBody"/>
        <w:bidi w:val="0"/>
        <w:spacing w:before="360" w:after="283"/>
        <w:jc w:val="center"/>
        <w:rPr/>
      </w:pPr>
      <w:r>
        <w:rPr/>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 Mark L. Keim, certify that:</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1. I have reviewed this Quarterly Report on Form 10-Q for the period ended September 30, 2026 of Molina Healthcare, Inc.;</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firstLine="990"/>
        <w:jc w:val="left"/>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firstLine="990"/>
        <w:jc w:val="left"/>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firstLine="990"/>
        <w:jc w:val="left"/>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firstLine="990"/>
        <w:jc w:val="left"/>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firstLine="990"/>
        <w:jc w:val="left"/>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firstLine="990"/>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tbl>
      <w:tblPr>
        <w:tblW w:w="6145" w:type="dxa"/>
        <w:jc w:val="center"/>
        <w:tblInd w:w="0" w:type="dxa"/>
        <w:tblLayout w:type="fixed"/>
        <w:tblCellMar>
          <w:top w:w="28" w:type="dxa"/>
          <w:left w:w="28" w:type="dxa"/>
          <w:bottom w:w="28" w:type="dxa"/>
          <w:right w:w="28" w:type="dxa"/>
        </w:tblCellMar>
      </w:tblPr>
      <w:tblGrid>
        <w:gridCol w:w="814"/>
        <w:gridCol w:w="716"/>
        <w:gridCol w:w="719"/>
        <w:gridCol w:w="109"/>
        <w:gridCol w:w="109"/>
        <w:gridCol w:w="109"/>
        <w:gridCol w:w="1045"/>
        <w:gridCol w:w="1045"/>
        <w:gridCol w:w="1479"/>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Dated: October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Mark L. Keim</w:t>
            </w:r>
          </w:p>
        </w:tc>
      </w:tr>
      <w:tr>
        <w:trPr/>
        <w:tc>
          <w:tcPr>
            <w:tcW w:w="2249"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Mark L. Keim</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Chief Financial Officer and Treasurer</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32.1 </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In connection with the Quarterly Report of Molina Healthcare, Inc. (the “Company”) on Form 10-Q for the period ended September 30, 2026 (the “Report”), I, Joseph M. Zubretsky, Chief Executive Officer of the Company, certify, pursuant to 18 U.S.C. Section 1350, as adopted pursuant to Section 906 of the Sarbanes-Oxley Act of 2002, that:</w:t>
      </w:r>
    </w:p>
    <w:p>
      <w:pPr>
        <w:pStyle w:val="TextBody"/>
        <w:bidi w:val="0"/>
        <w:spacing w:lineRule="auto" w:line="288" w:before="120" w:after="283"/>
        <w:ind w:left="0" w:right="0" w:firstLine="990"/>
        <w:jc w:val="left"/>
        <w:rPr>
          <w:rFonts w:ascii="Arial;sans-serif" w:hAnsi="Arial;sans-serif"/>
          <w:b w:val="false"/>
          <w:color w:val="000000"/>
          <w:sz w:val="20"/>
        </w:rPr>
      </w:pPr>
      <w:r>
        <w:rPr>
          <w:rFonts w:ascii="Arial;sans-serif" w:hAnsi="Arial;sans-serif"/>
          <w:b w:val="false"/>
          <w:color w:val="000000"/>
          <w:sz w:val="20"/>
        </w:rPr>
        <w:t>(1) The Report fully complies with the requirements of Section 13(a) or 15(d) of the Securities Exchange Act of 1934, as amended; and</w:t>
      </w:r>
    </w:p>
    <w:p>
      <w:pPr>
        <w:pStyle w:val="TextBody"/>
        <w:bidi w:val="0"/>
        <w:spacing w:lineRule="auto" w:line="288" w:before="120" w:after="283"/>
        <w:ind w:left="0" w:right="0" w:firstLine="990"/>
        <w:jc w:val="left"/>
        <w:rPr>
          <w:rFonts w:ascii="Arial;sans-serif" w:hAnsi="Arial;sans-serif"/>
          <w:b w:val="false"/>
          <w:color w:val="000000"/>
          <w:sz w:val="20"/>
        </w:rPr>
      </w:pPr>
      <w:r>
        <w:rPr>
          <w:rFonts w:ascii="Arial;sans-serif" w:hAnsi="Arial;sans-serif"/>
          <w:b w:val="false"/>
          <w:color w:val="000000"/>
          <w:sz w:val="20"/>
        </w:rPr>
        <w:t>(2) The information contained in the Report fairly presents, in all material respects, the financial condition and results of operations of the Company.</w:t>
      </w:r>
    </w:p>
    <w:tbl>
      <w:tblPr>
        <w:tblW w:w="7045" w:type="dxa"/>
        <w:jc w:val="right"/>
        <w:tblInd w:w="0" w:type="dxa"/>
        <w:tblLayout w:type="fixed"/>
        <w:tblCellMar>
          <w:top w:w="28" w:type="dxa"/>
          <w:left w:w="28" w:type="dxa"/>
          <w:bottom w:w="28" w:type="dxa"/>
          <w:right w:w="28" w:type="dxa"/>
        </w:tblCellMar>
      </w:tblPr>
      <w:tblGrid>
        <w:gridCol w:w="814"/>
        <w:gridCol w:w="716"/>
        <w:gridCol w:w="719"/>
        <w:gridCol w:w="109"/>
        <w:gridCol w:w="109"/>
        <w:gridCol w:w="109"/>
        <w:gridCol w:w="1308"/>
        <w:gridCol w:w="1308"/>
        <w:gridCol w:w="1853"/>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Dated: October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Joseph M. Zubretsky</w:t>
            </w:r>
          </w:p>
        </w:tc>
      </w:tr>
      <w:tr>
        <w:trPr/>
        <w:tc>
          <w:tcPr>
            <w:tcW w:w="2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Joseph M. Zubretsky</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Chief Executive Officer, President and Director</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32.2 </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In connection with the Quarterly Report of Molina Healthcare, Inc. (the “Company”) on Form 10-Q for the period ended September 30, 2026 (the “Report”), I, Mark L. Keim, Chief Financial Officer of the Company, certify, pursuant to 18 U.S.C. Section 1350, as adopted pursuant to Section 906 of the Sarbanes-Oxley Act of 2002, that:</w:t>
      </w:r>
    </w:p>
    <w:p>
      <w:pPr>
        <w:pStyle w:val="TextBody"/>
        <w:bidi w:val="0"/>
        <w:spacing w:lineRule="auto" w:line="288" w:before="120" w:after="283"/>
        <w:ind w:left="0" w:right="0" w:firstLine="990"/>
        <w:jc w:val="left"/>
        <w:rPr>
          <w:rFonts w:ascii="Arial;sans-serif" w:hAnsi="Arial;sans-serif"/>
          <w:b w:val="false"/>
          <w:color w:val="000000"/>
          <w:sz w:val="20"/>
        </w:rPr>
      </w:pPr>
      <w:r>
        <w:rPr>
          <w:rFonts w:ascii="Arial;sans-serif" w:hAnsi="Arial;sans-serif"/>
          <w:b w:val="false"/>
          <w:color w:val="000000"/>
          <w:sz w:val="20"/>
        </w:rPr>
        <w:t>(1) The Report fully complies with the requirements of Section 13(a) or 15(d) of the Securities Exchange Act of 1934, as amended; and</w:t>
      </w:r>
    </w:p>
    <w:p>
      <w:pPr>
        <w:pStyle w:val="TextBody"/>
        <w:bidi w:val="0"/>
        <w:spacing w:lineRule="auto" w:line="288" w:before="120" w:after="283"/>
        <w:ind w:left="0" w:right="0" w:firstLine="990"/>
        <w:jc w:val="left"/>
        <w:rPr>
          <w:rFonts w:ascii="Arial;sans-serif" w:hAnsi="Arial;sans-serif"/>
          <w:b w:val="false"/>
          <w:color w:val="000000"/>
          <w:sz w:val="20"/>
        </w:rPr>
      </w:pPr>
      <w:r>
        <w:rPr>
          <w:rFonts w:ascii="Arial;sans-serif" w:hAnsi="Arial;sans-serif"/>
          <w:b w:val="false"/>
          <w:color w:val="000000"/>
          <w:sz w:val="20"/>
        </w:rPr>
        <w:t>(2) The information contained in the Report fairly presents, in all material respects, the financial condition and results of operations of the Company.</w:t>
      </w:r>
    </w:p>
    <w:tbl>
      <w:tblPr>
        <w:tblW w:w="6145" w:type="dxa"/>
        <w:jc w:val="center"/>
        <w:tblInd w:w="0" w:type="dxa"/>
        <w:tblLayout w:type="fixed"/>
        <w:tblCellMar>
          <w:top w:w="28" w:type="dxa"/>
          <w:left w:w="28" w:type="dxa"/>
          <w:bottom w:w="28" w:type="dxa"/>
          <w:right w:w="28" w:type="dxa"/>
        </w:tblCellMar>
      </w:tblPr>
      <w:tblGrid>
        <w:gridCol w:w="814"/>
        <w:gridCol w:w="716"/>
        <w:gridCol w:w="719"/>
        <w:gridCol w:w="109"/>
        <w:gridCol w:w="109"/>
        <w:gridCol w:w="109"/>
        <w:gridCol w:w="1045"/>
        <w:gridCol w:w="1045"/>
        <w:gridCol w:w="1479"/>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Dated: October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Mark L. Keim</w:t>
            </w:r>
          </w:p>
        </w:tc>
      </w:tr>
      <w:tr>
        <w:trPr/>
        <w:tc>
          <w:tcPr>
            <w:tcW w:w="2249"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Mark L. Keim</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Chief Financial Officer and Treasurer</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r>
    </w:tbl>
    <w:p>
      <w:pPr>
        <w:pStyle w:val="TextBody"/>
        <w:bidi w:val="0"/>
        <w:spacing w:before="0" w:after="0"/>
        <w:jc w:val="both"/>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18283</Words>
  <Characters>100955</Characters>
  <CharactersWithSpaces>118165</CharactersWithSpaces>
  <Paragraphs>2528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