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36.jpeg" ContentType="image/jpeg"/>
  <Override PartName="/word/media/image135.jpeg" ContentType="image/jpeg"/>
  <Override PartName="/word/media/image134.jpeg" ContentType="image/jpeg"/>
  <Override PartName="/word/media/image133.jpeg" ContentType="image/jpeg"/>
  <Override PartName="/word/media/image132.jpeg" ContentType="image/jpeg"/>
  <Override PartName="/word/media/image131.jpeg" ContentType="image/jpeg"/>
  <Override PartName="/word/media/image130.jpeg" ContentType="image/jpeg"/>
  <Override PartName="/word/media/image129.jpeg" ContentType="image/jpeg"/>
  <Override PartName="/word/media/image128.jpeg" ContentType="image/jpeg"/>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20.jpeg" ContentType="image/jpeg"/>
  <Override PartName="/word/media/image113.jpeg" ContentType="image/jpeg"/>
  <Override PartName="/word/media/image112.jpeg" ContentType="image/jpeg"/>
  <Override PartName="/word/media/image111.jpeg" ContentType="image/jpeg"/>
  <Override PartName="/word/media/image110.jpeg" ContentType="image/jpeg"/>
  <Override PartName="/word/media/image109.jpeg" ContentType="image/jpeg"/>
  <Override PartName="/word/media/image108.jpeg" ContentType="image/jpeg"/>
  <Override PartName="/word/media/image107.jpeg" ContentType="image/jpeg"/>
  <Override PartName="/word/media/image106.jpeg" ContentType="image/jpeg"/>
  <Override PartName="/word/media/image105.jpeg" ContentType="image/jpeg"/>
  <Override PartName="/word/media/image104.jpeg" ContentType="image/jpeg"/>
  <Override PartName="/word/media/image103.jpeg" ContentType="image/jpeg"/>
  <Override PartName="/word/media/image102.jpeg" ContentType="image/jpeg"/>
  <Override PartName="/word/media/image101.jpeg" ContentType="image/jpeg"/>
  <Override PartName="/word/media/image100.jpeg" ContentType="image/jpeg"/>
  <Override PartName="/word/media/image97.jpeg" ContentType="image/jpeg"/>
  <Override PartName="/word/media/image52.jpeg" ContentType="image/jpeg"/>
  <Override PartName="/word/media/image51.jpeg" ContentType="image/jpeg"/>
  <Override PartName="/word/media/image34.jpeg" ContentType="image/jpeg"/>
  <Override PartName="/word/media/image77.jpeg" ContentType="image/jpeg"/>
  <Override PartName="/word/media/image33.jpeg" ContentType="image/jpeg"/>
  <Override PartName="/word/media/image76.jpeg" ContentType="image/jpeg"/>
  <Override PartName="/word/media/image32.jpeg" ContentType="image/jpeg"/>
  <Override PartName="/word/media/image2.jpeg" ContentType="image/jpeg"/>
  <Override PartName="/word/media/image19.jpeg" ContentType="image/jpeg"/>
  <Override PartName="/word/media/image75.jpeg" ContentType="image/jpeg"/>
  <Override PartName="/word/media/image31.jpeg" ContentType="image/jpeg"/>
  <Override PartName="/word/media/image1.jpeg" ContentType="image/jpeg"/>
  <Override PartName="/word/media/image18.jpeg" ContentType="image/jpeg"/>
  <Override PartName="/word/media/image74.jpeg" ContentType="image/jpeg"/>
  <Override PartName="/word/media/image30.jpeg" ContentType="image/jpeg"/>
  <Override PartName="/word/media/image17.jpeg" ContentType="image/jpeg"/>
  <Override PartName="/word/media/image73.jpeg" ContentType="image/jpeg"/>
  <Override PartName="/word/media/image29.jpeg" ContentType="image/jpeg"/>
  <Override PartName="/word/media/image28.jpeg" ContentType="image/jpeg"/>
  <Override PartName="/word/media/image88.jpeg" ContentType="image/jpeg"/>
  <Override PartName="/word/media/image27.jpeg" ContentType="image/jpeg"/>
  <Override PartName="/word/media/image87.jpeg" ContentType="image/jpeg"/>
  <Override PartName="/word/media/image26.jpeg" ContentType="image/jpeg"/>
  <Override PartName="/word/media/image9.jpeg" ContentType="image/jpeg"/>
  <Override PartName="/word/media/image8.jpeg" ContentType="image/jpeg"/>
  <Override PartName="/word/media/image7.jpeg" ContentType="image/jpeg"/>
  <Override PartName="/word/media/image3.jpeg" ContentType="image/jpeg"/>
  <Override PartName="/word/media/image35.jpeg" ContentType="image/jpeg"/>
  <Override PartName="/word/media/image78.jpeg" ContentType="image/jpeg"/>
  <Override PartName="/word/media/image5.jpeg" ContentType="image/jpeg"/>
  <Override PartName="/word/media/image37.jpeg" ContentType="image/jpeg"/>
  <Override PartName="/word/media/image10.jpeg" ContentType="image/jpeg"/>
  <Override PartName="/word/media/image53.jpeg" ContentType="image/jpeg"/>
  <Override PartName="/word/media/image4.jpeg" ContentType="image/jpeg"/>
  <Override PartName="/word/media/image36.jpeg" ContentType="image/jpeg"/>
  <Override PartName="/word/media/image79.jpeg" ContentType="image/jpeg"/>
  <Override PartName="/word/media/image6.jpeg" ContentType="image/jpeg"/>
  <Override PartName="/word/media/image11.jpeg" ContentType="image/jpeg"/>
  <Override PartName="/word/media/image54.jpeg" ContentType="image/jpeg"/>
  <Override PartName="/word/media/image42.jpeg" ContentType="image/jpeg"/>
  <Override PartName="/word/media/image12.jpeg" ContentType="image/jpeg"/>
  <Override PartName="/word/media/image55.jpeg" ContentType="image/jpeg"/>
  <Override PartName="/word/media/image43.jpeg" ContentType="image/jpeg"/>
  <Override PartName="/word/media/image13.jpeg" ContentType="image/jpeg"/>
  <Override PartName="/word/media/image56.jpeg" ContentType="image/jpeg"/>
  <Override PartName="/word/media/image44.jpeg" ContentType="image/jpeg"/>
  <Override PartName="/word/media/image14.jpeg" ContentType="image/jpeg"/>
  <Override PartName="/word/media/image90.jpeg" ContentType="image/jpeg"/>
  <Override PartName="/word/media/image57.jpeg" ContentType="image/jpeg"/>
  <Override PartName="/word/media/image98.jpeg" ContentType="image/jpeg"/>
  <Override PartName="/word/media/image70.jpeg" ContentType="image/jpeg"/>
  <Override PartName="/word/media/image45.jpeg" ContentType="image/jpeg"/>
  <Override PartName="/word/media/image15.jpeg" ContentType="image/jpeg"/>
  <Override PartName="/word/media/image91.jpeg" ContentType="image/jpeg"/>
  <Override PartName="/word/media/image58.jpeg" ContentType="image/jpeg"/>
  <Override PartName="/word/media/image99.jpeg" ContentType="image/jpeg"/>
  <Override PartName="/word/media/image38.jpeg" ContentType="image/jpeg"/>
  <Override PartName="/word/media/image71.jpeg" ContentType="image/jpeg"/>
  <Override PartName="/word/media/image46.jpeg" ContentType="image/jpeg"/>
  <Override PartName="/word/media/image89.jpeg" ContentType="image/jpeg"/>
  <Override PartName="/word/media/image16.jpeg" ContentType="image/jpeg"/>
  <Override PartName="/word/media/image92.jpeg" ContentType="image/jpeg"/>
  <Override PartName="/word/media/image59.jpeg" ContentType="image/jpeg"/>
  <Override PartName="/word/media/image39.jpeg" ContentType="image/jpeg"/>
  <Override PartName="/word/media/image72.jpeg" ContentType="image/jpeg"/>
  <Override PartName="/word/media/image114.jpeg" ContentType="image/jpeg"/>
  <Override PartName="/word/media/image60.jpeg" ContentType="image/jpeg"/>
  <Override PartName="/word/media/image115.jpeg" ContentType="image/jpeg"/>
  <Override PartName="/word/media/image61.jpeg" ContentType="image/jpeg"/>
  <Override PartName="/word/media/image116.jpeg" ContentType="image/jpeg"/>
  <Override PartName="/word/media/image62.jpeg" ContentType="image/jpeg"/>
  <Override PartName="/word/media/image50.jpeg" ContentType="image/jpeg"/>
  <Override PartName="/word/media/image25.jpeg" ContentType="image/jpeg"/>
  <Override PartName="/word/media/image86.jpeg" ContentType="image/jpeg"/>
  <Override PartName="/word/media/image117.jpeg" ContentType="image/jpeg"/>
  <Override PartName="/word/media/image63.jpeg" ContentType="image/jpeg"/>
  <Override PartName="/word/media/image118.jpeg" ContentType="image/jpeg"/>
  <Override PartName="/word/media/image64.jpeg" ContentType="image/jpeg"/>
  <Override PartName="/word/media/image119.jpeg" ContentType="image/jpeg"/>
  <Override PartName="/word/media/image65.jpeg" ContentType="image/jpeg"/>
  <Override PartName="/word/media/image66.jpeg" ContentType="image/jpeg"/>
  <Override PartName="/word/media/image67.jpeg" ContentType="image/jpeg"/>
  <Override PartName="/word/media/image47.jpeg" ContentType="image/jpeg"/>
  <Override PartName="/word/media/image80.jpeg" ContentType="image/jpeg"/>
  <Override PartName="/word/media/image40.jpeg" ContentType="image/jpeg"/>
  <Override PartName="/word/media/image68.jpeg" ContentType="image/jpeg"/>
  <Override PartName="/word/media/image20.jpeg" ContentType="image/jpeg"/>
  <Override PartName="/word/media/image48.jpeg" ContentType="image/jpeg"/>
  <Override PartName="/word/media/image81.jpeg" ContentType="image/jpeg"/>
  <Override PartName="/word/media/image41.jpeg" ContentType="image/jpeg"/>
  <Override PartName="/word/media/image69.jpeg" ContentType="image/jpeg"/>
  <Override PartName="/word/media/image21.jpeg" ContentType="image/jpeg"/>
  <Override PartName="/word/media/image49.jpeg" ContentType="image/jpeg"/>
  <Override PartName="/word/media/image82.jpeg" ContentType="image/jpeg"/>
  <Override PartName="/word/media/image22.jpeg" ContentType="image/jpeg"/>
  <Override PartName="/word/media/image83.jpeg" ContentType="image/jpeg"/>
  <Override PartName="/word/media/image23.jpeg" ContentType="image/jpeg"/>
  <Override PartName="/word/media/image84.jpeg" ContentType="image/jpeg"/>
  <Override PartName="/word/media/image24.jpeg" ContentType="image/jpeg"/>
  <Override PartName="/word/media/image85.jpeg" ContentType="image/jpeg"/>
  <Override PartName="/word/media/image93.jpeg" ContentType="image/jpeg"/>
  <Override PartName="/word/media/image94.jpeg" ContentType="image/jpeg"/>
  <Override PartName="/word/media/image95.jpeg" ContentType="image/jpeg"/>
  <Override PartName="/word/media/image96.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FORM 10-Q</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6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2"/>
              </w:rPr>
            </w:pPr>
            <w:r>
              <w:rPr>
                <w:rFonts w:ascii="Arial;sans-serif" w:hAnsi="Arial;sans-serif"/>
                <w:b/>
                <w:color w:val="000000"/>
                <w:sz w:val="22"/>
              </w:rPr>
              <w:t>QUARTERLY REPORT PURSUANT TO SECTION 13 OR 15(d) OF THE SECURITIES EXCHANGE ACT OF 1934</w:t>
            </w:r>
          </w:p>
        </w:tc>
      </w:tr>
    </w:tbl>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For the quarterly period ended March 31, 2023</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2"/>
              </w:rPr>
            </w:pPr>
            <w:r>
              <w:rPr>
                <w:rFonts w:ascii="Arial;sans-serif" w:hAnsi="Arial;sans-serif"/>
                <w:b/>
                <w:color w:val="000000"/>
                <w:sz w:val="22"/>
              </w:rPr>
              <w:t>TRANSITION REPORT PURSUANT TO SECTION 13 OR 15(d) OF THE SECURITIES EXCHANGE ACT OF 1934</w:t>
            </w:r>
          </w:p>
        </w:tc>
      </w:tr>
    </w:tbl>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For the transition period from ________ to ________</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Commission file number: 001-31719</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drawing>
          <wp:inline distT="0" distB="63500" distL="0" distR="0">
            <wp:extent cx="209550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723900"/>
                    </a:xfrm>
                    <a:prstGeom prst="rect">
                      <a:avLst/>
                    </a:prstGeom>
                  </pic:spPr>
                </pic:pic>
              </a:graphicData>
            </a:graphic>
          </wp:inline>
        </w:drawing>
      </w:r>
    </w:p>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MOLINA HEALTHCARE, INC.</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(Exact name of registrant as specified in its charter)</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125" w:type="dxa"/>
        <w:jc w:val="center"/>
        <w:tblInd w:w="0" w:type="dxa"/>
        <w:tblCellMar>
          <w:top w:w="28" w:type="dxa"/>
          <w:left w:w="28" w:type="dxa"/>
          <w:bottom w:w="28" w:type="dxa"/>
          <w:right w:w="28" w:type="dxa"/>
        </w:tblCellMar>
      </w:tblPr>
      <w:tblGrid>
        <w:gridCol w:w="592"/>
        <w:gridCol w:w="521"/>
        <w:gridCol w:w="521"/>
        <w:gridCol w:w="521"/>
        <w:gridCol w:w="521"/>
        <w:gridCol w:w="548"/>
        <w:gridCol w:w="109"/>
        <w:gridCol w:w="109"/>
        <w:gridCol w:w="109"/>
        <w:gridCol w:w="460"/>
        <w:gridCol w:w="460"/>
        <w:gridCol w:w="654"/>
      </w:tblGrid>
      <w:tr>
        <w:trPr/>
        <w:tc>
          <w:tcPr>
            <w:tcW w:w="592"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r>
      <w:tr>
        <w:trPr/>
        <w:tc>
          <w:tcPr>
            <w:tcW w:w="322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13-4204626</w:t>
            </w:r>
          </w:p>
        </w:tc>
      </w:tr>
      <w:tr>
        <w:trPr/>
        <w:tc>
          <w:tcPr>
            <w:tcW w:w="322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200 Oceangate, Suite 100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Long Beach,</w:t>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California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90802</w:t>
            </w:r>
          </w:p>
        </w:tc>
      </w:tr>
      <w:tr>
        <w:trPr/>
        <w:tc>
          <w:tcPr>
            <w:tcW w:w="322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spacing w:lineRule="auto" w:line="288" w:before="0" w:after="60"/>
        <w:jc w:val="center"/>
        <w:rPr>
          <w:rFonts w:ascii="Arial;sans-serif" w:hAnsi="Arial;sans-serif"/>
          <w:b/>
          <w:color w:val="000000"/>
          <w:sz w:val="18"/>
        </w:rPr>
      </w:pPr>
      <w:r>
        <w:rPr>
          <w:rFonts w:ascii="Arial;sans-serif" w:hAnsi="Arial;sans-serif"/>
          <w:b/>
          <w:color w:val="000000"/>
          <w:sz w:val="18"/>
        </w:rPr>
        <w:t>(562) 435-3666</w:t>
      </w:r>
    </w:p>
    <w:p>
      <w:pPr>
        <w:pStyle w:val="TextBody"/>
        <w:spacing w:lineRule="auto" w:line="288" w:before="60" w:after="283"/>
        <w:jc w:val="center"/>
        <w:rPr>
          <w:rFonts w:ascii="Arial;sans-serif" w:hAnsi="Arial;sans-serif"/>
          <w:b/>
          <w:color w:val="000000"/>
          <w:sz w:val="18"/>
        </w:rPr>
      </w:pPr>
      <w:r>
        <w:rPr>
          <w:rFonts w:ascii="Arial;sans-serif" w:hAnsi="Arial;sans-serif"/>
          <w:b/>
          <w:color w:val="000000"/>
          <w:sz w:val="18"/>
        </w:rPr>
        <w:t>(Registrant’s telephone number, including area code)</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60"/>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7858" w:type="dxa"/>
        <w:jc w:val="center"/>
        <w:tblInd w:w="0" w:type="dxa"/>
        <w:tblCellMar>
          <w:top w:w="28" w:type="dxa"/>
          <w:left w:w="28" w:type="dxa"/>
          <w:bottom w:w="28" w:type="dxa"/>
          <w:right w:w="28" w:type="dxa"/>
        </w:tblCellMar>
      </w:tblPr>
      <w:tblGrid>
        <w:gridCol w:w="949"/>
        <w:gridCol w:w="833"/>
        <w:gridCol w:w="843"/>
        <w:gridCol w:w="524"/>
        <w:gridCol w:w="524"/>
        <w:gridCol w:w="526"/>
        <w:gridCol w:w="1071"/>
        <w:gridCol w:w="1071"/>
        <w:gridCol w:w="1517"/>
      </w:tblGrid>
      <w:tr>
        <w:trPr/>
        <w:tc>
          <w:tcPr>
            <w:tcW w:w="949"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517"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5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65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62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Common Stock, $0.001 Par Value </w:t>
            </w:r>
          </w:p>
        </w:tc>
        <w:tc>
          <w:tcPr>
            <w:tcW w:w="157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MOH</w:t>
            </w:r>
          </w:p>
        </w:tc>
        <w:tc>
          <w:tcPr>
            <w:tcW w:w="365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spacing w:lineRule="auto" w:line="288" w:before="80" w:after="140"/>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8"/>
        </w:rPr>
        <w:t>No  </w:t>
      </w:r>
      <w:r>
        <w:rPr>
          <w:color w:val="000000"/>
        </w:rPr>
        <w:t>☐</w:t>
      </w:r>
    </w:p>
    <w:p>
      <w:pPr>
        <w:pStyle w:val="TextBody"/>
        <w:spacing w:lineRule="auto" w:line="288" w:before="140" w:after="140"/>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Arial;sans-serif" w:hAnsi="Arial;sans-serif"/>
          <w:b w:val="false"/>
          <w:color w:val="000000"/>
          <w:sz w:val="18"/>
        </w:rPr>
        <w:t>No  </w:t>
      </w:r>
      <w:r>
        <w:rPr>
          <w:color w:val="000000"/>
        </w:rPr>
        <w:t>☐</w:t>
      </w:r>
    </w:p>
    <w:p>
      <w:pPr>
        <w:pStyle w:val="TextBody"/>
        <w:spacing w:lineRule="auto" w:line="288" w:before="140" w:after="140"/>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lineRule="auto" w:line="288" w:before="140" w:after="140"/>
        <w:rPr/>
      </w:pPr>
      <w:r>
        <w:rPr>
          <w:rFonts w:ascii="Arial;sans-serif" w:hAnsi="Arial;sans-serif"/>
          <w:b w:val="false"/>
          <w:color w:val="000000"/>
          <w:sz w:val="18"/>
        </w:rPr>
        <w:t>L</w:t>
      </w:r>
      <w:r>
        <w:rPr>
          <w:rFonts w:ascii="Arial;sans-serif" w:hAnsi="Arial;sans-serif"/>
          <w:b w:val="false"/>
          <w:color w:val="000000"/>
          <w:sz w:val="16"/>
        </w:rPr>
        <w:t>arge Accelerated Filer  </w:t>
      </w:r>
      <w:r>
        <w:rPr>
          <w:color w:val="000000"/>
        </w:rPr>
        <w:t xml:space="preserve">☒ </w:t>
      </w:r>
      <w:r>
        <w:rPr>
          <w:rFonts w:ascii="Arial;sans-serif" w:hAnsi="Arial;sans-serif"/>
          <w:b w:val="false"/>
          <w:color w:val="000000"/>
          <w:sz w:val="16"/>
        </w:rPr>
        <w:t xml:space="preserve">Accelerated Filer </w:t>
      </w:r>
      <w:r>
        <w:rPr>
          <w:color w:val="000000"/>
        </w:rPr>
        <w:t xml:space="preserve">☐ </w:t>
      </w:r>
      <w:r>
        <w:rPr>
          <w:rFonts w:ascii="Arial;sans-serif" w:hAnsi="Arial;sans-serif"/>
          <w:b w:val="false"/>
          <w:color w:val="000000"/>
          <w:sz w:val="16"/>
        </w:rPr>
        <w:t xml:space="preserve">Non-Accelerated Filer </w:t>
      </w:r>
      <w:r>
        <w:rPr>
          <w:color w:val="000000"/>
        </w:rPr>
        <w:t xml:space="preserve">☐ </w:t>
      </w:r>
      <w:r>
        <w:rPr>
          <w:rFonts w:ascii="Arial;sans-serif" w:hAnsi="Arial;sans-serif"/>
          <w:b w:val="false"/>
          <w:color w:val="000000"/>
          <w:sz w:val="16"/>
        </w:rPr>
        <w:t xml:space="preserve">Smaller reporting company </w:t>
      </w:r>
      <w:r>
        <w:rPr>
          <w:color w:val="000000"/>
        </w:rPr>
        <w:t xml:space="preserve">☐ </w:t>
      </w:r>
      <w:r>
        <w:rPr>
          <w:rFonts w:ascii="Arial;sans-serif" w:hAnsi="Arial;sans-serif"/>
          <w:b w:val="false"/>
          <w:color w:val="000000"/>
          <w:sz w:val="16"/>
        </w:rPr>
        <w:t xml:space="preserve">Emerging growth company </w:t>
      </w:r>
      <w:r>
        <w:rPr>
          <w:color w:val="000000"/>
        </w:rPr>
        <w:t>☐</w:t>
      </w:r>
    </w:p>
    <w:p>
      <w:pPr>
        <w:pStyle w:val="TextBody"/>
        <w:spacing w:lineRule="auto" w:line="288" w:before="140" w:after="140"/>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spacing w:lineRule="auto" w:line="288" w:before="140" w:after="140"/>
        <w:ind w:left="0" w:right="0" w:hanging="180"/>
        <w:rPr/>
      </w:pPr>
      <w:r>
        <w:rPr>
          <w:rFonts w:ascii="Arial;sans-serif" w:hAnsi="Arial;sans-serif"/>
          <w:b w:val="false"/>
          <w:color w:val="000000"/>
          <w:sz w:val="18"/>
        </w:rPr>
        <w:t>Indicate by check mark whether the registrant is a shell company (as defined in Rule 12b-2 of the Exchange Act).  Yes  </w:t>
      </w:r>
      <w:r>
        <w:rPr>
          <w:color w:val="000000"/>
        </w:rPr>
        <w:t xml:space="preserve">☐ </w:t>
      </w:r>
      <w:r>
        <w:rPr>
          <w:rFonts w:ascii="Arial;sans-serif" w:hAnsi="Arial;sans-serif"/>
          <w:b w:val="false"/>
          <w:color w:val="000000"/>
          <w:sz w:val="18"/>
        </w:rPr>
        <w:t>No  </w:t>
      </w:r>
      <w:r>
        <w:rPr>
          <w:color w:val="000000"/>
        </w:rPr>
        <w:t>☒</w:t>
      </w:r>
    </w:p>
    <w:p>
      <w:pPr>
        <w:pStyle w:val="TextBody"/>
        <w:spacing w:lineRule="auto" w:line="288" w:before="140" w:after="140"/>
        <w:rPr>
          <w:rFonts w:ascii="Arial;sans-serif" w:hAnsi="Arial;sans-serif"/>
          <w:b w:val="false"/>
          <w:color w:val="000000"/>
          <w:sz w:val="18"/>
        </w:rPr>
      </w:pPr>
      <w:r>
        <w:rPr>
          <w:rFonts w:ascii="Arial;sans-serif" w:hAnsi="Arial;sans-serif"/>
          <w:b w:val="false"/>
          <w:color w:val="000000"/>
          <w:sz w:val="18"/>
        </w:rPr>
        <w:t>The number of shares of the issuer’s Common Stock, $0.001 par value, outstanding as of April 21, 2023, was approximately 58,300,000.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0" w:after="0"/>
        <w:rPr>
          <w:rFonts w:ascii="Arial;sans-serif" w:hAnsi="Arial;sans-serif"/>
          <w:b/>
          <w:color w:val="0F7C7F"/>
          <w:sz w:val="24"/>
        </w:rPr>
      </w:pPr>
      <w:r>
        <w:rPr>
          <w:rFonts w:ascii="Arial;sans-serif" w:hAnsi="Arial;sans-serif"/>
          <w:b/>
          <w:color w:val="0F7C7F"/>
          <w:sz w:val="24"/>
        </w:rPr>
        <w:t>MOLINA HEALTHCARE, INC. FORM 10-Q</w:t>
      </w:r>
    </w:p>
    <w:p>
      <w:pPr>
        <w:pStyle w:val="TextBody"/>
        <w:spacing w:lineRule="auto" w:line="288" w:before="0" w:after="0"/>
        <w:rPr>
          <w:rFonts w:ascii="Arial;sans-serif" w:hAnsi="Arial;sans-serif"/>
          <w:b/>
          <w:color w:val="828282"/>
          <w:sz w:val="20"/>
        </w:rPr>
      </w:pPr>
      <w:r>
        <w:rPr>
          <w:rFonts w:ascii="Arial;sans-serif" w:hAnsi="Arial;sans-serif"/>
          <w:b/>
          <w:color w:val="828282"/>
          <w:sz w:val="20"/>
        </w:rPr>
        <w:t xml:space="preserve">FOR THE QUARTERLY PERIOD ENDED MARCH 31, 2023 </w:t>
      </w:r>
    </w:p>
    <w:p>
      <w:pPr>
        <w:pStyle w:val="TextBody"/>
        <w:spacing w:before="0" w:after="0"/>
        <w:rPr/>
      </w:pPr>
      <w:r>
        <w:rPr/>
      </w:r>
    </w:p>
    <w:p>
      <w:pPr>
        <w:pStyle w:val="TextBody"/>
        <w:spacing w:lineRule="auto" w:line="288" w:before="0" w:after="0"/>
        <w:rPr>
          <w:rFonts w:ascii="Arial;sans-serif" w:hAnsi="Arial;sans-serif"/>
          <w:b/>
          <w:color w:val="828282"/>
          <w:sz w:val="20"/>
        </w:rPr>
      </w:pPr>
      <w:r>
        <w:rPr>
          <w:rFonts w:ascii="Arial;sans-serif" w:hAnsi="Arial;sans-serif"/>
          <w:b/>
          <w:color w:val="828282"/>
          <w:sz w:val="20"/>
        </w:rPr>
        <w:t>TABLE OF CONTENTS</w:t>
      </w:r>
    </w:p>
    <w:tbl>
      <w:tblPr>
        <w:tblW w:w="9454" w:type="dxa"/>
        <w:jc w:val="left"/>
        <w:tblInd w:w="0" w:type="dxa"/>
        <w:tblCellMar>
          <w:top w:w="28" w:type="dxa"/>
          <w:left w:w="28" w:type="dxa"/>
          <w:bottom w:w="28" w:type="dxa"/>
          <w:right w:w="28" w:type="dxa"/>
        </w:tblCellMar>
      </w:tblPr>
      <w:tblGrid>
        <w:gridCol w:w="257"/>
        <w:gridCol w:w="226"/>
        <w:gridCol w:w="226"/>
        <w:gridCol w:w="2426"/>
        <w:gridCol w:w="2426"/>
        <w:gridCol w:w="2498"/>
        <w:gridCol w:w="407"/>
        <w:gridCol w:w="407"/>
        <w:gridCol w:w="581"/>
      </w:tblGrid>
      <w:tr>
        <w:trPr/>
        <w:tc>
          <w:tcPr>
            <w:tcW w:w="25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426" w:type="dxa"/>
            <w:tcBorders/>
            <w:shd w:fill="auto" w:val="clear"/>
            <w:vAlign w:val="center"/>
          </w:tcPr>
          <w:p>
            <w:pPr>
              <w:pStyle w:val="TableContents"/>
              <w:spacing w:before="0" w:after="283"/>
              <w:rPr>
                <w:sz w:val="4"/>
                <w:szCs w:val="4"/>
              </w:rPr>
            </w:pPr>
            <w:r>
              <w:rPr>
                <w:sz w:val="4"/>
                <w:szCs w:val="4"/>
              </w:rPr>
            </w:r>
          </w:p>
        </w:tc>
        <w:tc>
          <w:tcPr>
            <w:tcW w:w="2426" w:type="dxa"/>
            <w:tcBorders/>
            <w:shd w:fill="auto" w:val="clear"/>
            <w:vAlign w:val="center"/>
          </w:tcPr>
          <w:p>
            <w:pPr>
              <w:pStyle w:val="TableContents"/>
              <w:spacing w:before="0" w:after="283"/>
              <w:rPr>
                <w:sz w:val="4"/>
                <w:szCs w:val="4"/>
              </w:rPr>
            </w:pPr>
            <w:r>
              <w:rPr>
                <w:sz w:val="4"/>
                <w:szCs w:val="4"/>
              </w:rPr>
            </w:r>
          </w:p>
        </w:tc>
        <w:tc>
          <w:tcPr>
            <w:tcW w:w="2498"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r>
      <w:tr>
        <w:trPr/>
        <w:tc>
          <w:tcPr>
            <w:tcW w:w="805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ITEM NUMBER</w:t>
            </w:r>
          </w:p>
        </w:tc>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F7C7F"/>
                <w:sz w:val="18"/>
                <w:u w:val="single"/>
              </w:rPr>
            </w:pPr>
            <w:r>
              <w:rPr>
                <w:rFonts w:ascii="Arial;sans-serif" w:hAnsi="Arial;sans-serif"/>
                <w:b/>
                <w:color w:val="0F7C7F"/>
                <w:sz w:val="18"/>
                <w:u w:val="single"/>
              </w:rPr>
              <w:t>Page</w:t>
            </w:r>
          </w:p>
        </w:tc>
      </w:tr>
      <w:tr>
        <w:trPr/>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PART I</w:t>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w:t>
            </w:r>
          </w:p>
        </w:tc>
        <w:tc>
          <w:tcPr>
            <w:tcW w:w="73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79792b8fd074d8bae718390c448c078_10">
              <w:r>
                <w:rPr>
                  <w:rStyle w:val="InternetLink"/>
                  <w:rFonts w:ascii="Arial;sans-serif" w:hAnsi="Arial;sans-serif"/>
                  <w:b w:val="false"/>
                  <w:color w:val="0F7C7F"/>
                  <w:sz w:val="18"/>
                  <w:u w:val="single"/>
                </w:rPr>
                <w:t>Financial Statements</w:t>
              </w:r>
            </w:hyperlink>
          </w:p>
        </w:tc>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79792b8fd074d8bae718390c448c078_10">
              <w:r>
                <w:rPr>
                  <w:rStyle w:val="InternetLink"/>
                  <w:rFonts w:ascii="Arial;sans-serif" w:hAnsi="Arial;sans-serif"/>
                  <w:b w:val="false"/>
                  <w:color w:val="0F7C7F"/>
                  <w:sz w:val="18"/>
                  <w:u w:val="single"/>
                </w:rPr>
                <w:t>3</w:t>
              </w:r>
            </w:hyperlink>
          </w:p>
        </w:tc>
      </w:tr>
      <w:tr>
        <w:trPr/>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w:t>
            </w:r>
          </w:p>
        </w:tc>
        <w:tc>
          <w:tcPr>
            <w:tcW w:w="73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79792b8fd074d8bae718390c448c078_79">
              <w:r>
                <w:rPr>
                  <w:rStyle w:val="InternetLink"/>
                  <w:rFonts w:ascii="Arial;sans-serif" w:hAnsi="Arial;sans-serif"/>
                  <w:b w:val="false"/>
                  <w:color w:val="0F7C7F"/>
                  <w:sz w:val="18"/>
                  <w:u w:val="single"/>
                </w:rPr>
                <w:t>Management’s Discussion and Analysis of Financial Condition and Results of Operations</w:t>
              </w:r>
            </w:hyperlink>
          </w:p>
        </w:tc>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79792b8fd074d8bae718390c448c078_79">
              <w:r>
                <w:rPr>
                  <w:rStyle w:val="InternetLink"/>
                  <w:rFonts w:ascii="Arial;sans-serif" w:hAnsi="Arial;sans-serif"/>
                  <w:b w:val="false"/>
                  <w:color w:val="0F7C7F"/>
                  <w:sz w:val="18"/>
                  <w:u w:val="single"/>
                </w:rPr>
                <w:t>19</w:t>
              </w:r>
            </w:hyperlink>
          </w:p>
        </w:tc>
      </w:tr>
      <w:tr>
        <w:trPr/>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w:t>
            </w:r>
          </w:p>
        </w:tc>
        <w:tc>
          <w:tcPr>
            <w:tcW w:w="73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79792b8fd074d8bae718390c448c078_121">
              <w:r>
                <w:rPr>
                  <w:rStyle w:val="InternetLink"/>
                  <w:rFonts w:ascii="Arial;sans-serif" w:hAnsi="Arial;sans-serif"/>
                  <w:b w:val="false"/>
                  <w:color w:val="0F7C7F"/>
                  <w:sz w:val="18"/>
                  <w:u w:val="single"/>
                </w:rPr>
                <w:t>Quantitative and Qualitative Disclosures About Market Risk</w:t>
              </w:r>
            </w:hyperlink>
          </w:p>
        </w:tc>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79792b8fd074d8bae718390c448c078_121">
              <w:r>
                <w:rPr>
                  <w:rStyle w:val="InternetLink"/>
                  <w:rFonts w:ascii="Arial;sans-serif" w:hAnsi="Arial;sans-serif"/>
                  <w:b w:val="false"/>
                  <w:color w:val="0F7C7F"/>
                  <w:sz w:val="18"/>
                  <w:u w:val="single"/>
                </w:rPr>
                <w:t>30</w:t>
              </w:r>
            </w:hyperlink>
          </w:p>
        </w:tc>
      </w:tr>
      <w:tr>
        <w:trPr/>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w:t>
            </w:r>
          </w:p>
        </w:tc>
        <w:tc>
          <w:tcPr>
            <w:tcW w:w="73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79792b8fd074d8bae718390c448c078_124">
              <w:r>
                <w:rPr>
                  <w:rStyle w:val="InternetLink"/>
                  <w:rFonts w:ascii="Arial;sans-serif" w:hAnsi="Arial;sans-serif"/>
                  <w:b w:val="false"/>
                  <w:color w:val="0F7C7F"/>
                  <w:sz w:val="18"/>
                  <w:u w:val="single"/>
                </w:rPr>
                <w:t>Controls and Procedures</w:t>
              </w:r>
            </w:hyperlink>
          </w:p>
        </w:tc>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79792b8fd074d8bae718390c448c078_124">
              <w:r>
                <w:rPr>
                  <w:rStyle w:val="InternetLink"/>
                  <w:rFonts w:ascii="Arial;sans-serif" w:hAnsi="Arial;sans-serif"/>
                  <w:b w:val="false"/>
                  <w:color w:val="0F7C7F"/>
                  <w:sz w:val="18"/>
                  <w:u w:val="single"/>
                </w:rPr>
                <w:t>30</w:t>
              </w:r>
            </w:hyperlink>
          </w:p>
        </w:tc>
      </w:tr>
      <w:tr>
        <w:trPr/>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9"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PART II</w:t>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w:t>
            </w:r>
          </w:p>
        </w:tc>
        <w:tc>
          <w:tcPr>
            <w:tcW w:w="73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79792b8fd074d8bae718390c448c078_127">
              <w:r>
                <w:rPr>
                  <w:rStyle w:val="InternetLink"/>
                  <w:rFonts w:ascii="Arial;sans-serif" w:hAnsi="Arial;sans-serif"/>
                  <w:b w:val="false"/>
                  <w:color w:val="0F7C7F"/>
                  <w:sz w:val="18"/>
                  <w:u w:val="single"/>
                </w:rPr>
                <w:t>Legal Proceedings</w:t>
              </w:r>
            </w:hyperlink>
          </w:p>
        </w:tc>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79792b8fd074d8bae718390c448c078_127">
              <w:r>
                <w:rPr>
                  <w:rStyle w:val="InternetLink"/>
                  <w:rFonts w:ascii="Arial;sans-serif" w:hAnsi="Arial;sans-serif"/>
                  <w:b w:val="false"/>
                  <w:color w:val="0F7C7F"/>
                  <w:sz w:val="18"/>
                  <w:u w:val="single"/>
                </w:rPr>
                <w:t>30</w:t>
              </w:r>
            </w:hyperlink>
          </w:p>
        </w:tc>
      </w:tr>
      <w:tr>
        <w:trPr/>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1A.</w:t>
            </w:r>
          </w:p>
        </w:tc>
        <w:tc>
          <w:tcPr>
            <w:tcW w:w="73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79792b8fd074d8bae718390c448c078_130">
              <w:r>
                <w:rPr>
                  <w:rStyle w:val="InternetLink"/>
                  <w:rFonts w:ascii="Arial;sans-serif" w:hAnsi="Arial;sans-serif"/>
                  <w:b w:val="false"/>
                  <w:color w:val="0F7C7F"/>
                  <w:sz w:val="18"/>
                  <w:u w:val="single"/>
                </w:rPr>
                <w:t>Risk Factors</w:t>
              </w:r>
            </w:hyperlink>
          </w:p>
        </w:tc>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79792b8fd074d8bae718390c448c078_130">
              <w:r>
                <w:rPr>
                  <w:rStyle w:val="InternetLink"/>
                  <w:rFonts w:ascii="Arial;sans-serif" w:hAnsi="Arial;sans-serif"/>
                  <w:b w:val="false"/>
                  <w:color w:val="0F7C7F"/>
                  <w:sz w:val="18"/>
                  <w:u w:val="single"/>
                </w:rPr>
                <w:t>30</w:t>
              </w:r>
            </w:hyperlink>
          </w:p>
        </w:tc>
      </w:tr>
      <w:tr>
        <w:trPr/>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w:t>
            </w:r>
          </w:p>
        </w:tc>
        <w:tc>
          <w:tcPr>
            <w:tcW w:w="73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79792b8fd074d8bae718390c448c078_133">
              <w:r>
                <w:rPr>
                  <w:rStyle w:val="InternetLink"/>
                  <w:rFonts w:ascii="Arial;sans-serif" w:hAnsi="Arial;sans-serif"/>
                  <w:b w:val="false"/>
                  <w:color w:val="0F7C7F"/>
                  <w:sz w:val="18"/>
                  <w:u w:val="single"/>
                </w:rPr>
                <w:t>Unregistered Sales of Equity Securities and Use of Proceeds</w:t>
              </w:r>
            </w:hyperlink>
          </w:p>
        </w:tc>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79792b8fd074d8bae718390c448c078_133">
              <w:r>
                <w:rPr>
                  <w:rStyle w:val="InternetLink"/>
                  <w:rFonts w:ascii="Arial;sans-serif" w:hAnsi="Arial;sans-serif"/>
                  <w:b w:val="false"/>
                  <w:color w:val="0F7C7F"/>
                  <w:sz w:val="18"/>
                  <w:u w:val="single"/>
                </w:rPr>
                <w:t>31</w:t>
              </w:r>
            </w:hyperlink>
          </w:p>
        </w:tc>
      </w:tr>
      <w:tr>
        <w:trPr/>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w:t>
            </w:r>
          </w:p>
        </w:tc>
        <w:tc>
          <w:tcPr>
            <w:tcW w:w="73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Defaults Upon Senior Securities</w:t>
            </w:r>
          </w:p>
        </w:tc>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Not Applicable.</w:t>
            </w:r>
          </w:p>
        </w:tc>
      </w:tr>
      <w:tr>
        <w:trPr/>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w:t>
            </w:r>
          </w:p>
        </w:tc>
        <w:tc>
          <w:tcPr>
            <w:tcW w:w="73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Mine Safety Disclosures</w:t>
            </w:r>
          </w:p>
        </w:tc>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Not Applicable.</w:t>
            </w:r>
          </w:p>
        </w:tc>
      </w:tr>
      <w:tr>
        <w:trPr/>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w:t>
            </w:r>
          </w:p>
        </w:tc>
        <w:tc>
          <w:tcPr>
            <w:tcW w:w="73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Information</w:t>
            </w:r>
          </w:p>
        </w:tc>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Not Applicable.</w:t>
            </w:r>
          </w:p>
        </w:tc>
      </w:tr>
      <w:tr>
        <w:trPr/>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w:t>
            </w:r>
          </w:p>
        </w:tc>
        <w:tc>
          <w:tcPr>
            <w:tcW w:w="73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79792b8fd074d8bae718390c448c078_136">
              <w:r>
                <w:rPr>
                  <w:rStyle w:val="InternetLink"/>
                  <w:rFonts w:ascii="Arial;sans-serif" w:hAnsi="Arial;sans-serif"/>
                  <w:b w:val="false"/>
                  <w:color w:val="0F7C7F"/>
                  <w:sz w:val="18"/>
                  <w:u w:val="single"/>
                </w:rPr>
                <w:t>Exhibits</w:t>
              </w:r>
            </w:hyperlink>
          </w:p>
        </w:tc>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79792b8fd074d8bae718390c448c078_136">
              <w:r>
                <w:rPr>
                  <w:rStyle w:val="InternetLink"/>
                  <w:rFonts w:ascii="Arial;sans-serif" w:hAnsi="Arial;sans-serif"/>
                  <w:b w:val="false"/>
                  <w:color w:val="0F7C7F"/>
                  <w:sz w:val="18"/>
                  <w:u w:val="single"/>
                </w:rPr>
                <w:t>32</w:t>
              </w:r>
            </w:hyperlink>
          </w:p>
        </w:tc>
      </w:tr>
      <w:tr>
        <w:trPr/>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79792b8fd074d8bae718390c448c078_139">
              <w:r>
                <w:rPr>
                  <w:rStyle w:val="InternetLink"/>
                  <w:rFonts w:ascii="Arial;sans-serif" w:hAnsi="Arial;sans-serif"/>
                  <w:b w:val="false"/>
                  <w:color w:val="0F7C7F"/>
                  <w:sz w:val="18"/>
                  <w:u w:val="single"/>
                </w:rPr>
                <w:t>Signatures</w:t>
              </w:r>
            </w:hyperlink>
          </w:p>
        </w:tc>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79792b8fd074d8bae718390c448c078_139">
              <w:r>
                <w:rPr>
                  <w:rStyle w:val="InternetLink"/>
                  <w:rFonts w:ascii="Arial;sans-serif" w:hAnsi="Arial;sans-serif"/>
                  <w:b w:val="false"/>
                  <w:color w:val="0F7C7F"/>
                  <w:sz w:val="18"/>
                  <w:u w:val="single"/>
                </w:rPr>
                <w:t>33</w:t>
              </w:r>
            </w:hyperlink>
          </w:p>
        </w:tc>
      </w:tr>
      <w:tr>
        <w:trPr/>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F7C7F"/>
          <w:sz w:val="24"/>
        </w:rPr>
      </w:pPr>
      <w:r>
        <w:rPr>
          <w:rFonts w:ascii="Arial;sans-serif" w:hAnsi="Arial;sans-serif"/>
          <w:b/>
          <w:color w:val="0F7C7F"/>
          <w:sz w:val="24"/>
        </w:rPr>
        <w:t>CONSOLIDATED STATEMENTS OF INCOME</w:t>
      </w:r>
    </w:p>
    <w:tbl>
      <w:tblPr>
        <w:tblW w:w="7452" w:type="dxa"/>
        <w:jc w:val="left"/>
        <w:tblInd w:w="0" w:type="dxa"/>
        <w:tblCellMar>
          <w:top w:w="28" w:type="dxa"/>
          <w:left w:w="28" w:type="dxa"/>
          <w:bottom w:w="28" w:type="dxa"/>
          <w:right w:w="28" w:type="dxa"/>
        </w:tblCellMar>
      </w:tblPr>
      <w:tblGrid>
        <w:gridCol w:w="1146"/>
        <w:gridCol w:w="1006"/>
        <w:gridCol w:w="1013"/>
        <w:gridCol w:w="365"/>
        <w:gridCol w:w="1068"/>
        <w:gridCol w:w="188"/>
        <w:gridCol w:w="188"/>
        <w:gridCol w:w="188"/>
        <w:gridCol w:w="188"/>
        <w:gridCol w:w="365"/>
        <w:gridCol w:w="1068"/>
        <w:gridCol w:w="188"/>
        <w:gridCol w:w="109"/>
        <w:gridCol w:w="109"/>
        <w:gridCol w:w="109"/>
        <w:gridCol w:w="154"/>
      </w:tblGrid>
      <w:tr>
        <w:trPr/>
        <w:tc>
          <w:tcPr>
            <w:tcW w:w="1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 except per-share amounts)</w:t>
              <w:br/>
              <w:t>(Unaudited)</w:t>
            </w:r>
          </w:p>
        </w:tc>
        <w:tc>
          <w:tcPr>
            <w:tcW w:w="481" w:type="dxa"/>
            <w:gridSpan w:val="4"/>
            <w:tcBorders/>
            <w:shd w:fill="auto" w:val="clea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6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revenue</w:t>
            </w:r>
          </w:p>
        </w:tc>
        <w:tc>
          <w:tcPr>
            <w:tcW w:w="3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7,885 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7,531 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tax revenue</w:t>
            </w:r>
          </w:p>
        </w:tc>
        <w:tc>
          <w:tcPr>
            <w:tcW w:w="14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vAlign w:val="center"/>
          </w:tcPr>
          <w:p>
            <w:pPr>
              <w:pStyle w:val="TableContents"/>
              <w:spacing w:before="0" w:after="283"/>
              <w:rPr>
                <w:sz w:val="4"/>
                <w:szCs w:val="4"/>
              </w:rPr>
            </w:pPr>
            <w:r>
              <w:rPr>
                <w:sz w:val="4"/>
                <w:szCs w:val="4"/>
              </w:rPr>
            </w:r>
          </w:p>
        </w:tc>
        <w:tc>
          <w:tcPr>
            <w:tcW w:w="1621" w:type="dxa"/>
            <w:gridSpan w:val="3"/>
            <w:tcBorders/>
            <w:shd w:fill="auto" w:val="clear"/>
            <w:vAlign w:val="center"/>
          </w:tcPr>
          <w:p>
            <w:pPr>
              <w:pStyle w:val="TableContents"/>
              <w:spacing w:before="0" w:after="283"/>
              <w:rPr>
                <w:sz w:val="4"/>
                <w:szCs w:val="4"/>
              </w:rPr>
            </w:pPr>
            <w:r>
              <w:rPr>
                <w:sz w:val="4"/>
                <w:szCs w:val="4"/>
              </w:rPr>
            </w:r>
          </w:p>
        </w:tc>
        <w:tc>
          <w:tcPr>
            <w:tcW w:w="564" w:type="dxa"/>
            <w:gridSpan w:val="3"/>
            <w:tcBorders/>
            <w:shd w:fill="auto" w:val="clear"/>
            <w:vAlign w:val="center"/>
          </w:tcPr>
          <w:p>
            <w:pPr>
              <w:pStyle w:val="TableContents"/>
              <w:spacing w:before="0" w:after="283"/>
              <w:rPr>
                <w:sz w:val="4"/>
                <w:szCs w:val="4"/>
              </w:rPr>
            </w:pPr>
            <w:r>
              <w:rPr>
                <w:sz w:val="4"/>
                <w:szCs w:val="4"/>
              </w:rPr>
            </w:r>
          </w:p>
        </w:tc>
        <w:tc>
          <w:tcPr>
            <w:tcW w:w="16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Investment income </w:t>
            </w:r>
          </w:p>
        </w:tc>
        <w:tc>
          <w:tcPr>
            <w:tcW w:w="14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14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4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8,149 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7,770 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6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care costs</w:t>
            </w:r>
          </w:p>
        </w:tc>
        <w:tc>
          <w:tcPr>
            <w:tcW w:w="14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6,871 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6,563 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14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tax expenses</w:t>
            </w:r>
          </w:p>
        </w:tc>
        <w:tc>
          <w:tcPr>
            <w:tcW w:w="14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vAlign w:val="center"/>
          </w:tcPr>
          <w:p>
            <w:pPr>
              <w:pStyle w:val="TableContents"/>
              <w:spacing w:before="0" w:after="283"/>
              <w:rPr>
                <w:sz w:val="4"/>
                <w:szCs w:val="4"/>
              </w:rPr>
            </w:pPr>
            <w:r>
              <w:rPr>
                <w:sz w:val="4"/>
                <w:szCs w:val="4"/>
              </w:rPr>
            </w:r>
          </w:p>
        </w:tc>
        <w:tc>
          <w:tcPr>
            <w:tcW w:w="1621" w:type="dxa"/>
            <w:gridSpan w:val="3"/>
            <w:tcBorders/>
            <w:shd w:fill="auto" w:val="clear"/>
            <w:vAlign w:val="center"/>
          </w:tcPr>
          <w:p>
            <w:pPr>
              <w:pStyle w:val="TableContents"/>
              <w:spacing w:before="0" w:after="283"/>
              <w:rPr>
                <w:sz w:val="4"/>
                <w:szCs w:val="4"/>
              </w:rPr>
            </w:pPr>
            <w:r>
              <w:rPr>
                <w:sz w:val="4"/>
                <w:szCs w:val="4"/>
              </w:rPr>
            </w:r>
          </w:p>
        </w:tc>
        <w:tc>
          <w:tcPr>
            <w:tcW w:w="564" w:type="dxa"/>
            <w:gridSpan w:val="3"/>
            <w:tcBorders/>
            <w:shd w:fill="auto" w:val="clear"/>
            <w:vAlign w:val="center"/>
          </w:tcPr>
          <w:p>
            <w:pPr>
              <w:pStyle w:val="TableContents"/>
              <w:spacing w:before="0" w:after="283"/>
              <w:rPr>
                <w:sz w:val="4"/>
                <w:szCs w:val="4"/>
              </w:rPr>
            </w:pPr>
            <w:r>
              <w:rPr>
                <w:sz w:val="4"/>
                <w:szCs w:val="4"/>
              </w:rPr>
            </w:r>
          </w:p>
        </w:tc>
        <w:tc>
          <w:tcPr>
            <w:tcW w:w="16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4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4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4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4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 net:</w:t>
            </w:r>
          </w:p>
        </w:tc>
        <w:tc>
          <w:tcPr>
            <w:tcW w:w="16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4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vAlign w:val="center"/>
          </w:tcPr>
          <w:p>
            <w:pPr>
              <w:pStyle w:val="TableContents"/>
              <w:spacing w:before="0" w:after="283"/>
              <w:rPr>
                <w:sz w:val="4"/>
                <w:szCs w:val="4"/>
              </w:rPr>
            </w:pPr>
            <w:r>
              <w:rPr>
                <w:sz w:val="4"/>
                <w:szCs w:val="4"/>
              </w:rPr>
            </w:r>
          </w:p>
        </w:tc>
        <w:tc>
          <w:tcPr>
            <w:tcW w:w="1621" w:type="dxa"/>
            <w:gridSpan w:val="3"/>
            <w:tcBorders/>
            <w:shd w:fill="auto" w:val="clear"/>
            <w:vAlign w:val="center"/>
          </w:tcPr>
          <w:p>
            <w:pPr>
              <w:pStyle w:val="TableContents"/>
              <w:spacing w:before="0" w:after="283"/>
              <w:rPr>
                <w:sz w:val="4"/>
                <w:szCs w:val="4"/>
              </w:rPr>
            </w:pPr>
            <w:r>
              <w:rPr>
                <w:sz w:val="4"/>
                <w:szCs w:val="4"/>
              </w:rPr>
            </w:r>
          </w:p>
        </w:tc>
        <w:tc>
          <w:tcPr>
            <w:tcW w:w="564" w:type="dxa"/>
            <w:gridSpan w:val="3"/>
            <w:tcBorders/>
            <w:shd w:fill="auto" w:val="clear"/>
            <w:vAlign w:val="center"/>
          </w:tcPr>
          <w:p>
            <w:pPr>
              <w:pStyle w:val="TableContents"/>
              <w:spacing w:before="0" w:after="283"/>
              <w:rPr>
                <w:sz w:val="4"/>
                <w:szCs w:val="4"/>
              </w:rPr>
            </w:pPr>
            <w:r>
              <w:rPr>
                <w:sz w:val="4"/>
                <w:szCs w:val="4"/>
              </w:rPr>
            </w:r>
          </w:p>
        </w:tc>
        <w:tc>
          <w:tcPr>
            <w:tcW w:w="16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expenses, net</w:t>
            </w:r>
          </w:p>
        </w:tc>
        <w:tc>
          <w:tcPr>
            <w:tcW w:w="14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 expense</w:t>
            </w:r>
          </w:p>
        </w:tc>
        <w:tc>
          <w:tcPr>
            <w:tcW w:w="14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4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per share - Basic </w:t>
            </w:r>
          </w:p>
        </w:tc>
        <w:tc>
          <w:tcPr>
            <w:tcW w:w="3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per share - Diluted </w:t>
            </w:r>
          </w:p>
        </w:tc>
        <w:tc>
          <w:tcPr>
            <w:tcW w:w="36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5.52 </w:t>
            </w:r>
          </w:p>
        </w:tc>
        <w:tc>
          <w:tcPr>
            <w:tcW w:w="188"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188"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color w:val="0F7C7F"/>
          <w:sz w:val="24"/>
        </w:rPr>
      </w:pPr>
      <w:r>
        <w:rPr>
          <w:rFonts w:ascii="Arial;sans-serif" w:hAnsi="Arial;sans-serif"/>
          <w:b/>
          <w:color w:val="0F7C7F"/>
          <w:sz w:val="24"/>
        </w:rPr>
        <w:t>CONSOLIDATED STATEMENTS OF COMPREHENSIVE INCOME</w:t>
      </w:r>
    </w:p>
    <w:tbl>
      <w:tblPr>
        <w:tblW w:w="6671" w:type="dxa"/>
        <w:jc w:val="left"/>
        <w:tblInd w:w="0" w:type="dxa"/>
        <w:tblCellMar>
          <w:top w:w="28" w:type="dxa"/>
          <w:left w:w="28" w:type="dxa"/>
          <w:bottom w:w="28" w:type="dxa"/>
          <w:right w:w="28" w:type="dxa"/>
        </w:tblCellMar>
      </w:tblPr>
      <w:tblGrid>
        <w:gridCol w:w="1317"/>
        <w:gridCol w:w="1156"/>
        <w:gridCol w:w="1171"/>
        <w:gridCol w:w="283"/>
        <w:gridCol w:w="625"/>
        <w:gridCol w:w="146"/>
        <w:gridCol w:w="146"/>
        <w:gridCol w:w="146"/>
        <w:gridCol w:w="146"/>
        <w:gridCol w:w="283"/>
        <w:gridCol w:w="625"/>
        <w:gridCol w:w="146"/>
        <w:gridCol w:w="109"/>
        <w:gridCol w:w="109"/>
        <w:gridCol w:w="109"/>
        <w:gridCol w:w="154"/>
      </w:tblGrid>
      <w:tr>
        <w:trPr/>
        <w:tc>
          <w:tcPr>
            <w:tcW w:w="1317"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br/>
              <w:t>(Unaudited)</w:t>
            </w:r>
          </w:p>
        </w:tc>
        <w:tc>
          <w:tcPr>
            <w:tcW w:w="481" w:type="dxa"/>
            <w:gridSpan w:val="4"/>
            <w:tcBorders/>
            <w:shd w:fill="auto" w:val="clea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gain (loss):</w:t>
            </w:r>
          </w:p>
        </w:tc>
        <w:tc>
          <w:tcPr>
            <w:tcW w:w="1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investment gain (loss)</w:t>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Less: effect of income taxes</w:t>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comprehensive gain (loss), net of tax </w:t>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80" w:after="283"/>
        <w:rPr>
          <w:rFonts w:ascii="Arial;sans-serif" w:hAnsi="Arial;sans-serif"/>
          <w:b w:val="false"/>
          <w:color w:val="000000"/>
          <w:sz w:val="18"/>
        </w:rPr>
      </w:pPr>
      <w:r>
        <w:rPr>
          <w:rFonts w:ascii="Arial;sans-serif" w:hAnsi="Arial;sans-serif"/>
          <w:b w:val="false"/>
          <w:color w:val="000000"/>
          <w:sz w:val="18"/>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3</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0" w:after="0"/>
        <w:rPr>
          <w:rFonts w:ascii="Arial;sans-serif" w:hAnsi="Arial;sans-serif"/>
          <w:b/>
          <w:color w:val="0F7C7F"/>
          <w:sz w:val="24"/>
        </w:rPr>
      </w:pPr>
      <w:r>
        <w:rPr>
          <w:rFonts w:ascii="Arial;sans-serif" w:hAnsi="Arial;sans-serif"/>
          <w:b/>
          <w:color w:val="0F7C7F"/>
          <w:sz w:val="24"/>
        </w:rPr>
        <w:t>CONSOLIDATED BALANCE SHEETS</w:t>
      </w:r>
    </w:p>
    <w:tbl>
      <w:tblPr>
        <w:tblW w:w="10205" w:type="dxa"/>
        <w:jc w:val="left"/>
        <w:tblInd w:w="0" w:type="dxa"/>
        <w:tblCellMar>
          <w:top w:w="28" w:type="dxa"/>
          <w:left w:w="28" w:type="dxa"/>
          <w:bottom w:w="28" w:type="dxa"/>
          <w:right w:w="28" w:type="dxa"/>
        </w:tblCellMar>
      </w:tblPr>
      <w:tblGrid>
        <w:gridCol w:w="2868"/>
        <w:gridCol w:w="2382"/>
        <w:gridCol w:w="2364"/>
        <w:gridCol w:w="212"/>
        <w:gridCol w:w="724"/>
        <w:gridCol w:w="109"/>
        <w:gridCol w:w="109"/>
        <w:gridCol w:w="109"/>
        <w:gridCol w:w="109"/>
        <w:gridCol w:w="236"/>
        <w:gridCol w:w="807"/>
        <w:gridCol w:w="176"/>
      </w:tblGrid>
      <w:tr>
        <w:trPr/>
        <w:tc>
          <w:tcPr>
            <w:tcW w:w="2868" w:type="dxa"/>
            <w:tcBorders/>
            <w:shd w:fill="auto" w:val="clear"/>
            <w:vAlign w:val="center"/>
          </w:tcPr>
          <w:p>
            <w:pPr>
              <w:pStyle w:val="TableContents"/>
              <w:spacing w:before="0" w:after="283"/>
              <w:rPr>
                <w:sz w:val="4"/>
                <w:szCs w:val="4"/>
              </w:rPr>
            </w:pPr>
            <w:r>
              <w:rPr>
                <w:sz w:val="4"/>
                <w:szCs w:val="4"/>
              </w:rPr>
            </w:r>
          </w:p>
        </w:tc>
        <w:tc>
          <w:tcPr>
            <w:tcW w:w="2382" w:type="dxa"/>
            <w:tcBorders/>
            <w:shd w:fill="auto" w:val="clear"/>
            <w:vAlign w:val="center"/>
          </w:tcPr>
          <w:p>
            <w:pPr>
              <w:pStyle w:val="TableContents"/>
              <w:spacing w:before="0" w:after="283"/>
              <w:rPr>
                <w:sz w:val="4"/>
                <w:szCs w:val="4"/>
              </w:rPr>
            </w:pPr>
            <w:r>
              <w:rPr>
                <w:sz w:val="4"/>
                <w:szCs w:val="4"/>
              </w:rPr>
            </w:r>
          </w:p>
        </w:tc>
        <w:tc>
          <w:tcPr>
            <w:tcW w:w="2364"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2022</w:t>
            </w:r>
          </w:p>
        </w:tc>
      </w:tr>
      <w:tr>
        <w:trPr/>
        <w:tc>
          <w:tcPr>
            <w:tcW w:w="7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br/>
              <w:t>except per-share amounts)</w:t>
            </w:r>
          </w:p>
        </w:tc>
      </w:tr>
      <w:tr>
        <w:trPr/>
        <w:tc>
          <w:tcPr>
            <w:tcW w:w="7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3,499 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w:t>
            </w:r>
          </w:p>
        </w:tc>
        <w:tc>
          <w:tcPr>
            <w:tcW w:w="9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equipment, and capitalized software, net</w:t>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intangible assets, net</w:t>
            </w:r>
          </w:p>
        </w:tc>
        <w:tc>
          <w:tcPr>
            <w:tcW w:w="9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investments</w:t>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Deferred income taxes </w:t>
            </w:r>
          </w:p>
        </w:tc>
        <w:tc>
          <w:tcPr>
            <w:tcW w:w="9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12,314 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LIABILITIES AND STOCKHOLDERS’ EQUITY</w:t>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claims and benefits payable</w:t>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3,528 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Amounts due government agencies </w:t>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2,079 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accrued liabilities and other</w:t>
            </w:r>
          </w:p>
        </w:tc>
        <w:tc>
          <w:tcPr>
            <w:tcW w:w="9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liabilities</w:t>
            </w:r>
          </w:p>
        </w:tc>
        <w:tc>
          <w:tcPr>
            <w:tcW w:w="9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0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Common stock, $0.001 par value, 150 million shares authorized; outstanding: 58 million shares at March 31, 2023 and December 31, 2022</w:t>
            </w:r>
          </w:p>
        </w:tc>
        <w:tc>
          <w:tcPr>
            <w:tcW w:w="9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Preferred stock, $0.001 par value; 20 million shares authorized, no shares issued and outstanding</w:t>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9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9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12,314 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rPr>
          <w:rFonts w:ascii="Arial;sans-serif" w:hAnsi="Arial;sans-serif"/>
          <w:b w:val="false"/>
          <w:color w:val="000000"/>
          <w:sz w:val="18"/>
        </w:rPr>
      </w:pPr>
      <w:r>
        <w:rPr>
          <w:rFonts w:ascii="Arial;sans-serif" w:hAnsi="Arial;sans-serif"/>
          <w:b w:val="false"/>
          <w:color w:val="000000"/>
          <w:sz w:val="18"/>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4</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0" w:after="0"/>
        <w:rPr>
          <w:rFonts w:ascii="Arial;sans-serif" w:hAnsi="Arial;sans-serif"/>
          <w:b/>
          <w:color w:val="0F7C7F"/>
          <w:sz w:val="24"/>
        </w:rPr>
      </w:pPr>
      <w:r>
        <w:rPr>
          <w:rFonts w:ascii="Arial;sans-serif" w:hAnsi="Arial;sans-serif"/>
          <w:b/>
          <w:color w:val="0F7C7F"/>
          <w:sz w:val="24"/>
        </w:rPr>
        <w:t>CONSOLIDATED STATEMENTS OF STOCKHOLDERS’ EQUITY</w:t>
      </w:r>
    </w:p>
    <w:tbl>
      <w:tblPr>
        <w:tblW w:w="10205" w:type="dxa"/>
        <w:jc w:val="center"/>
        <w:tblInd w:w="0" w:type="dxa"/>
        <w:tblCellMar>
          <w:top w:w="28" w:type="dxa"/>
          <w:left w:w="28" w:type="dxa"/>
          <w:bottom w:w="28" w:type="dxa"/>
          <w:right w:w="28" w:type="dxa"/>
        </w:tblCellMar>
      </w:tblPr>
      <w:tblGrid>
        <w:gridCol w:w="875"/>
        <w:gridCol w:w="565"/>
        <w:gridCol w:w="567"/>
        <w:gridCol w:w="370"/>
        <w:gridCol w:w="370"/>
        <w:gridCol w:w="371"/>
        <w:gridCol w:w="109"/>
        <w:gridCol w:w="109"/>
        <w:gridCol w:w="109"/>
        <w:gridCol w:w="218"/>
        <w:gridCol w:w="419"/>
        <w:gridCol w:w="114"/>
        <w:gridCol w:w="109"/>
        <w:gridCol w:w="109"/>
        <w:gridCol w:w="109"/>
        <w:gridCol w:w="249"/>
        <w:gridCol w:w="551"/>
        <w:gridCol w:w="131"/>
        <w:gridCol w:w="109"/>
        <w:gridCol w:w="109"/>
        <w:gridCol w:w="109"/>
        <w:gridCol w:w="486"/>
        <w:gridCol w:w="1111"/>
        <w:gridCol w:w="253"/>
        <w:gridCol w:w="109"/>
        <w:gridCol w:w="109"/>
        <w:gridCol w:w="109"/>
        <w:gridCol w:w="211"/>
        <w:gridCol w:w="616"/>
        <w:gridCol w:w="109"/>
        <w:gridCol w:w="109"/>
        <w:gridCol w:w="109"/>
        <w:gridCol w:w="109"/>
        <w:gridCol w:w="211"/>
        <w:gridCol w:w="616"/>
        <w:gridCol w:w="157"/>
      </w:tblGrid>
      <w:tr>
        <w:trPr/>
        <w:tc>
          <w:tcPr>
            <w:tcW w:w="875"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 (Loss)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0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8"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0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8"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r>
      <w:tr>
        <w:trPr/>
        <w:tc>
          <w:tcPr>
            <w:tcW w:w="20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2022</w:t>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3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net</w:t>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2023</w:t>
            </w:r>
          </w:p>
        </w:tc>
        <w:tc>
          <w:tcPr>
            <w:tcW w:w="7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20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936"/>
        <w:gridCol w:w="784"/>
        <w:gridCol w:w="787"/>
        <w:gridCol w:w="370"/>
        <w:gridCol w:w="370"/>
        <w:gridCol w:w="371"/>
        <w:gridCol w:w="109"/>
        <w:gridCol w:w="109"/>
        <w:gridCol w:w="109"/>
        <w:gridCol w:w="218"/>
        <w:gridCol w:w="419"/>
        <w:gridCol w:w="114"/>
        <w:gridCol w:w="109"/>
        <w:gridCol w:w="109"/>
        <w:gridCol w:w="109"/>
        <w:gridCol w:w="249"/>
        <w:gridCol w:w="551"/>
        <w:gridCol w:w="131"/>
        <w:gridCol w:w="109"/>
        <w:gridCol w:w="109"/>
        <w:gridCol w:w="109"/>
        <w:gridCol w:w="409"/>
        <w:gridCol w:w="729"/>
        <w:gridCol w:w="213"/>
        <w:gridCol w:w="109"/>
        <w:gridCol w:w="109"/>
        <w:gridCol w:w="109"/>
        <w:gridCol w:w="211"/>
        <w:gridCol w:w="616"/>
        <w:gridCol w:w="109"/>
        <w:gridCol w:w="109"/>
        <w:gridCol w:w="109"/>
        <w:gridCol w:w="109"/>
        <w:gridCol w:w="211"/>
        <w:gridCol w:w="616"/>
        <w:gridCol w:w="156"/>
      </w:tblGrid>
      <w:tr>
        <w:trPr/>
        <w:tc>
          <w:tcPr>
            <w:tcW w:w="936"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8"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8"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r>
      <w:tr>
        <w:trPr/>
        <w:tc>
          <w:tcPr>
            <w:tcW w:w="25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2021</w:t>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3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net</w:t>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2022</w:t>
            </w:r>
          </w:p>
        </w:tc>
        <w:tc>
          <w:tcPr>
            <w:tcW w:w="7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250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80" w:after="283"/>
        <w:rPr>
          <w:rFonts w:ascii="Arial;sans-serif" w:hAnsi="Arial;sans-serif"/>
          <w:b w:val="false"/>
          <w:color w:val="000000"/>
          <w:sz w:val="18"/>
        </w:rPr>
      </w:pPr>
      <w:r>
        <w:rPr>
          <w:rFonts w:ascii="Arial;sans-serif" w:hAnsi="Arial;sans-serif"/>
          <w:b w:val="false"/>
          <w:color w:val="000000"/>
          <w:sz w:val="18"/>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5</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0" w:after="0"/>
        <w:rPr>
          <w:rFonts w:ascii="Arial;sans-serif" w:hAnsi="Arial;sans-serif"/>
          <w:b/>
          <w:color w:val="0F7C7F"/>
          <w:sz w:val="24"/>
        </w:rPr>
      </w:pPr>
      <w:r>
        <w:rPr>
          <w:rFonts w:ascii="Arial;sans-serif" w:hAnsi="Arial;sans-serif"/>
          <w:b/>
          <w:color w:val="0F7C7F"/>
          <w:sz w:val="24"/>
        </w:rPr>
        <w:t>CONSOLIDATED STATEMENTS OF CASH FLOWS</w:t>
      </w:r>
    </w:p>
    <w:tbl>
      <w:tblPr>
        <w:tblW w:w="9868" w:type="dxa"/>
        <w:jc w:val="left"/>
        <w:tblInd w:w="0" w:type="dxa"/>
        <w:tblCellMar>
          <w:top w:w="28" w:type="dxa"/>
          <w:left w:w="28" w:type="dxa"/>
          <w:bottom w:w="28" w:type="dxa"/>
          <w:right w:w="28" w:type="dxa"/>
        </w:tblCellMar>
      </w:tblPr>
      <w:tblGrid>
        <w:gridCol w:w="2633"/>
        <w:gridCol w:w="2312"/>
        <w:gridCol w:w="2329"/>
        <w:gridCol w:w="244"/>
        <w:gridCol w:w="712"/>
        <w:gridCol w:w="126"/>
        <w:gridCol w:w="126"/>
        <w:gridCol w:w="126"/>
        <w:gridCol w:w="126"/>
        <w:gridCol w:w="244"/>
        <w:gridCol w:w="712"/>
        <w:gridCol w:w="178"/>
      </w:tblGrid>
      <w:tr>
        <w:trPr/>
        <w:tc>
          <w:tcPr>
            <w:tcW w:w="2633" w:type="dxa"/>
            <w:tcBorders/>
            <w:shd w:fill="auto" w:val="clear"/>
            <w:vAlign w:val="center"/>
          </w:tcPr>
          <w:p>
            <w:pPr>
              <w:pStyle w:val="TableContents"/>
              <w:spacing w:before="0" w:after="283"/>
              <w:rPr>
                <w:sz w:val="4"/>
                <w:szCs w:val="4"/>
              </w:rPr>
            </w:pPr>
            <w:r>
              <w:rPr>
                <w:sz w:val="4"/>
                <w:szCs w:val="4"/>
              </w:rPr>
            </w:r>
          </w:p>
        </w:tc>
        <w:tc>
          <w:tcPr>
            <w:tcW w:w="2312" w:type="dxa"/>
            <w:tcBorders/>
            <w:shd w:fill="auto" w:val="clear"/>
            <w:vAlign w:val="center"/>
          </w:tcPr>
          <w:p>
            <w:pPr>
              <w:pStyle w:val="TableContents"/>
              <w:spacing w:before="0" w:after="283"/>
              <w:rPr>
                <w:sz w:val="4"/>
                <w:szCs w:val="4"/>
              </w:rPr>
            </w:pPr>
            <w:r>
              <w:rPr>
                <w:sz w:val="4"/>
                <w:szCs w:val="4"/>
              </w:rPr>
            </w:r>
          </w:p>
        </w:tc>
        <w:tc>
          <w:tcPr>
            <w:tcW w:w="232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7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br/>
              <w:t>(Unaudited)</w:t>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10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0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0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w:t>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claims and benefits payable</w:t>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Amounts due government agencies </w:t>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accrued liabilities and other</w:t>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w:t>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investments</w:t>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and maturities of investments</w:t>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equipment and capitalized software</w:t>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provided by investing activities</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withheld to settle employee tax obligations</w:t>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consideration liabilities settled</w:t>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in cash, cash equivalents, and restricted cash and cash equivalents</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and cash equivalents at beginning of period</w:t>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4,048 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4,506 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and cash equivalents at end of period</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6</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120" w:after="120"/>
        <w:rPr>
          <w:rFonts w:ascii="Arial;sans-serif" w:hAnsi="Arial;sans-serif"/>
          <w:b/>
          <w:color w:val="0F7C7F"/>
          <w:sz w:val="24"/>
        </w:rPr>
      </w:pPr>
      <w:r>
        <w:rPr>
          <w:rFonts w:ascii="Arial;sans-serif" w:hAnsi="Arial;sans-serif"/>
          <w:b/>
          <w:color w:val="0F7C7F"/>
          <w:sz w:val="24"/>
        </w:rPr>
        <w:t xml:space="preserve">NOTES TO CONSOLIDATED FINANCIAL STATEMENTS (UNAUDITED) </w:t>
      </w: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 xml:space="preserve">MARCH 31, 2023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828282"/>
          <w:sz w:val="20"/>
        </w:rPr>
      </w:pPr>
      <w:r>
        <w:rPr>
          <w:rFonts w:ascii="Arial;sans-serif" w:hAnsi="Arial;sans-serif"/>
          <w:b/>
          <w:color w:val="828282"/>
          <w:sz w:val="20"/>
        </w:rPr>
        <w:t xml:space="preserve">1. Organization and Basis of Presentation </w:t>
      </w:r>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Organization and Operations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Molina Healthcare, Inc. provides managed healthcare services under the Medicaid and Medicare programs, and through the state insurance marketplaces (the “Marketplace”). We currently have four reportable segments consisting of: 1) Medicaid; 2) Medicare; 3) Marketplace; and 4) Other. Our reportable segments are consistent with how we currently manage the business and view the markets we serve.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As of March 31, 2023, we served approximately 5.3 million members eligible for government-sponsored healthcare programs, located across 19 states.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(“RFPs”) open to competitive bidding by other health plans. If one of our health plans is not a successful responsive bidder to a state RFP, its contract may not be renewed.</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In Medicare, we enter into Medicare Advantage-Part D contracts with the Centers for Medicare and Medicaid Services (“CMS”) annually, and for dual-eligible plans, we enter into contracts with CMS, in partnership with each state’s department of health and human services. Such contracts typically have terms of one to three years.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In Marketplace, we enter into contracts with CMS, which end on December 31 of each year, and must be renewed annually. </w:t>
      </w:r>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Recent Developments</w:t>
      </w:r>
    </w:p>
    <w:p>
      <w:pPr>
        <w:pStyle w:val="TextBody"/>
        <w:spacing w:lineRule="auto" w:line="288" w:before="120" w:after="120"/>
        <w:rPr/>
      </w:pPr>
      <w:r>
        <w:rPr>
          <w:rFonts w:ascii="Arial;sans-serif" w:hAnsi="Arial;sans-serif"/>
          <w:b w:val="false"/>
          <w:i/>
          <w:color w:val="000000"/>
          <w:sz w:val="20"/>
        </w:rPr>
        <w:t xml:space="preserve">Indiana Procurement—Medicaid. </w:t>
      </w:r>
      <w:r>
        <w:rPr>
          <w:rFonts w:ascii="Arial;sans-serif" w:hAnsi="Arial;sans-serif"/>
          <w:b w:val="false"/>
          <w:color w:val="000000"/>
          <w:sz w:val="20"/>
        </w:rPr>
        <w:t xml:space="preserve">In March 2023, we announced that the Indiana Department of Administration has recommended that contract negotiations begin with our Indiana health plan. Under the proposed contract with the Indiana Family and Social Services Administration (“FSSA”), we are expected to provide risk-based managed care long term services and supports as part of the Indiana Pathways for Aging LTSS program pursuant to the request for proposal issued by FSSA in February 2022. The new contract is expected to have an initial four-year term, with the potential for two one-year renewal terms. </w:t>
      </w:r>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Consolidation and Interim Financial Information</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consolidated financial statements include the accounts of Molina Healthcare, Inc., and its subsidiaries. In the opinion of management, these financial statements reflect all normal recurring adjustments, which are considered necessary for a fair presentation of the results as of the dates and for the interim periods presented. All significant intercompany balances and transactions have been eliminated. The consolidated results of operations for the three months ended March 31, 2023 are not necessarily indicative of the results for the entire year ending December 31, 2023.</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The unaudited consolidated interim financial statements have been prepared under the assumption that users of the interim financial data have either read or have access to our audited consolidated financial statements for the fiscal year ended December 31, 2022. Accordingly, certain disclosures that would substantially duplicate the disclosures contained in our December 31, 2022, audited consolidated financial statements have been omitted. These unaudited consolidated interim financial statements should be read in conjunction with our audited consolidated financial statements for the fiscal year ended December 31, 2022. </w:t>
      </w:r>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Use of Estimates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7</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120" w:after="120"/>
        <w:rPr/>
      </w:pPr>
      <w:r>
        <w:rPr>
          <w:rFonts w:ascii="Arial;sans-serif" w:hAnsi="Arial;sans-serif"/>
          <w:b/>
          <w:color w:val="828282"/>
          <w:sz w:val="20"/>
        </w:rPr>
        <w:t>2. Significant Accounting Policies</w:t>
      </w:r>
      <w:r>
        <w:rPr>
          <w:color w:val="000000"/>
        </w:rPr>
        <w:t xml:space="preserve"> </w:t>
      </w:r>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Cash and Cash Equivalents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Cash and cash equivalents consist of cash and short-term, highly liquid investments that are both readily convertible into known amounts of cash and have a maturity of three months or less on the date of purchase. The following table provides a reconciliation of cash and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tbl>
      <w:tblPr>
        <w:tblW w:w="10205" w:type="dxa"/>
        <w:jc w:val="center"/>
        <w:tblInd w:w="0" w:type="dxa"/>
        <w:tblCellMar>
          <w:top w:w="28" w:type="dxa"/>
          <w:left w:w="28" w:type="dxa"/>
          <w:bottom w:w="28" w:type="dxa"/>
          <w:right w:w="28" w:type="dxa"/>
        </w:tblCellMar>
      </w:tblPr>
      <w:tblGrid>
        <w:gridCol w:w="2882"/>
        <w:gridCol w:w="2532"/>
        <w:gridCol w:w="2545"/>
        <w:gridCol w:w="211"/>
        <w:gridCol w:w="616"/>
        <w:gridCol w:w="109"/>
        <w:gridCol w:w="109"/>
        <w:gridCol w:w="109"/>
        <w:gridCol w:w="109"/>
        <w:gridCol w:w="211"/>
        <w:gridCol w:w="616"/>
        <w:gridCol w:w="156"/>
      </w:tblGrid>
      <w:tr>
        <w:trPr/>
        <w:tc>
          <w:tcPr>
            <w:tcW w:w="2882" w:type="dxa"/>
            <w:tcBorders/>
            <w:shd w:fill="auto" w:val="clear"/>
            <w:vAlign w:val="center"/>
          </w:tcPr>
          <w:p>
            <w:pPr>
              <w:pStyle w:val="TableContents"/>
              <w:spacing w:before="0" w:after="283"/>
              <w:rPr>
                <w:sz w:val="4"/>
                <w:szCs w:val="4"/>
              </w:rPr>
            </w:pPr>
            <w:r>
              <w:rPr>
                <w:sz w:val="4"/>
                <w:szCs w:val="4"/>
              </w:rPr>
            </w:r>
          </w:p>
        </w:tc>
        <w:tc>
          <w:tcPr>
            <w:tcW w:w="2532" w:type="dxa"/>
            <w:tcBorders/>
            <w:shd w:fill="auto" w:val="clear"/>
            <w:vAlign w:val="center"/>
          </w:tcPr>
          <w:p>
            <w:pPr>
              <w:pStyle w:val="TableContents"/>
              <w:spacing w:before="0" w:after="283"/>
              <w:rPr>
                <w:sz w:val="4"/>
                <w:szCs w:val="4"/>
              </w:rPr>
            </w:pPr>
            <w:r>
              <w:rPr>
                <w:sz w:val="4"/>
                <w:szCs w:val="4"/>
              </w:rPr>
            </w:r>
          </w:p>
        </w:tc>
        <w:tc>
          <w:tcPr>
            <w:tcW w:w="25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6"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r>
      <w:tr>
        <w:trPr/>
        <w:tc>
          <w:tcPr>
            <w:tcW w:w="7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7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6"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7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and cash equivalents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cash, cash equivalents, and restricted cash and cash equivalents presented in the consolidated statements of cash flows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Receivables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Receivables consist primarily of premium amounts due from government agencies, which are subject to potential retroactive adjustments. Because substantially all of our receivable amounts are readily determinable and substantially all of our creditors are governmental authorities, our allowance for credit losses is insignificant. Any amounts determined to be uncollectible are charged to expense when such determination is made.</w:t>
      </w:r>
    </w:p>
    <w:tbl>
      <w:tblPr>
        <w:tblW w:w="4984" w:type="dxa"/>
        <w:jc w:val="left"/>
        <w:tblInd w:w="0" w:type="dxa"/>
        <w:tblCellMar>
          <w:top w:w="28" w:type="dxa"/>
          <w:left w:w="28" w:type="dxa"/>
          <w:bottom w:w="28" w:type="dxa"/>
          <w:right w:w="28" w:type="dxa"/>
        </w:tblCellMar>
      </w:tblPr>
      <w:tblGrid>
        <w:gridCol w:w="908"/>
        <w:gridCol w:w="796"/>
        <w:gridCol w:w="801"/>
        <w:gridCol w:w="211"/>
        <w:gridCol w:w="616"/>
        <w:gridCol w:w="109"/>
        <w:gridCol w:w="109"/>
        <w:gridCol w:w="109"/>
        <w:gridCol w:w="109"/>
        <w:gridCol w:w="261"/>
        <w:gridCol w:w="763"/>
        <w:gridCol w:w="192"/>
      </w:tblGrid>
      <w:tr>
        <w:trPr/>
        <w:tc>
          <w:tcPr>
            <w:tcW w:w="908"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2022</w:t>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Government receivables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1,702 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Pharmacy rebate receivables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2,302 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Premium Revenue Recognition and Amounts Due Government Agencies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Premium revenue is generated from our contracts with state and federal agencies, in connection with our participation in the Medicaid, Medicare, and Marketplace programs.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State Medicaid programs and the federal Medicare program periodically adjust premium rates, including certain components of premium revenue that are subject to accounting estimates and are described below, and in our 2022 Annual Report on Form 10-K, Note 2, “Significant Accounting Policies,” under “Contractual Provisions That May Adjust or Limit Revenue or Profit,” and “Quality Incentives.”</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8</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120" w:after="283"/>
        <w:rPr>
          <w:rFonts w:ascii="Arial;sans-serif" w:hAnsi="Arial;sans-serif"/>
          <w:b/>
          <w:color w:val="000000"/>
          <w:sz w:val="20"/>
        </w:rPr>
      </w:pPr>
      <w:r>
        <w:rPr>
          <w:rFonts w:ascii="Arial;sans-serif" w:hAnsi="Arial;sans-serif"/>
          <w:b/>
          <w:color w:val="000000"/>
          <w:sz w:val="20"/>
        </w:rPr>
        <w:t>Contractual Provisions That May Adjust or Limit Revenue or Profit</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Many of our contracts contain provisions that may adjust or limit revenue or profit, as described below. Consequently, we recognize premium revenue as it is earned under such provisions. Liabilities accrued for premiums to be returned under such provisions are reported in the aggregate as “Amounts due government agencies,” in the accompanying consolidated balance sheets. Categorized by program, such amounts due government agencies included the following:</w:t>
      </w:r>
    </w:p>
    <w:tbl>
      <w:tblPr>
        <w:tblW w:w="6108" w:type="dxa"/>
        <w:jc w:val="center"/>
        <w:tblInd w:w="0" w:type="dxa"/>
        <w:tblCellMar>
          <w:top w:w="28" w:type="dxa"/>
          <w:left w:w="28" w:type="dxa"/>
          <w:bottom w:w="28" w:type="dxa"/>
          <w:right w:w="28" w:type="dxa"/>
        </w:tblCellMar>
      </w:tblPr>
      <w:tblGrid>
        <w:gridCol w:w="1313"/>
        <w:gridCol w:w="1155"/>
        <w:gridCol w:w="1161"/>
        <w:gridCol w:w="211"/>
        <w:gridCol w:w="616"/>
        <w:gridCol w:w="109"/>
        <w:gridCol w:w="109"/>
        <w:gridCol w:w="109"/>
        <w:gridCol w:w="109"/>
        <w:gridCol w:w="261"/>
        <w:gridCol w:w="763"/>
        <w:gridCol w:w="192"/>
      </w:tblGrid>
      <w:tr>
        <w:trPr/>
        <w:tc>
          <w:tcPr>
            <w:tcW w:w="1313"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2022</w:t>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Medicaid program:</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Minimum MLR, corridors, and profit sharing</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premium adjustments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Medicare program:</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Minimum MLR and profit sharing </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Risk adjustment and Part D risk sharing</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premium adjustments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Marketplace program:</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Risk adjustment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Minimum MLR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premium adjustments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amounts due government agencies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2,079 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120"/>
        <w:rPr>
          <w:rFonts w:ascii="Arial;sans-serif" w:hAnsi="Arial;sans-serif"/>
          <w:b w:val="false"/>
          <w:color w:val="000000"/>
          <w:sz w:val="20"/>
          <w:u w:val="single"/>
        </w:rPr>
      </w:pPr>
      <w:r>
        <w:rPr>
          <w:rFonts w:ascii="Arial;sans-serif" w:hAnsi="Arial;sans-serif"/>
          <w:b w:val="false"/>
          <w:color w:val="000000"/>
          <w:sz w:val="20"/>
          <w:u w:val="single"/>
        </w:rPr>
        <w:t>Medicaid Program</w:t>
      </w:r>
    </w:p>
    <w:p>
      <w:pPr>
        <w:pStyle w:val="TextBody"/>
        <w:spacing w:lineRule="auto" w:line="288" w:before="120" w:after="120"/>
        <w:rPr/>
      </w:pPr>
      <w:r>
        <w:rPr>
          <w:rFonts w:ascii="Arial;sans-serif" w:hAnsi="Arial;sans-serif"/>
          <w:b w:val="false"/>
          <w:i/>
          <w:color w:val="000000"/>
          <w:sz w:val="20"/>
        </w:rPr>
        <w:t xml:space="preserve">Minimum MLR and Medical Cost Corridors. </w:t>
      </w:r>
      <w:r>
        <w:rPr>
          <w:rFonts w:ascii="Arial;sans-serif" w:hAnsi="Arial;sans-serif"/>
          <w:b w:val="false"/>
          <w:color w:val="000000"/>
          <w:sz w:val="20"/>
        </w:rPr>
        <w:t>A portion of our premium revenue may be returned if certain minimum amounts are not spent on defined medical care costs as a percentage of premium revenue, or minimum medical loss ratio (“Minimum MLR”). Under certain medical cost corridor provisions, the health plans may refund premiums or receive additional premiums, depending on whether amounts spent on medical care costs fall below or exceed defined thresholds. This includes remaining risk corridors that were enacted by various states in 2020 in response to the reduced demand for medical services stemming from COVID-19.</w:t>
      </w:r>
    </w:p>
    <w:p>
      <w:pPr>
        <w:pStyle w:val="TextBody"/>
        <w:spacing w:lineRule="auto" w:line="288" w:before="120" w:after="120"/>
        <w:rPr/>
      </w:pPr>
      <w:r>
        <w:rPr>
          <w:rFonts w:ascii="Arial;sans-serif" w:hAnsi="Arial;sans-serif"/>
          <w:b w:val="false"/>
          <w:i/>
          <w:color w:val="000000"/>
          <w:sz w:val="20"/>
        </w:rPr>
        <w:t xml:space="preserve">Profit Sharing. </w:t>
      </w:r>
      <w:r>
        <w:rPr>
          <w:rFonts w:ascii="Arial;sans-serif" w:hAnsi="Arial;sans-serif"/>
          <w:b w:val="false"/>
          <w:color w:val="000000"/>
          <w:sz w:val="20"/>
        </w:rPr>
        <w:t>Our contracts with certain states contain profit sharing provisions under which we refund amounts to the states if our health plans generate profit above a certain specified percentage. In some cases, we are limited in the amount of administrative costs that we may deduct in calculating the refund, if any.</w:t>
      </w:r>
    </w:p>
    <w:p>
      <w:pPr>
        <w:pStyle w:val="TextBody"/>
        <w:spacing w:lineRule="auto" w:line="288" w:before="120" w:after="120"/>
        <w:rPr/>
      </w:pPr>
      <w:r>
        <w:rPr>
          <w:rFonts w:ascii="Arial;sans-serif" w:hAnsi="Arial;sans-serif"/>
          <w:b w:val="false"/>
          <w:i/>
          <w:color w:val="000000"/>
          <w:sz w:val="20"/>
        </w:rPr>
        <w:t xml:space="preserve">Other Premium Adjustments. </w:t>
      </w:r>
      <w:r>
        <w:rPr>
          <w:rFonts w:ascii="Arial;sans-serif" w:hAnsi="Arial;sans-serif"/>
          <w:b w:val="false"/>
          <w:color w:val="000000"/>
          <w:sz w:val="20"/>
        </w:rPr>
        <w:t xml:space="preserve">State Medicaid programs periodically adjust premium revenues on a retroactive basis for rate changes and changes in membership and eligibility data. In certain states, adjustments are made based on the health status of our members (as measured through a risk score). In these cases, we adjust our premium revenue in the period in which we determine that the adjustment is probable and reasonably estimable, based on our best estimate of the ultimate premium we expect to realize for the period being adjusted. </w:t>
      </w:r>
    </w:p>
    <w:p>
      <w:pPr>
        <w:pStyle w:val="TextBody"/>
        <w:spacing w:lineRule="auto" w:line="288" w:before="120" w:after="120"/>
        <w:rPr>
          <w:rFonts w:ascii="Arial;sans-serif" w:hAnsi="Arial;sans-serif"/>
          <w:b w:val="false"/>
          <w:color w:val="000000"/>
          <w:sz w:val="20"/>
          <w:u w:val="single"/>
        </w:rPr>
      </w:pPr>
      <w:r>
        <w:rPr>
          <w:rFonts w:ascii="Arial;sans-serif" w:hAnsi="Arial;sans-serif"/>
          <w:b w:val="false"/>
          <w:color w:val="000000"/>
          <w:sz w:val="20"/>
          <w:u w:val="single"/>
        </w:rPr>
        <w:t>Marketplace Program</w:t>
      </w:r>
    </w:p>
    <w:p>
      <w:pPr>
        <w:pStyle w:val="TextBody"/>
        <w:spacing w:lineRule="auto" w:line="268" w:before="0" w:after="0"/>
        <w:rPr/>
      </w:pPr>
      <w:r>
        <w:rPr>
          <w:rFonts w:ascii="Arial;sans-serif" w:hAnsi="Arial;sans-serif"/>
          <w:b w:val="false"/>
          <w:i/>
          <w:color w:val="000000"/>
          <w:sz w:val="20"/>
        </w:rPr>
        <w:t>Risk Adjustment.</w:t>
      </w:r>
      <w:r>
        <w:rPr>
          <w:color w:val="000000"/>
        </w:rPr>
        <w:t xml:space="preserve"> </w:t>
      </w:r>
      <w:r>
        <w:rPr>
          <w:rFonts w:ascii="Arial;sans-serif" w:hAnsi="Arial;sans-serif"/>
          <w:b w:val="false"/>
          <w:color w:val="000000"/>
          <w:sz w:val="20"/>
        </w:rPr>
        <w:t xml:space="preserve">Under this program, our health plans’ composite risk scores are compared with the overall average risk score for the relevant state and market pool. Generally, our health plans will make a risk adjustment payment into the pool if their composite risk scores are below the average risk score for all plan participants in a state (risk adjustment payable), and will receive a risk adjustment payment from the pool if their composite risk scores are above the average risk score for all plan participants in a state (risk adjustment receivable). Under CMS rules, the Marketplace risk adjustment pool is budget neutral. We estimate our ultimate premium based on insurance policy year-to-date experience, and the data submitted and expected to be submitted to CMS, and recognize estimated premiums relating to the risk adjustment program as an adjustment to premium revenue in our consolidated statements of income. As of March 31, 2023, Marketplace risk adjustment estimated payables amounted to $278 million and estimated receivables amounted to $173 million, for a net payable of $105 million. As of December 31, 2022, Marketplace risk adjustment estimated payables amounted to $230 million and estimated receivables amounted to $135 million, for a net payable of $95 million.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9</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100" w:after="100"/>
        <w:rPr>
          <w:rFonts w:ascii="Arial;sans-serif" w:hAnsi="Arial;sans-serif"/>
          <w:b/>
          <w:i/>
          <w:color w:val="000000"/>
          <w:sz w:val="20"/>
        </w:rPr>
      </w:pPr>
      <w:r>
        <w:rPr>
          <w:rFonts w:ascii="Arial;sans-serif" w:hAnsi="Arial;sans-serif"/>
          <w:b/>
          <w:i/>
          <w:color w:val="000000"/>
          <w:sz w:val="20"/>
        </w:rPr>
        <w:t>Concentrations of Credit Risk</w:t>
      </w:r>
    </w:p>
    <w:p>
      <w:pPr>
        <w:pStyle w:val="TextBody"/>
        <w:spacing w:lineRule="auto" w:line="288" w:before="100" w:after="100"/>
        <w:rPr>
          <w:rFonts w:ascii="Arial;sans-serif" w:hAnsi="Arial;sans-serif"/>
          <w:b w:val="false"/>
          <w:color w:val="000000"/>
          <w:sz w:val="20"/>
        </w:rPr>
      </w:pPr>
      <w:r>
        <w:rPr>
          <w:rFonts w:ascii="Arial;sans-serif" w:hAnsi="Arial;sans-serif"/>
          <w:b w:val="false"/>
          <w:color w:val="000000"/>
          <w:sz w:val="20"/>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15 years, or less than 15 years average life for structured securities. Restricted investments are invested principally in cash, cash equivalents, U.S. Treasury securities, and corporate debt securities. Concentration of credit risk with respect to accounts receivable is limited because our payors consist principally of the federal government, and governments of each state in which our health plan subsidiaries operate.</w:t>
      </w:r>
    </w:p>
    <w:p>
      <w:pPr>
        <w:pStyle w:val="TextBody"/>
        <w:spacing w:lineRule="auto" w:line="288" w:before="100" w:after="100"/>
        <w:rPr>
          <w:rFonts w:ascii="Arial;sans-serif" w:hAnsi="Arial;sans-serif"/>
          <w:b/>
          <w:i/>
          <w:color w:val="000000"/>
          <w:sz w:val="20"/>
        </w:rPr>
      </w:pPr>
      <w:r>
        <w:rPr>
          <w:rFonts w:ascii="Arial;sans-serif" w:hAnsi="Arial;sans-serif"/>
          <w:b/>
          <w:i/>
          <w:color w:val="000000"/>
          <w:sz w:val="20"/>
        </w:rPr>
        <w:t xml:space="preserve">Income Taxes </w:t>
      </w:r>
    </w:p>
    <w:p>
      <w:pPr>
        <w:pStyle w:val="TextBody"/>
        <w:spacing w:lineRule="auto" w:line="288" w:before="100" w:after="100"/>
        <w:rPr>
          <w:rFonts w:ascii="Arial;sans-serif" w:hAnsi="Arial;sans-serif"/>
          <w:b w:val="false"/>
          <w:color w:val="000000"/>
          <w:sz w:val="20"/>
        </w:rPr>
      </w:pPr>
      <w:r>
        <w:rPr>
          <w:rFonts w:ascii="Arial;sans-serif" w:hAnsi="Arial;sans-serif"/>
          <w:b w:val="false"/>
          <w:color w:val="000000"/>
          <w:sz w:val="20"/>
        </w:rPr>
        <w:t>The provision for income taxes is determined using an estimated annual effective tax rate, which generally differs from the U.S. federal statutory rate primarily because of foreign and state taxes, and nondeductible expenses such as certain compensation and other general and administrative expenses.</w:t>
      </w:r>
    </w:p>
    <w:p>
      <w:pPr>
        <w:pStyle w:val="TextBody"/>
        <w:spacing w:lineRule="auto" w:line="288" w:before="100" w:after="100"/>
        <w:rPr>
          <w:rFonts w:ascii="Arial;sans-serif" w:hAnsi="Arial;sans-serif"/>
          <w:b w:val="false"/>
          <w:color w:val="000000"/>
          <w:sz w:val="20"/>
        </w:rPr>
      </w:pPr>
      <w:r>
        <w:rPr>
          <w:rFonts w:ascii="Arial;sans-serif" w:hAnsi="Arial;sans-serif"/>
          <w:b w:val="false"/>
          <w:color w:val="000000"/>
          <w:sz w:val="20"/>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pStyle w:val="TextBody"/>
        <w:spacing w:lineRule="auto" w:line="288" w:before="100" w:after="100"/>
        <w:rPr>
          <w:rFonts w:ascii="Arial;sans-serif" w:hAnsi="Arial;sans-serif"/>
          <w:b/>
          <w:i/>
          <w:color w:val="000000"/>
          <w:sz w:val="20"/>
        </w:rPr>
      </w:pPr>
      <w:r>
        <w:rPr>
          <w:rFonts w:ascii="Arial;sans-serif" w:hAnsi="Arial;sans-serif"/>
          <w:b/>
          <w:i/>
          <w:color w:val="000000"/>
          <w:sz w:val="20"/>
        </w:rPr>
        <w:t>Recent Accounting Pronouncements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Recent accounting pronouncements issued by the FASB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 xml:space="preserve">3. Net Income Per Share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following table sets forth the calculation of basic and diluted net income per share:</w:t>
      </w:r>
    </w:p>
    <w:tbl>
      <w:tblPr>
        <w:tblW w:w="7993" w:type="dxa"/>
        <w:jc w:val="left"/>
        <w:tblInd w:w="0" w:type="dxa"/>
        <w:tblCellMar>
          <w:top w:w="28" w:type="dxa"/>
          <w:left w:w="28" w:type="dxa"/>
          <w:bottom w:w="28" w:type="dxa"/>
          <w:right w:w="28" w:type="dxa"/>
        </w:tblCellMar>
      </w:tblPr>
      <w:tblGrid>
        <w:gridCol w:w="1499"/>
        <w:gridCol w:w="1316"/>
        <w:gridCol w:w="1325"/>
        <w:gridCol w:w="358"/>
        <w:gridCol w:w="868"/>
        <w:gridCol w:w="184"/>
        <w:gridCol w:w="184"/>
        <w:gridCol w:w="184"/>
        <w:gridCol w:w="184"/>
        <w:gridCol w:w="358"/>
        <w:gridCol w:w="868"/>
        <w:gridCol w:w="184"/>
        <w:gridCol w:w="109"/>
        <w:gridCol w:w="109"/>
        <w:gridCol w:w="109"/>
        <w:gridCol w:w="154"/>
      </w:tblGrid>
      <w:tr>
        <w:trPr/>
        <w:tc>
          <w:tcPr>
            <w:tcW w:w="1499"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7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net income per share)</w:t>
            </w:r>
          </w:p>
        </w:tc>
        <w:tc>
          <w:tcPr>
            <w:tcW w:w="481" w:type="dxa"/>
            <w:gridSpan w:val="4"/>
            <w:tcBorders/>
            <w:shd w:fill="auto" w:val="clea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i/>
                <w:color w:val="000000"/>
                <w:sz w:val="18"/>
              </w:rPr>
            </w:pPr>
            <w:r>
              <w:rPr>
                <w:rFonts w:ascii="Arial;sans-serif" w:hAnsi="Arial;sans-serif"/>
                <w:b/>
                <w:i/>
                <w:color w:val="000000"/>
                <w:sz w:val="18"/>
              </w:rPr>
              <w:t>Numerator:</w:t>
            </w:r>
          </w:p>
        </w:tc>
        <w:tc>
          <w:tcPr>
            <w:tcW w:w="14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i/>
                <w:color w:val="000000"/>
                <w:sz w:val="18"/>
              </w:rPr>
            </w:pPr>
            <w:r>
              <w:rPr>
                <w:rFonts w:ascii="Arial;sans-serif" w:hAnsi="Arial;sans-serif"/>
                <w:b/>
                <w:i/>
                <w:color w:val="000000"/>
                <w:sz w:val="18"/>
              </w:rPr>
              <w:t>Denominator:</w:t>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outstanding at the beginning of the period</w:t>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number of shares issued:</w:t>
            </w:r>
          </w:p>
        </w:tc>
        <w:tc>
          <w:tcPr>
            <w:tcW w:w="14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Denominator for basic net income per share</w:t>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Effect of dilutive securities: </w:t>
            </w:r>
            <w:r>
              <w:rPr>
                <w:rFonts w:ascii="Arial;sans-serif" w:hAnsi="Arial;sans-serif"/>
                <w:b w:val="false"/>
                <w:color w:val="000000"/>
                <w:sz w:val="12"/>
              </w:rPr>
              <w:t>(1)</w:t>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Denominator for diluted net income per share</w:t>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Net income per share - Basic </w:t>
            </w:r>
            <w:r>
              <w:rPr>
                <w:rFonts w:ascii="Arial;sans-serif" w:hAnsi="Arial;sans-serif"/>
                <w:b w:val="false"/>
                <w:color w:val="000000"/>
                <w:sz w:val="12"/>
              </w:rPr>
              <w:t>(2)</w:t>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Net income per share - Diluted </w:t>
            </w:r>
            <w:r>
              <w:rPr>
                <w:rFonts w:ascii="Arial;sans-serif" w:hAnsi="Arial;sans-serif"/>
                <w:b w:val="false"/>
                <w:color w:val="000000"/>
                <w:sz w:val="12"/>
              </w:rPr>
              <w:t>(2)</w:t>
            </w:r>
          </w:p>
        </w:tc>
        <w:tc>
          <w:tcPr>
            <w:tcW w:w="35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5.52 </w:t>
            </w:r>
          </w:p>
        </w:tc>
        <w:tc>
          <w:tcPr>
            <w:tcW w:w="18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18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______________________________</w:t>
      </w:r>
    </w:p>
    <w:p>
      <w:pPr>
        <w:pStyle w:val="TextBody"/>
        <w:spacing w:lineRule="auto" w:line="288" w:before="60" w:after="283"/>
        <w:ind w:left="0" w:right="0" w:hanging="360"/>
        <w:rPr>
          <w:rFonts w:ascii="Arial;sans-serif" w:hAnsi="Arial;sans-serif"/>
          <w:b w:val="false"/>
          <w:color w:val="000000"/>
          <w:sz w:val="18"/>
        </w:rPr>
      </w:pPr>
      <w:r>
        <w:rPr>
          <w:rFonts w:ascii="Arial;sans-serif" w:hAnsi="Arial;sans-serif"/>
          <w:b w:val="false"/>
          <w:color w:val="000000"/>
          <w:sz w:val="18"/>
        </w:rPr>
        <w:t xml:space="preserve">(1)    The dilutive effect of all potentially dilutive common shares is calculated using the treasury stock method. </w:t>
      </w:r>
    </w:p>
    <w:p>
      <w:pPr>
        <w:pStyle w:val="TextBody"/>
        <w:spacing w:lineRule="auto" w:line="288" w:before="0" w:after="120"/>
        <w:ind w:left="0" w:right="0" w:hanging="360"/>
        <w:rPr>
          <w:rFonts w:ascii="Arial;sans-serif" w:hAnsi="Arial;sans-serif"/>
          <w:b w:val="false"/>
          <w:color w:val="000000"/>
          <w:sz w:val="18"/>
        </w:rPr>
      </w:pPr>
      <w:r>
        <w:rPr>
          <w:rFonts w:ascii="Arial;sans-serif" w:hAnsi="Arial;sans-serif"/>
          <w:b w:val="false"/>
          <w:color w:val="000000"/>
          <w:sz w:val="18"/>
        </w:rPr>
        <w:t>(2)    Source data for calculations in thousands.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10</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120" w:after="120"/>
        <w:ind w:left="0" w:right="0" w:hanging="360"/>
        <w:rPr>
          <w:color w:val="000000"/>
        </w:rPr>
      </w:pP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 xml:space="preserve">4. Fair Value Measurements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used to: a) estimate the fair value; and b) determine the classification according to the fair value hierarchy for each financial instrument, refer to our 2022 Annual Report on Form 10-K, Note 5, “Fair Value Measurements.”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Our financial instruments measured at fair value on a recurring basis at March 31, 2023, were as follows:</w:t>
      </w:r>
    </w:p>
    <w:tbl>
      <w:tblPr>
        <w:tblW w:w="10205" w:type="dxa"/>
        <w:jc w:val="left"/>
        <w:tblInd w:w="0" w:type="dxa"/>
        <w:tblCellMar>
          <w:top w:w="28" w:type="dxa"/>
          <w:left w:w="28" w:type="dxa"/>
          <w:bottom w:w="28" w:type="dxa"/>
          <w:right w:w="28" w:type="dxa"/>
        </w:tblCellMar>
      </w:tblPr>
      <w:tblGrid>
        <w:gridCol w:w="850"/>
        <w:gridCol w:w="713"/>
        <w:gridCol w:w="690"/>
        <w:gridCol w:w="211"/>
        <w:gridCol w:w="616"/>
        <w:gridCol w:w="109"/>
        <w:gridCol w:w="109"/>
        <w:gridCol w:w="109"/>
        <w:gridCol w:w="109"/>
        <w:gridCol w:w="427"/>
        <w:gridCol w:w="823"/>
        <w:gridCol w:w="221"/>
        <w:gridCol w:w="109"/>
        <w:gridCol w:w="109"/>
        <w:gridCol w:w="109"/>
        <w:gridCol w:w="639"/>
        <w:gridCol w:w="1875"/>
        <w:gridCol w:w="333"/>
        <w:gridCol w:w="109"/>
        <w:gridCol w:w="109"/>
        <w:gridCol w:w="109"/>
        <w:gridCol w:w="467"/>
        <w:gridCol w:w="901"/>
        <w:gridCol w:w="349"/>
      </w:tblGrid>
      <w:tr>
        <w:trPr/>
        <w:tc>
          <w:tcPr>
            <w:tcW w:w="85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87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r>
      <w:tr>
        <w:trPr/>
        <w:tc>
          <w:tcPr>
            <w:tcW w:w="22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Observable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Directly or Indirectly Observable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Unobservable Inputs</w:t>
            </w:r>
          </w:p>
        </w:tc>
      </w:tr>
      <w:tr>
        <w:trPr/>
        <w:tc>
          <w:tcPr>
            <w:tcW w:w="22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Arial;sans-serif" w:hAnsi="Arial;sans-serif"/>
                <w:b/>
                <w:color w:val="000000"/>
                <w:sz w:val="16"/>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Arial;sans-serif" w:hAnsi="Arial;sans-serif"/>
                <w:b/>
                <w:color w:val="000000"/>
                <w:sz w:val="16"/>
              </w:rPr>
              <w:t>(Level 3)</w:t>
            </w:r>
          </w:p>
        </w:tc>
      </w:tr>
      <w:tr>
        <w:trPr/>
        <w:tc>
          <w:tcPr>
            <w:tcW w:w="22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95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2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2,335 </w:t>
            </w:r>
          </w:p>
        </w:tc>
        <w:tc>
          <w:tcPr>
            <w:tcW w:w="3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851 </w:t>
            </w:r>
          </w:p>
        </w:tc>
        <w:tc>
          <w:tcPr>
            <w:tcW w:w="3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Asset-backed securities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3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3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Treasury notes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3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3"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7" w:type="dxa"/>
            <w:gridSpan w:val="3"/>
            <w:tcBorders/>
            <w:shd w:fill="auto" w:val="clear"/>
            <w:vAlign w:val="center"/>
          </w:tcPr>
          <w:p>
            <w:pPr>
              <w:pStyle w:val="TableContents"/>
              <w:spacing w:before="0" w:after="283"/>
              <w:rPr>
                <w:sz w:val="4"/>
                <w:szCs w:val="4"/>
              </w:rPr>
            </w:pPr>
            <w:r>
              <w:rPr>
                <w:sz w:val="4"/>
                <w:szCs w:val="4"/>
              </w:rPr>
            </w:r>
          </w:p>
        </w:tc>
      </w:tr>
      <w:tr>
        <w:trPr/>
        <w:tc>
          <w:tcPr>
            <w:tcW w:w="2253"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7" w:type="dxa"/>
            <w:gridSpan w:val="3"/>
            <w:tcBorders/>
            <w:shd w:fill="auto" w:val="clear"/>
            <w:vAlign w:val="center"/>
          </w:tcPr>
          <w:p>
            <w:pPr>
              <w:pStyle w:val="TableContents"/>
              <w:spacing w:before="0" w:after="283"/>
              <w:rPr>
                <w:sz w:val="4"/>
                <w:szCs w:val="4"/>
              </w:rPr>
            </w:pPr>
            <w:r>
              <w:rPr>
                <w:sz w:val="4"/>
                <w:szCs w:val="4"/>
              </w:rPr>
            </w:r>
          </w:p>
        </w:tc>
      </w:tr>
      <w:tr>
        <w:trPr/>
        <w:tc>
          <w:tcPr>
            <w:tcW w:w="2253"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7" w:type="dxa"/>
            <w:gridSpan w:val="3"/>
            <w:tcBorders/>
            <w:shd w:fill="auto" w:val="clear"/>
            <w:vAlign w:val="center"/>
          </w:tcPr>
          <w:p>
            <w:pPr>
              <w:pStyle w:val="TableContents"/>
              <w:spacing w:before="0" w:after="283"/>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3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3,810 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3"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7" w:type="dxa"/>
            <w:gridSpan w:val="3"/>
            <w:tcBorders/>
            <w:shd w:fill="auto" w:val="clear"/>
            <w:vAlign w:val="center"/>
          </w:tcPr>
          <w:p>
            <w:pPr>
              <w:pStyle w:val="TableContents"/>
              <w:spacing w:before="0" w:after="283"/>
              <w:rPr>
                <w:sz w:val="4"/>
                <w:szCs w:val="4"/>
              </w:rPr>
            </w:pPr>
            <w:r>
              <w:rPr>
                <w:sz w:val="4"/>
                <w:szCs w:val="4"/>
              </w:rPr>
            </w:r>
          </w:p>
        </w:tc>
      </w:tr>
      <w:tr>
        <w:trPr/>
        <w:tc>
          <w:tcPr>
            <w:tcW w:w="2253"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7" w:type="dxa"/>
            <w:gridSpan w:val="3"/>
            <w:tcBorders/>
            <w:shd w:fill="auto" w:val="clear"/>
            <w:vAlign w:val="center"/>
          </w:tcPr>
          <w:p>
            <w:pPr>
              <w:pStyle w:val="TableContents"/>
              <w:spacing w:before="0" w:after="283"/>
              <w:rPr>
                <w:sz w:val="4"/>
                <w:szCs w:val="4"/>
              </w:rPr>
            </w:pPr>
            <w:r>
              <w:rPr>
                <w:sz w:val="4"/>
                <w:szCs w:val="4"/>
              </w:rPr>
            </w:r>
          </w:p>
        </w:tc>
      </w:tr>
      <w:tr>
        <w:trPr/>
        <w:tc>
          <w:tcPr>
            <w:tcW w:w="2253"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7" w:type="dxa"/>
            <w:gridSpan w:val="3"/>
            <w:tcBorders/>
            <w:shd w:fill="auto" w:val="clear"/>
            <w:vAlign w:val="center"/>
          </w:tcPr>
          <w:p>
            <w:pPr>
              <w:pStyle w:val="TableContents"/>
              <w:spacing w:before="0" w:after="283"/>
              <w:rPr>
                <w:sz w:val="4"/>
                <w:szCs w:val="4"/>
              </w:rPr>
            </w:pPr>
            <w:r>
              <w:rPr>
                <w:sz w:val="4"/>
                <w:szCs w:val="4"/>
              </w:rPr>
            </w:r>
          </w:p>
        </w:tc>
      </w:tr>
      <w:tr>
        <w:trPr/>
        <w:tc>
          <w:tcPr>
            <w:tcW w:w="22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120"/>
        <w:rPr>
          <w:rFonts w:ascii="Arial;sans-serif" w:hAnsi="Arial;sans-serif"/>
          <w:b w:val="false"/>
          <w:color w:val="000000"/>
          <w:sz w:val="20"/>
        </w:rPr>
      </w:pPr>
      <w:r>
        <w:rPr>
          <w:rFonts w:ascii="Arial;sans-serif" w:hAnsi="Arial;sans-serif"/>
          <w:b w:val="false"/>
          <w:color w:val="000000"/>
          <w:sz w:val="20"/>
        </w:rPr>
        <w:t>Our financial instruments measured at fair value on a recurring basis at December 31, 2022, were as follows:</w:t>
      </w:r>
    </w:p>
    <w:tbl>
      <w:tblPr>
        <w:tblW w:w="10205" w:type="dxa"/>
        <w:jc w:val="left"/>
        <w:tblInd w:w="0" w:type="dxa"/>
        <w:tblCellMar>
          <w:top w:w="28" w:type="dxa"/>
          <w:left w:w="28" w:type="dxa"/>
          <w:bottom w:w="28" w:type="dxa"/>
          <w:right w:w="28" w:type="dxa"/>
        </w:tblCellMar>
      </w:tblPr>
      <w:tblGrid>
        <w:gridCol w:w="1001"/>
        <w:gridCol w:w="823"/>
        <w:gridCol w:w="782"/>
        <w:gridCol w:w="211"/>
        <w:gridCol w:w="616"/>
        <w:gridCol w:w="109"/>
        <w:gridCol w:w="109"/>
        <w:gridCol w:w="109"/>
        <w:gridCol w:w="109"/>
        <w:gridCol w:w="410"/>
        <w:gridCol w:w="789"/>
        <w:gridCol w:w="213"/>
        <w:gridCol w:w="109"/>
        <w:gridCol w:w="109"/>
        <w:gridCol w:w="109"/>
        <w:gridCol w:w="586"/>
        <w:gridCol w:w="1721"/>
        <w:gridCol w:w="306"/>
        <w:gridCol w:w="109"/>
        <w:gridCol w:w="109"/>
        <w:gridCol w:w="109"/>
        <w:gridCol w:w="451"/>
        <w:gridCol w:w="870"/>
        <w:gridCol w:w="336"/>
      </w:tblGrid>
      <w:tr>
        <w:trPr/>
        <w:tc>
          <w:tcPr>
            <w:tcW w:w="1001"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721"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r>
      <w:tr>
        <w:trPr/>
        <w:tc>
          <w:tcPr>
            <w:tcW w:w="2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Observable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Directly or Indirectly Observable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Unobservable Inputs</w:t>
            </w:r>
          </w:p>
        </w:tc>
      </w:tr>
      <w:tr>
        <w:trPr/>
        <w:tc>
          <w:tcPr>
            <w:tcW w:w="2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2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59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Asset-backed securities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Treasury notes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7" w:type="dxa"/>
            <w:gridSpan w:val="3"/>
            <w:tcBorders/>
            <w:shd w:fill="auto" w:val="clear"/>
            <w:vAlign w:val="center"/>
          </w:tcPr>
          <w:p>
            <w:pPr>
              <w:pStyle w:val="TableContents"/>
              <w:spacing w:before="0" w:after="283"/>
              <w:rPr>
                <w:sz w:val="4"/>
                <w:szCs w:val="4"/>
              </w:rPr>
            </w:pPr>
            <w:r>
              <w:rPr>
                <w:sz w:val="4"/>
                <w:szCs w:val="4"/>
              </w:rPr>
            </w:r>
          </w:p>
        </w:tc>
      </w:tr>
      <w:tr>
        <w:trPr/>
        <w:tc>
          <w:tcPr>
            <w:tcW w:w="260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7" w:type="dxa"/>
            <w:gridSpan w:val="3"/>
            <w:tcBorders/>
            <w:shd w:fill="auto" w:val="clear"/>
            <w:vAlign w:val="center"/>
          </w:tcPr>
          <w:p>
            <w:pPr>
              <w:pStyle w:val="TableContents"/>
              <w:spacing w:before="0" w:after="283"/>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assets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3,499 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Contingent consideration liabilities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Contingent Consideration Liabilities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In the three months ended March 31, 2023, we paid $8 million in connection with our 2020 acquisition of certain assets of Passport Health Plan, Inc., which represented the final payment of the consideration due relating to an operating income guarantee. The amount paid in the three months ended March 31, 2023, has been presented in “Operating activities” in the accompanying consolidated statements of cash flows.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11</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Fair Value Measurements – Disclosure Only</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tbl>
      <w:tblPr>
        <w:tblW w:w="6869" w:type="dxa"/>
        <w:jc w:val="left"/>
        <w:tblInd w:w="0" w:type="dxa"/>
        <w:tblCellMar>
          <w:top w:w="28" w:type="dxa"/>
          <w:left w:w="28" w:type="dxa"/>
          <w:bottom w:w="28" w:type="dxa"/>
          <w:right w:w="28" w:type="dxa"/>
        </w:tblCellMar>
      </w:tblPr>
      <w:tblGrid>
        <w:gridCol w:w="760"/>
        <w:gridCol w:w="668"/>
        <w:gridCol w:w="67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760"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Fair Value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Fair Value </w:t>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7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4.375% Notes due 2028</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3.875% Notes due 2030</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3.875% Notes due 2032</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 xml:space="preserve">5. Investments </w:t>
      </w:r>
    </w:p>
    <w:p>
      <w:pPr>
        <w:pStyle w:val="TextBody"/>
        <w:spacing w:lineRule="auto" w:line="288" w:before="120" w:after="283"/>
        <w:rPr>
          <w:rFonts w:ascii="Arial;sans-serif" w:hAnsi="Arial;sans-serif"/>
          <w:b/>
          <w:i/>
          <w:color w:val="000000"/>
          <w:sz w:val="20"/>
        </w:rPr>
      </w:pPr>
      <w:r>
        <w:rPr>
          <w:rFonts w:ascii="Arial;sans-serif" w:hAnsi="Arial;sans-serif"/>
          <w:b/>
          <w:i/>
          <w:color w:val="000000"/>
          <w:sz w:val="20"/>
        </w:rPr>
        <w:t>Available-for-Sale</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consider all of our investments classified as current assets to be available-for-sale. The following tables summarize our current investments as of the dates indicated:</w:t>
      </w:r>
    </w:p>
    <w:tbl>
      <w:tblPr>
        <w:tblW w:w="7847" w:type="dxa"/>
        <w:jc w:val="left"/>
        <w:tblInd w:w="0" w:type="dxa"/>
        <w:tblCellMar>
          <w:top w:w="28" w:type="dxa"/>
          <w:left w:w="28" w:type="dxa"/>
          <w:bottom w:w="28" w:type="dxa"/>
          <w:right w:w="28" w:type="dxa"/>
        </w:tblCellMar>
      </w:tblPr>
      <w:tblGrid>
        <w:gridCol w:w="862"/>
        <w:gridCol w:w="759"/>
        <w:gridCol w:w="763"/>
        <w:gridCol w:w="304"/>
        <w:gridCol w:w="889"/>
        <w:gridCol w:w="157"/>
        <w:gridCol w:w="109"/>
        <w:gridCol w:w="109"/>
        <w:gridCol w:w="109"/>
        <w:gridCol w:w="211"/>
        <w:gridCol w:w="256"/>
        <w:gridCol w:w="109"/>
        <w:gridCol w:w="109"/>
        <w:gridCol w:w="109"/>
        <w:gridCol w:w="109"/>
        <w:gridCol w:w="211"/>
        <w:gridCol w:w="466"/>
        <w:gridCol w:w="109"/>
        <w:gridCol w:w="109"/>
        <w:gridCol w:w="109"/>
        <w:gridCol w:w="109"/>
        <w:gridCol w:w="380"/>
        <w:gridCol w:w="1112"/>
        <w:gridCol w:w="278"/>
      </w:tblGrid>
      <w:tr>
        <w:trPr/>
        <w:tc>
          <w:tcPr>
            <w:tcW w:w="86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6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Gross Unrealized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50"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6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3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2,335 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11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Asset-backed securities</w:t>
            </w:r>
          </w:p>
        </w:tc>
        <w:tc>
          <w:tcPr>
            <w:tcW w:w="11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securities</w:t>
            </w:r>
          </w:p>
        </w:tc>
        <w:tc>
          <w:tcPr>
            <w:tcW w:w="11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U.S. Treasury notes</w:t>
            </w:r>
          </w:p>
        </w:tc>
        <w:tc>
          <w:tcPr>
            <w:tcW w:w="11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3,810 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7847" w:type="dxa"/>
        <w:jc w:val="left"/>
        <w:tblInd w:w="0" w:type="dxa"/>
        <w:tblCellMar>
          <w:top w:w="28" w:type="dxa"/>
          <w:left w:w="28" w:type="dxa"/>
          <w:bottom w:w="28" w:type="dxa"/>
          <w:right w:w="28" w:type="dxa"/>
        </w:tblCellMar>
      </w:tblPr>
      <w:tblGrid>
        <w:gridCol w:w="862"/>
        <w:gridCol w:w="759"/>
        <w:gridCol w:w="763"/>
        <w:gridCol w:w="304"/>
        <w:gridCol w:w="889"/>
        <w:gridCol w:w="157"/>
        <w:gridCol w:w="109"/>
        <w:gridCol w:w="109"/>
        <w:gridCol w:w="109"/>
        <w:gridCol w:w="211"/>
        <w:gridCol w:w="256"/>
        <w:gridCol w:w="109"/>
        <w:gridCol w:w="109"/>
        <w:gridCol w:w="109"/>
        <w:gridCol w:w="109"/>
        <w:gridCol w:w="211"/>
        <w:gridCol w:w="466"/>
        <w:gridCol w:w="109"/>
        <w:gridCol w:w="109"/>
        <w:gridCol w:w="109"/>
        <w:gridCol w:w="109"/>
        <w:gridCol w:w="380"/>
        <w:gridCol w:w="1112"/>
        <w:gridCol w:w="278"/>
      </w:tblGrid>
      <w:tr>
        <w:trPr/>
        <w:tc>
          <w:tcPr>
            <w:tcW w:w="86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6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50"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Gross Unrealized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50"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6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3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11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Asset-backed securities</w:t>
            </w:r>
          </w:p>
        </w:tc>
        <w:tc>
          <w:tcPr>
            <w:tcW w:w="11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securities</w:t>
            </w:r>
          </w:p>
        </w:tc>
        <w:tc>
          <w:tcPr>
            <w:tcW w:w="11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U.S. Treasury notes</w:t>
            </w:r>
          </w:p>
        </w:tc>
        <w:tc>
          <w:tcPr>
            <w:tcW w:w="11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3,499 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12</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140" w:after="283"/>
        <w:rPr>
          <w:rFonts w:ascii="Arial;sans-serif" w:hAnsi="Arial;sans-serif"/>
          <w:b w:val="false"/>
          <w:color w:val="000000"/>
          <w:sz w:val="20"/>
        </w:rPr>
      </w:pPr>
      <w:r>
        <w:rPr>
          <w:rFonts w:ascii="Arial;sans-serif" w:hAnsi="Arial;sans-serif"/>
          <w:b w:val="false"/>
          <w:color w:val="000000"/>
          <w:sz w:val="20"/>
        </w:rPr>
        <w:t>The contractual maturities of our current investments as of March 31, 2023 are summarized below:</w:t>
      </w:r>
    </w:p>
    <w:tbl>
      <w:tblPr>
        <w:tblW w:w="5823" w:type="dxa"/>
        <w:jc w:val="left"/>
        <w:tblInd w:w="0" w:type="dxa"/>
        <w:tblCellMar>
          <w:top w:w="28" w:type="dxa"/>
          <w:left w:w="28" w:type="dxa"/>
          <w:bottom w:w="28" w:type="dxa"/>
          <w:right w:w="28" w:type="dxa"/>
        </w:tblCellMar>
      </w:tblPr>
      <w:tblGrid>
        <w:gridCol w:w="1145"/>
        <w:gridCol w:w="1007"/>
        <w:gridCol w:w="1013"/>
        <w:gridCol w:w="304"/>
        <w:gridCol w:w="889"/>
        <w:gridCol w:w="157"/>
        <w:gridCol w:w="109"/>
        <w:gridCol w:w="109"/>
        <w:gridCol w:w="109"/>
        <w:gridCol w:w="211"/>
        <w:gridCol w:w="616"/>
        <w:gridCol w:w="154"/>
      </w:tblGrid>
      <w:tr>
        <w:trPr/>
        <w:tc>
          <w:tcPr>
            <w:tcW w:w="1145"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Estimated</w:t>
              <w:br/>
              <w:t>Fair Value</w:t>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5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in one year or less</w:t>
            </w:r>
          </w:p>
        </w:tc>
        <w:tc>
          <w:tcPr>
            <w:tcW w:w="3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after one year through five years</w:t>
            </w:r>
          </w:p>
        </w:tc>
        <w:tc>
          <w:tcPr>
            <w:tcW w:w="11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after five years through ten years</w:t>
            </w:r>
          </w:p>
        </w:tc>
        <w:tc>
          <w:tcPr>
            <w:tcW w:w="11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after ten years</w:t>
            </w:r>
          </w:p>
        </w:tc>
        <w:tc>
          <w:tcPr>
            <w:tcW w:w="11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rPr>
          <w:rFonts w:ascii="Arial;sans-serif" w:hAnsi="Arial;sans-serif"/>
          <w:b w:val="false"/>
          <w:color w:val="000000"/>
          <w:sz w:val="20"/>
        </w:rPr>
      </w:pPr>
      <w:r>
        <w:rPr>
          <w:rFonts w:ascii="Arial;sans-serif" w:hAnsi="Arial;sans-serif"/>
          <w:b w:val="false"/>
          <w:color w:val="000000"/>
          <w:sz w:val="20"/>
        </w:rPr>
        <w:t xml:space="preserve">Gross realized gains and losses from sales of available-for-sale securities are calculated under the specific identification method and are included in investment income. Gross realized investment gains were insignificant for the three months ended March 31, 2023, and 2022. Gross realized investments losses amounted to $10 million in the three months ended March 31, 2023, and were reclassified into earnings from other comprehensive income on a net-of-tax basis. Gross realized investment losses were insignificant in the three months ended March 31, 2022.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have determined that unrealized losses at March 31, 2023, and December 31, 2022, primarily resulted from fluctuating interest rates, rather than a deterioration of the creditworthiness of the issuers. Therefore, we determined that an allowance for credit losses was not necessary. So long as we maintain the intent and ability to hold these securities to maturity, we are unlikely to experience losses. In the event that we dispose of these securities before maturity, we expect that realized losses, if any, will be insignificant.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following table segregates those available-for-sale investments that have been in a continuous loss position for less than 12 months, and those that have been in a continuous loss position for 12 months or more as of March 31, 2023:</w:t>
      </w:r>
    </w:p>
    <w:tbl>
      <w:tblPr>
        <w:tblW w:w="10205" w:type="dxa"/>
        <w:jc w:val="left"/>
        <w:tblInd w:w="0" w:type="dxa"/>
        <w:tblCellMar>
          <w:top w:w="28" w:type="dxa"/>
          <w:left w:w="28" w:type="dxa"/>
          <w:bottom w:w="28" w:type="dxa"/>
          <w:right w:w="28" w:type="dxa"/>
        </w:tblCellMar>
      </w:tblPr>
      <w:tblGrid>
        <w:gridCol w:w="818"/>
        <w:gridCol w:w="594"/>
        <w:gridCol w:w="499"/>
        <w:gridCol w:w="211"/>
        <w:gridCol w:w="616"/>
        <w:gridCol w:w="109"/>
        <w:gridCol w:w="109"/>
        <w:gridCol w:w="109"/>
        <w:gridCol w:w="109"/>
        <w:gridCol w:w="293"/>
        <w:gridCol w:w="501"/>
        <w:gridCol w:w="152"/>
        <w:gridCol w:w="109"/>
        <w:gridCol w:w="109"/>
        <w:gridCol w:w="109"/>
        <w:gridCol w:w="474"/>
        <w:gridCol w:w="474"/>
        <w:gridCol w:w="476"/>
        <w:gridCol w:w="109"/>
        <w:gridCol w:w="109"/>
        <w:gridCol w:w="109"/>
        <w:gridCol w:w="211"/>
        <w:gridCol w:w="616"/>
        <w:gridCol w:w="109"/>
        <w:gridCol w:w="109"/>
        <w:gridCol w:w="109"/>
        <w:gridCol w:w="109"/>
        <w:gridCol w:w="253"/>
        <w:gridCol w:w="560"/>
        <w:gridCol w:w="133"/>
        <w:gridCol w:w="109"/>
        <w:gridCol w:w="109"/>
        <w:gridCol w:w="109"/>
        <w:gridCol w:w="430"/>
        <w:gridCol w:w="430"/>
        <w:gridCol w:w="611"/>
      </w:tblGrid>
      <w:tr>
        <w:trPr/>
        <w:tc>
          <w:tcPr>
            <w:tcW w:w="818"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19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a Continuous Loss Position</w:t>
              <w:br/>
              <w:t>for Less than 12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a Continuous Loss Position</w:t>
              <w:br/>
              <w:t>for 12 Months or More</w:t>
            </w:r>
          </w:p>
        </w:tc>
      </w:tr>
      <w:tr>
        <w:trPr/>
        <w:tc>
          <w:tcPr>
            <w:tcW w:w="19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Estimated</w:t>
              <w:b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Number of Positions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Estimated</w:t>
              <w:b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Number of Positions</w:t>
            </w:r>
          </w:p>
        </w:tc>
      </w:tr>
      <w:tr>
        <w:trPr/>
        <w:tc>
          <w:tcPr>
            <w:tcW w:w="19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94"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r>
          </w:p>
        </w:tc>
      </w:tr>
      <w:tr>
        <w:trPr/>
        <w:tc>
          <w:tcPr>
            <w:tcW w:w="19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6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4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6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Asset-backed securities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6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4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6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1"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6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1"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r>
      <w:tr>
        <w:trPr/>
        <w:tc>
          <w:tcPr>
            <w:tcW w:w="1911"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r>
      <w:tr>
        <w:trPr/>
        <w:tc>
          <w:tcPr>
            <w:tcW w:w="1911"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923 </w:t>
            </w:r>
          </w:p>
        </w:tc>
        <w:tc>
          <w:tcPr>
            <w:tcW w:w="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following table segregates those available-for-sale investments that have been in a continuous loss position for less than 12 months, and those that have been in a continuous loss position for 12 months or more as of December 31, 2022:</w:t>
      </w:r>
    </w:p>
    <w:tbl>
      <w:tblPr>
        <w:tblW w:w="10205" w:type="dxa"/>
        <w:jc w:val="left"/>
        <w:tblInd w:w="0" w:type="dxa"/>
        <w:tblCellMar>
          <w:top w:w="28" w:type="dxa"/>
          <w:left w:w="28" w:type="dxa"/>
          <w:bottom w:w="28" w:type="dxa"/>
          <w:right w:w="28" w:type="dxa"/>
        </w:tblCellMar>
      </w:tblPr>
      <w:tblGrid>
        <w:gridCol w:w="817"/>
        <w:gridCol w:w="592"/>
        <w:gridCol w:w="495"/>
        <w:gridCol w:w="211"/>
        <w:gridCol w:w="616"/>
        <w:gridCol w:w="109"/>
        <w:gridCol w:w="109"/>
        <w:gridCol w:w="109"/>
        <w:gridCol w:w="109"/>
        <w:gridCol w:w="293"/>
        <w:gridCol w:w="501"/>
        <w:gridCol w:w="152"/>
        <w:gridCol w:w="109"/>
        <w:gridCol w:w="109"/>
        <w:gridCol w:w="109"/>
        <w:gridCol w:w="497"/>
        <w:gridCol w:w="470"/>
        <w:gridCol w:w="472"/>
        <w:gridCol w:w="109"/>
        <w:gridCol w:w="109"/>
        <w:gridCol w:w="109"/>
        <w:gridCol w:w="211"/>
        <w:gridCol w:w="616"/>
        <w:gridCol w:w="109"/>
        <w:gridCol w:w="109"/>
        <w:gridCol w:w="109"/>
        <w:gridCol w:w="109"/>
        <w:gridCol w:w="253"/>
        <w:gridCol w:w="560"/>
        <w:gridCol w:w="133"/>
        <w:gridCol w:w="109"/>
        <w:gridCol w:w="109"/>
        <w:gridCol w:w="109"/>
        <w:gridCol w:w="427"/>
        <w:gridCol w:w="427"/>
        <w:gridCol w:w="609"/>
      </w:tblGrid>
      <w:tr>
        <w:trPr/>
        <w:tc>
          <w:tcPr>
            <w:tcW w:w="817"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a Continuous Loss Position</w:t>
              <w:br/>
              <w:t>for Less than 12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a Continuous Loss Position</w:t>
              <w:br/>
              <w:t>for 12 Months or More</w:t>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Estimated</w:t>
              <w:b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Number of Positions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Estimated</w:t>
              <w:b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Number of Positions</w:t>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01"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683 </w:t>
            </w:r>
          </w:p>
        </w:tc>
        <w:tc>
          <w:tcPr>
            <w:tcW w:w="4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6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4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6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Asset-backed securities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4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6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4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6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Treasury notes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4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4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6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624 </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13</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Restricted Investments Held-to-Maturity</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Pursuant to the regulations governing our state health plan subsidiaries, we maintain statutory deposits and deposits required by government authorities primarily in cash, cash equivalents, U.S. Treasury securities, and corporate debt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We have the ability to hold these restricted investments until maturity and, as a result, we would not expect the value of these investments to decline significantly due to a sudden change in market interest rates. Our held-to-maturity restricted investments are carried at amortized cost, which approximates fair value. Such investments amounted to $242 million at March 31, 2023, of which $123 million will mature in one year or less, $111 million will mature in one through five years, and $8 million will mature after five years.</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pPr>
      <w:r>
        <w:rPr>
          <w:rFonts w:ascii="Arial;sans-serif" w:hAnsi="Arial;sans-serif"/>
          <w:b/>
          <w:color w:val="828282"/>
          <w:sz w:val="20"/>
        </w:rPr>
        <w:t>6. Medical Claims and Benefits Payable</w:t>
      </w:r>
      <w:r>
        <w:rPr>
          <w:color w:val="000000"/>
        </w:rPr>
        <w:t xml:space="preserve">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following table provides the details of our medical claims and benefits payable as of the dates indicated:</w:t>
      </w:r>
    </w:p>
    <w:tbl>
      <w:tblPr>
        <w:tblW w:w="5598" w:type="dxa"/>
        <w:jc w:val="left"/>
        <w:tblInd w:w="0" w:type="dxa"/>
        <w:tblCellMar>
          <w:top w:w="28" w:type="dxa"/>
          <w:left w:w="28" w:type="dxa"/>
          <w:bottom w:w="28" w:type="dxa"/>
          <w:right w:w="28" w:type="dxa"/>
        </w:tblCellMar>
      </w:tblPr>
      <w:tblGrid>
        <w:gridCol w:w="1129"/>
        <w:gridCol w:w="991"/>
        <w:gridCol w:w="999"/>
        <w:gridCol w:w="211"/>
        <w:gridCol w:w="616"/>
        <w:gridCol w:w="109"/>
        <w:gridCol w:w="109"/>
        <w:gridCol w:w="109"/>
        <w:gridCol w:w="109"/>
        <w:gridCol w:w="261"/>
        <w:gridCol w:w="763"/>
        <w:gridCol w:w="192"/>
      </w:tblGrid>
      <w:tr>
        <w:trPr/>
        <w:tc>
          <w:tcPr>
            <w:tcW w:w="112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3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2022</w:t>
            </w:r>
          </w:p>
        </w:tc>
      </w:tr>
      <w:tr>
        <w:trPr/>
        <w:tc>
          <w:tcPr>
            <w:tcW w:w="3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Claims incurred but not paid (“IBNP”)</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2,597 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Pharmacy payable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Capitation payable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color w:val="000000"/>
        </w:rPr>
      </w:pPr>
      <w:r>
        <w:rPr>
          <w:color w:val="000000"/>
        </w:rPr>
        <w:t>“</w:t>
      </w:r>
      <w:r>
        <w:rPr>
          <w:rFonts w:ascii="Arial;sans-serif" w:hAnsi="Arial;sans-serif"/>
          <w:b w:val="false"/>
          <w:color w:val="000000"/>
          <w:sz w:val="20"/>
        </w:rPr>
        <w:t>Other” medical claims and benefits payable include amounts payable to certain providers for which we act as an intermediary on behalf of various government agencies without assuming financial risk. Such receipts and payments do not impact our consolidated statements of income. Non-risk provider payables amounted to $493 million and $228 million as of March 31, 2023, and December 31, 2022, respectively.</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The following tables present the components of the change in our medical claims and benefits payable for the periods indicated. The amounts presented for “Components of medical care costs related to: Prior years” represent the amount by which our original estimate of medical claims and benefits payable at the beginning of the year varied from the actual liabilities, based on information (principally the payment of claims) developed since those liabilities were first reported. </w:t>
      </w:r>
    </w:p>
    <w:tbl>
      <w:tblPr>
        <w:tblW w:w="9748" w:type="dxa"/>
        <w:jc w:val="left"/>
        <w:tblInd w:w="0" w:type="dxa"/>
        <w:tblCellMar>
          <w:top w:w="28" w:type="dxa"/>
          <w:left w:w="28" w:type="dxa"/>
          <w:bottom w:w="28" w:type="dxa"/>
          <w:right w:w="28" w:type="dxa"/>
        </w:tblCellMar>
      </w:tblPr>
      <w:tblGrid>
        <w:gridCol w:w="1705"/>
        <w:gridCol w:w="1499"/>
        <w:gridCol w:w="1505"/>
        <w:gridCol w:w="211"/>
        <w:gridCol w:w="616"/>
        <w:gridCol w:w="109"/>
        <w:gridCol w:w="109"/>
        <w:gridCol w:w="109"/>
        <w:gridCol w:w="109"/>
        <w:gridCol w:w="229"/>
        <w:gridCol w:w="506"/>
        <w:gridCol w:w="120"/>
        <w:gridCol w:w="109"/>
        <w:gridCol w:w="109"/>
        <w:gridCol w:w="109"/>
        <w:gridCol w:w="282"/>
        <w:gridCol w:w="623"/>
        <w:gridCol w:w="146"/>
        <w:gridCol w:w="109"/>
        <w:gridCol w:w="109"/>
        <w:gridCol w:w="109"/>
        <w:gridCol w:w="261"/>
        <w:gridCol w:w="763"/>
        <w:gridCol w:w="192"/>
      </w:tblGrid>
      <w:tr>
        <w:trPr/>
        <w:tc>
          <w:tcPr>
            <w:tcW w:w="1705"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2023</w:t>
            </w:r>
          </w:p>
        </w:tc>
      </w:tr>
      <w:tr>
        <w:trPr/>
        <w:tc>
          <w:tcPr>
            <w:tcW w:w="4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Medicaid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Medicare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Marketplace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4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39" w:type="dxa"/>
            <w:gridSpan w:val="21"/>
            <w:tcBorders/>
            <w:shd w:fill="auto" w:val="clear"/>
            <w:tcMar>
              <w:top w:w="0" w:type="dxa"/>
              <w:left w:w="0" w:type="dxa"/>
              <w:bottom w:w="0" w:type="dxa"/>
              <w:right w:w="0" w:type="dxa"/>
            </w:tcMar>
            <w:vAlign w:val="center"/>
          </w:tcPr>
          <w:p>
            <w:pPr>
              <w:pStyle w:val="TableContents"/>
              <w:spacing w:lineRule="auto" w:line="240" w:before="0" w:after="283"/>
              <w:ind w:left="0" w:right="0" w:hanging="90"/>
              <w:jc w:val="center"/>
              <w:rPr>
                <w:rFonts w:ascii="Arial;sans-serif" w:hAnsi="Arial;sans-serif"/>
                <w:b/>
                <w:color w:val="000000"/>
                <w:sz w:val="16"/>
              </w:rPr>
            </w:pPr>
            <w:r>
              <w:rPr>
                <w:rFonts w:ascii="Arial;sans-serif" w:hAnsi="Arial;sans-serif"/>
                <w:b/>
                <w:color w:val="000000"/>
                <w:sz w:val="16"/>
              </w:rPr>
              <w:t>(In millions)</w:t>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claims and benefits payable, beginning balance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3,528 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Components of medical care costs related to:</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7,169 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years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medical care costs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medical care costs related to:</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4,487 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years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2,358 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paid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Acquired balances, net of post-acquisition adjustments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non-risk and other provider payables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claims and benefits payable, ending balance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3,824 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14</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tbl>
      <w:tblPr>
        <w:tblW w:w="9704" w:type="dxa"/>
        <w:jc w:val="left"/>
        <w:tblInd w:w="0" w:type="dxa"/>
        <w:tblCellMar>
          <w:top w:w="28" w:type="dxa"/>
          <w:left w:w="28" w:type="dxa"/>
          <w:bottom w:w="28" w:type="dxa"/>
          <w:right w:w="28" w:type="dxa"/>
        </w:tblCellMar>
      </w:tblPr>
      <w:tblGrid>
        <w:gridCol w:w="1705"/>
        <w:gridCol w:w="1499"/>
        <w:gridCol w:w="1505"/>
        <w:gridCol w:w="211"/>
        <w:gridCol w:w="616"/>
        <w:gridCol w:w="109"/>
        <w:gridCol w:w="109"/>
        <w:gridCol w:w="109"/>
        <w:gridCol w:w="109"/>
        <w:gridCol w:w="217"/>
        <w:gridCol w:w="480"/>
        <w:gridCol w:w="114"/>
        <w:gridCol w:w="109"/>
        <w:gridCol w:w="109"/>
        <w:gridCol w:w="109"/>
        <w:gridCol w:w="282"/>
        <w:gridCol w:w="623"/>
        <w:gridCol w:w="146"/>
        <w:gridCol w:w="109"/>
        <w:gridCol w:w="109"/>
        <w:gridCol w:w="109"/>
        <w:gridCol w:w="261"/>
        <w:gridCol w:w="763"/>
        <w:gridCol w:w="192"/>
      </w:tblGrid>
      <w:tr>
        <w:trPr/>
        <w:tc>
          <w:tcPr>
            <w:tcW w:w="1705"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2022</w:t>
            </w:r>
          </w:p>
        </w:tc>
      </w:tr>
      <w:tr>
        <w:trPr/>
        <w:tc>
          <w:tcPr>
            <w:tcW w:w="4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Medicaid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Medicare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Marketplace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4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95" w:type="dxa"/>
            <w:gridSpan w:val="21"/>
            <w:tcBorders/>
            <w:shd w:fill="auto" w:val="clear"/>
            <w:tcMar>
              <w:top w:w="0" w:type="dxa"/>
              <w:left w:w="0" w:type="dxa"/>
              <w:bottom w:w="0" w:type="dxa"/>
              <w:right w:w="0" w:type="dxa"/>
            </w:tcMar>
            <w:vAlign w:val="center"/>
          </w:tcPr>
          <w:p>
            <w:pPr>
              <w:pStyle w:val="TableContents"/>
              <w:spacing w:lineRule="auto" w:line="240" w:before="0" w:after="283"/>
              <w:ind w:left="0" w:right="0" w:hanging="90"/>
              <w:jc w:val="center"/>
              <w:rPr>
                <w:rFonts w:ascii="Arial;sans-serif" w:hAnsi="Arial;sans-serif"/>
                <w:b/>
                <w:color w:val="000000"/>
                <w:sz w:val="16"/>
              </w:rPr>
            </w:pPr>
            <w:r>
              <w:rPr>
                <w:rFonts w:ascii="Arial;sans-serif" w:hAnsi="Arial;sans-serif"/>
                <w:b/>
                <w:color w:val="000000"/>
                <w:sz w:val="16"/>
              </w:rPr>
              <w:t>(In millions)</w:t>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claims and benefits payable, beginning balance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3,363 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Components of medical care costs related to:</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6,769 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years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medical care costs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medical care costs related to:</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4,197 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years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2,199 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paid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Acquired balances, net of post-acquisition adjustments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non-risk and other provider payables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claims and benefits payable, ending balance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3,601 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20"/>
        <w:rPr>
          <w:rFonts w:ascii="Arial;sans-serif" w:hAnsi="Arial;sans-serif"/>
          <w:b w:val="false"/>
          <w:color w:val="000000"/>
          <w:sz w:val="20"/>
        </w:rPr>
      </w:pPr>
      <w:r>
        <w:rPr>
          <w:rFonts w:ascii="Arial;sans-serif" w:hAnsi="Arial;sans-serif"/>
          <w:b w:val="false"/>
          <w:color w:val="000000"/>
          <w:sz w:val="20"/>
        </w:rPr>
        <w:t>Our estimates of medical claims and benefits payable recorded at December 31, 2022, and 2021 developed favorably by approximately $298 million and $206 million as of March 31, 2023, and 2022, respectively.</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favorable prior year development recognized in the three months ended March 31, 2023 was primarily due to lower than expected utilization of medical services by our members and improved operating performance. Consequently, the ultimate costs recognized in 2023, as claims payments were processed, were lower than our estimates in 2022.</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 xml:space="preserve">7. Debt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following table summarizes our outstanding debt obligations, all of which are non-current as of the dates reported below:</w:t>
      </w:r>
    </w:p>
    <w:tbl>
      <w:tblPr>
        <w:tblW w:w="5014" w:type="dxa"/>
        <w:jc w:val="left"/>
        <w:tblInd w:w="0" w:type="dxa"/>
        <w:tblCellMar>
          <w:top w:w="28" w:type="dxa"/>
          <w:left w:w="28" w:type="dxa"/>
          <w:bottom w:w="28" w:type="dxa"/>
          <w:right w:w="28" w:type="dxa"/>
        </w:tblCellMar>
      </w:tblPr>
      <w:tblGrid>
        <w:gridCol w:w="919"/>
        <w:gridCol w:w="807"/>
        <w:gridCol w:w="809"/>
        <w:gridCol w:w="211"/>
        <w:gridCol w:w="616"/>
        <w:gridCol w:w="109"/>
        <w:gridCol w:w="109"/>
        <w:gridCol w:w="109"/>
        <w:gridCol w:w="109"/>
        <w:gridCol w:w="261"/>
        <w:gridCol w:w="763"/>
        <w:gridCol w:w="192"/>
      </w:tblGrid>
      <w:tr>
        <w:trPr/>
        <w:tc>
          <w:tcPr>
            <w:tcW w:w="919"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2022</w:t>
            </w:r>
          </w:p>
        </w:tc>
      </w:tr>
      <w:tr>
        <w:trPr/>
        <w:tc>
          <w:tcPr>
            <w:tcW w:w="25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53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Non-current long-term debt:</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4.375% Notes due 2028</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3.875% Notes due 2030 </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3.875% Notes due 2032</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Deferred debt issuance costs </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2,176 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120"/>
        <w:rPr>
          <w:rFonts w:ascii="Arial;sans-serif" w:hAnsi="Arial;sans-serif"/>
          <w:b/>
          <w:i/>
          <w:color w:val="000000"/>
          <w:sz w:val="20"/>
        </w:rPr>
      </w:pPr>
      <w:r>
        <w:rPr>
          <w:rFonts w:ascii="Arial;sans-serif" w:hAnsi="Arial;sans-serif"/>
          <w:b/>
          <w:i/>
          <w:color w:val="000000"/>
          <w:sz w:val="20"/>
        </w:rPr>
        <w:t>Credit Agreement</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We are party to a credit agreement (the “Credit Agreement”) which includes a revolving credit facility (“Credit Facility”) of $1.0 billion, among other provisions. The Credit Agreement has a term of five years, and all amounts outstanding will be due and payable on June 8, 2025. Borrowings under the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Effective April 26, 2023, we amended the Credit Agreement to transition from the use of the London Interbank Offered Rate, or LIBOR, to the Secured Overnight Financing Rate, or SOFR, as a benchmark interest rate used in the Credit Agreement.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We have other relationships, including financial advisory and banking, with some parties to the Credit Agreement.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15</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Credit Agreement contains customary non-financial and financial covenants. As of March 31, 2023, we were in compliance with all financial and non-financial covenants under the Credit Agreement. As of March 31, 2023, no amounts were outstanding under the Credit Facility.</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For an understanding of the terms and provisions of the Credit Agreement, reference should be made to the copy of the agreement attached as Exhibit 10.1 to this Form 10-Q and incorporated by reference herein.</w:t>
      </w:r>
    </w:p>
    <w:p>
      <w:pPr>
        <w:pStyle w:val="TextBody"/>
        <w:spacing w:lineRule="auto" w:line="288" w:before="120" w:after="283"/>
        <w:rPr/>
      </w:pPr>
      <w:r>
        <w:rPr>
          <w:rFonts w:ascii="Arial;sans-serif" w:hAnsi="Arial;sans-serif"/>
          <w:b/>
          <w:i/>
          <w:color w:val="000000"/>
          <w:sz w:val="20"/>
        </w:rPr>
        <w:t>Senior Notes</w:t>
      </w:r>
      <w:r>
        <w:rPr>
          <w:color w:val="000000"/>
        </w:rPr>
        <w:t xml:space="preserve">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Our senior notes are described below. Each of these notes are senior unsecured obligations of the parent corporation, Molina Healthcare, Inc., and rank equally in right of payment with all existing and future senior debt, and senior to all existing and future subordinated debt of Molina Healthcare, Inc. In addition, each of the indentures governing the senior notes contain customary non-financial covenants and change of control provisions. As of March 31, 2023, we were in compliance with all non-financial covenants in the indentures governing the senior notes.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 xml:space="preserve">The indentures governing the senior notes contain cross-default provisions that are triggered upon default by us or any of our subsidiaries on any indebtedness in excess of the amount specified in the applicable indenture. </w:t>
      </w:r>
    </w:p>
    <w:p>
      <w:pPr>
        <w:pStyle w:val="TextBody"/>
        <w:spacing w:lineRule="auto" w:line="288" w:before="120" w:after="283"/>
        <w:rPr/>
      </w:pPr>
      <w:r>
        <w:rPr>
          <w:rFonts w:ascii="Arial;sans-serif" w:hAnsi="Arial;sans-serif"/>
          <w:b w:val="false"/>
          <w:i/>
          <w:color w:val="000000"/>
          <w:sz w:val="20"/>
        </w:rPr>
        <w:t>4.375% Notes due 2028.</w:t>
      </w:r>
      <w:r>
        <w:rPr>
          <w:color w:val="000000"/>
        </w:rPr>
        <w:t xml:space="preserve"> </w:t>
      </w:r>
      <w:r>
        <w:rPr>
          <w:rFonts w:ascii="Arial;sans-serif" w:hAnsi="Arial;sans-serif"/>
          <w:b w:val="false"/>
          <w:color w:val="000000"/>
          <w:sz w:val="20"/>
        </w:rPr>
        <w:t>We had $800 million aggregate principal amount of senior notes (the “4.375% Notes”) outstanding as of March 31, 2023, which are due June 15, 2028, unless earlier redeemed. Interest, at a rate of 4.375% per annum, is payable semiannually in arrears on June 15 and December 15.</w:t>
      </w:r>
    </w:p>
    <w:p>
      <w:pPr>
        <w:pStyle w:val="TextBody"/>
        <w:spacing w:lineRule="auto" w:line="288" w:before="120" w:after="120"/>
        <w:rPr/>
      </w:pPr>
      <w:r>
        <w:rPr>
          <w:rFonts w:ascii="Arial;sans-serif" w:hAnsi="Arial;sans-serif"/>
          <w:b w:val="false"/>
          <w:i/>
          <w:color w:val="000000"/>
          <w:sz w:val="20"/>
        </w:rPr>
        <w:t xml:space="preserve">3.875% Notes due 2030. </w:t>
      </w:r>
      <w:r>
        <w:rPr>
          <w:rFonts w:ascii="Arial;sans-serif" w:hAnsi="Arial;sans-serif"/>
          <w:b w:val="false"/>
          <w:color w:val="000000"/>
          <w:sz w:val="20"/>
        </w:rPr>
        <w:t>We had $650 million aggregate principal amount of senior notes (the “3.875% Notes due 2030”) outstanding as of March 31, 2023, which are due November 15, 2030, unless earlier redeemed. Interest, at a rate of 3.875% per annum, is payable semiannually in arrears on May 15 and November 15.</w:t>
      </w:r>
    </w:p>
    <w:p>
      <w:pPr>
        <w:pStyle w:val="TextBody"/>
        <w:spacing w:lineRule="auto" w:line="288" w:before="120" w:after="120"/>
        <w:rPr/>
      </w:pPr>
      <w:r>
        <w:rPr>
          <w:rFonts w:ascii="Arial;sans-serif" w:hAnsi="Arial;sans-serif"/>
          <w:b w:val="false"/>
          <w:i/>
          <w:color w:val="000000"/>
          <w:sz w:val="20"/>
        </w:rPr>
        <w:t>3.875% Notes due 2032.</w:t>
      </w:r>
      <w:r>
        <w:rPr>
          <w:color w:val="000000"/>
        </w:rPr>
        <w:t xml:space="preserve"> </w:t>
      </w:r>
      <w:r>
        <w:rPr>
          <w:rFonts w:ascii="Arial;sans-serif" w:hAnsi="Arial;sans-serif"/>
          <w:b w:val="false"/>
          <w:color w:val="000000"/>
          <w:sz w:val="20"/>
        </w:rPr>
        <w:t xml:space="preserve">We had $750 million aggregate principal amount of senior notes (the “3.875% Notes due 2032”) outstanding as of March 31, 2023, which are due May 15, 2032, unless earlier redeemed. Interest, at a rate of 3.875% per annum, is payable semiannually in arrears on May 15 and November 15.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 xml:space="preserve">8. Segments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We currently have four reportable segments consisting of: 1) Medicaid; 2) Medicare; 3) Marketplace; and 4) Other. Our reportable segments are consistent with how we currently manage the business and view the markets we serve.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 We do not report total assets by segment because this is not a metric used to assess segment performance or allocate resources.</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16</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following table presents total revenue by segment. Inter-segment revenue was insignificant for all periods presented.</w:t>
      </w:r>
    </w:p>
    <w:tbl>
      <w:tblPr>
        <w:tblW w:w="4317" w:type="dxa"/>
        <w:jc w:val="left"/>
        <w:tblInd w:w="0" w:type="dxa"/>
        <w:tblCellMar>
          <w:top w:w="28" w:type="dxa"/>
          <w:left w:w="28" w:type="dxa"/>
          <w:bottom w:w="28" w:type="dxa"/>
          <w:right w:w="28" w:type="dxa"/>
        </w:tblCellMar>
      </w:tblPr>
      <w:tblGrid>
        <w:gridCol w:w="467"/>
        <w:gridCol w:w="410"/>
        <w:gridCol w:w="413"/>
        <w:gridCol w:w="244"/>
        <w:gridCol w:w="714"/>
        <w:gridCol w:w="126"/>
        <w:gridCol w:w="126"/>
        <w:gridCol w:w="126"/>
        <w:gridCol w:w="126"/>
        <w:gridCol w:w="244"/>
        <w:gridCol w:w="714"/>
        <w:gridCol w:w="126"/>
        <w:gridCol w:w="109"/>
        <w:gridCol w:w="109"/>
        <w:gridCol w:w="109"/>
        <w:gridCol w:w="154"/>
      </w:tblGrid>
      <w:tr>
        <w:trPr/>
        <w:tc>
          <w:tcPr>
            <w:tcW w:w="467"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Medicaid</w:t>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Medicare</w:t>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Marketplace</w:t>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283"/>
        <w:rPr>
          <w:rFonts w:ascii="Arial;sans-serif" w:hAnsi="Arial;sans-serif"/>
          <w:b w:val="false"/>
          <w:color w:val="000000"/>
          <w:sz w:val="20"/>
        </w:rPr>
      </w:pPr>
      <w:r>
        <w:rPr>
          <w:rFonts w:ascii="Arial;sans-serif" w:hAnsi="Arial;sans-serif"/>
          <w:b w:val="false"/>
          <w:color w:val="000000"/>
          <w:sz w:val="20"/>
        </w:rPr>
        <w:t xml:space="preserve">The following table reconciles margin by segment to consolidated income before income taxes. </w:t>
      </w:r>
    </w:p>
    <w:tbl>
      <w:tblPr>
        <w:tblW w:w="5996" w:type="dxa"/>
        <w:jc w:val="left"/>
        <w:tblInd w:w="0" w:type="dxa"/>
        <w:tblCellMar>
          <w:top w:w="28" w:type="dxa"/>
          <w:left w:w="28" w:type="dxa"/>
          <w:bottom w:w="28" w:type="dxa"/>
          <w:right w:w="28" w:type="dxa"/>
        </w:tblCellMar>
      </w:tblPr>
      <w:tblGrid>
        <w:gridCol w:w="1070"/>
        <w:gridCol w:w="942"/>
        <w:gridCol w:w="957"/>
        <w:gridCol w:w="283"/>
        <w:gridCol w:w="625"/>
        <w:gridCol w:w="146"/>
        <w:gridCol w:w="146"/>
        <w:gridCol w:w="146"/>
        <w:gridCol w:w="146"/>
        <w:gridCol w:w="283"/>
        <w:gridCol w:w="625"/>
        <w:gridCol w:w="146"/>
        <w:gridCol w:w="109"/>
        <w:gridCol w:w="109"/>
        <w:gridCol w:w="109"/>
        <w:gridCol w:w="154"/>
      </w:tblGrid>
      <w:tr>
        <w:trPr/>
        <w:tc>
          <w:tcPr>
            <w:tcW w:w="1070"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Margin:</w:t>
            </w:r>
          </w:p>
        </w:tc>
        <w:tc>
          <w:tcPr>
            <w:tcW w:w="1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Medicaid</w:t>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Medicare</w:t>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Marketplace</w:t>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w:t>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margin </w:t>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Add: other operating revenues </w:t>
            </w:r>
            <w:r>
              <w:rPr>
                <w:rFonts w:ascii="Arial;sans-serif" w:hAnsi="Arial;sans-serif"/>
                <w:b w:val="false"/>
                <w:color w:val="000000"/>
                <w:sz w:val="12"/>
              </w:rPr>
              <w:t>(1)</w:t>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Less: other operating expenses </w:t>
            </w:r>
            <w:r>
              <w:rPr>
                <w:rFonts w:ascii="Arial;sans-serif" w:hAnsi="Arial;sans-serif"/>
                <w:b w:val="false"/>
                <w:color w:val="000000"/>
                <w:sz w:val="12"/>
              </w:rPr>
              <w:t>(2)</w:t>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 net</w:t>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 expense</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______________________</w:t>
      </w:r>
    </w:p>
    <w:p>
      <w:pPr>
        <w:pStyle w:val="TextBody"/>
        <w:spacing w:lineRule="auto" w:line="288" w:before="60" w:after="283"/>
        <w:ind w:left="0" w:right="0" w:hanging="360"/>
        <w:rPr>
          <w:rFonts w:ascii="Arial;sans-serif" w:hAnsi="Arial;sans-serif"/>
          <w:b w:val="false"/>
          <w:color w:val="000000"/>
          <w:sz w:val="18"/>
        </w:rPr>
      </w:pPr>
      <w:r>
        <w:rPr>
          <w:rFonts w:ascii="Arial;sans-serif" w:hAnsi="Arial;sans-serif"/>
          <w:b w:val="false"/>
          <w:color w:val="000000"/>
          <w:sz w:val="18"/>
        </w:rPr>
        <w:t>(1)Other operating revenues include premium tax revenue, investment income, and other revenue.</w:t>
      </w:r>
    </w:p>
    <w:p>
      <w:pPr>
        <w:pStyle w:val="TextBody"/>
        <w:spacing w:lineRule="auto" w:line="288" w:before="0" w:after="120"/>
        <w:ind w:left="0" w:right="0" w:hanging="360"/>
        <w:rPr>
          <w:rFonts w:ascii="Arial;sans-serif" w:hAnsi="Arial;sans-serif"/>
          <w:b w:val="false"/>
          <w:color w:val="000000"/>
          <w:sz w:val="18"/>
        </w:rPr>
      </w:pPr>
      <w:r>
        <w:rPr>
          <w:rFonts w:ascii="Arial;sans-serif" w:hAnsi="Arial;sans-serif"/>
          <w:b w:val="false"/>
          <w:color w:val="000000"/>
          <w:sz w:val="18"/>
        </w:rPr>
        <w:t>(2)Other operating expenses include general and administrative expenses, premium tax expenses, depreciation and amortization, and other operating expenses.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 xml:space="preserve">9. Commitments and Contingencies </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Legal Proceedings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healthcare industry is subject to numerous laws and regulations of federal, state, and local governments. Compliance with these laws and regulations can be subject to government review and interpretation, as well as regulatory actions unknown and unasserted at this time. Penalties associated with violations of these laws and regulations include significant fines and penalties, exclusion from participating in publicly funded programs, the repayment of previously billed and collected revenues and reputational damage.</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of reasonably possible losses and related disclosures, as necessary. We have accrued liabilities for legal matters for which we deem the loss to be both probable and reasonably estimable. These liability estimates could change as a result of further developments of the matters. The outcome of legal actions is inherently uncertain. An adverse determination in one or more of these pending matters could have an adverse effect on our consolidated financial position, results of operations, or cash flows.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17</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120" w:after="120"/>
        <w:rPr/>
      </w:pPr>
      <w:r>
        <w:rPr>
          <w:rFonts w:ascii="Arial;sans-serif" w:hAnsi="Arial;sans-serif"/>
          <w:b w:val="false"/>
          <w:i/>
          <w:color w:val="000000"/>
          <w:sz w:val="20"/>
        </w:rPr>
        <w:t>Kentucky RFP</w:t>
      </w:r>
      <w:r>
        <w:rPr>
          <w:rFonts w:ascii="Arial;sans-serif" w:hAnsi="Arial;sans-serif"/>
          <w:b w:val="false"/>
          <w:color w:val="000000"/>
          <w:sz w:val="20"/>
        </w:rPr>
        <w:t>. On September 4, 2020, Anthem Kentucky Managed Care Plan, Inc. brought an action in Franklin County Circuit Court against the Kentucky Finance and Administration Cabinet, the Kentucky Cabinet for Health and Family Services, and all of the five winning bidder health plans, including our Kentucky health plan. On September 9, 2022, the Kentucky Court of Appeals ruled that, with regard to the earlier Circuit Court ruling granting Anthem relief, the Circuit Court should not have invalidated the 2020 procurement and thus should not have awarded a contract to Anthem. Anthem sought discretionary review by the Kentucky Supreme Court of the ruling by the Court of Appeals. On April 19, 2023, the Kentucky Supreme Court granted Anthem’s request for discretionary review and ordered legal briefing. Pending further Court order, our Kentucky health plan will continue to operate for the foreseeable future under its current Medicaid contract.</w:t>
      </w:r>
    </w:p>
    <w:p>
      <w:pPr>
        <w:pStyle w:val="TextBody"/>
        <w:spacing w:lineRule="auto" w:line="288" w:before="120" w:after="120"/>
        <w:rPr/>
      </w:pPr>
      <w:r>
        <w:rPr>
          <w:rFonts w:ascii="Arial;sans-serif" w:hAnsi="Arial;sans-serif"/>
          <w:b w:val="false"/>
          <w:i/>
          <w:color w:val="000000"/>
          <w:sz w:val="20"/>
        </w:rPr>
        <w:t>Puerto Rico.</w:t>
      </w:r>
      <w:r>
        <w:rPr>
          <w:color w:val="000000"/>
        </w:rPr>
        <w:t xml:space="preserve"> </w:t>
      </w:r>
      <w:r>
        <w:rPr>
          <w:rFonts w:ascii="Arial;sans-serif" w:hAnsi="Arial;sans-serif"/>
          <w:b w:val="false"/>
          <w:color w:val="000000"/>
          <w:sz w:val="20"/>
        </w:rPr>
        <w:t>On August 13, 2021, Molina Healthcare of Puerto Rico, Inc. (“MHPR”) filed a complaint with the Commonwealth of Puerto Rico, Court of First Instance, San Juan (State Court) asserting, among other claims, breach of contract against Puerto Rico Health Insurance Administration (“ASES”). On September 13, 2021, ASES filed a counterclaim and a third-party complaint against MHPR and the Company. This matter remains subject to significant additional proceedings, and no prediction can be made as to the outcome.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18</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0" w:after="0"/>
        <w:rPr>
          <w:rFonts w:ascii="Arial;sans-serif" w:hAnsi="Arial;sans-serif"/>
          <w:b/>
          <w:color w:val="0F7C7F"/>
          <w:sz w:val="24"/>
        </w:rPr>
      </w:pPr>
      <w:r>
        <w:rPr>
          <w:rFonts w:ascii="Arial;sans-serif" w:hAnsi="Arial;sans-serif"/>
          <w:b/>
          <w:color w:val="0F7C7F"/>
          <w:sz w:val="24"/>
        </w:rPr>
        <w:t>MANAGEMENT’S DISCUSSION AND ANALYSIS OF FINANCIAL CONDITION AND RESULTS OF OPERATIONS (“MD&amp;A”)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FORWARD-LOOKING STATEMENTS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This quarterly report on Form 10-Q contains forward-looking statements regarding our business, financial condition, and results of operations within the meaning of Section 27A of the Securities Act of 1933, or Securities Act, and Section 21E of the Securities Exchange Act of 1934, or Securities Exchange Act. Many of the forward-looking statements are located under the heading “Management’s Discussion and Analysis of Financial Condition and Results of Operations.” Forward-looking statements provide current expectations of future events based on certain assumptions and include any statement that does not directly relate to any historical or current fact. Forward-looking statements can also be identified by words such as “guidance,” “future,” “anticipates,” “believes,” “estimates,” “expects,” “growth,” “intends,” “plans,” “predicts,” “projects,” “will,” “would,” “could,” “can,” “may,” and similar terms. Readers are cautioned not to place undue reliance on any forward-looking statements, as forward-looking statements are not guarantees of future performance and the Company’s actual results may differ significantly due to numerous known and unknown risks and uncertainties. Those known risks and uncertainties include, but are not limited to, the risk factors identified in the section titled “Risk Factors” in our 2022 Annual Report on Form 10-K, including without limitation risks related to the following matters:</w:t>
      </w:r>
    </w:p>
    <w:p>
      <w:pPr>
        <w:pStyle w:val="TextBody"/>
        <w:spacing w:lineRule="auto" w:line="288" w:before="0" w:after="0"/>
        <w:ind w:left="0" w:right="0" w:hanging="360"/>
        <w:rPr/>
      </w:pPr>
      <w:r>
        <w:rPr>
          <w:color w:val="000000"/>
        </w:rPr>
        <w:t>•</w:t>
      </w:r>
      <w:r>
        <w:rPr>
          <w:rFonts w:ascii="Arial;sans-serif" w:hAnsi="Arial;sans-serif"/>
          <w:b w:val="false"/>
          <w:i/>
          <w:color w:val="000000"/>
          <w:sz w:val="20"/>
        </w:rPr>
        <w:t>the impact of Medicaid redeterminations across the country following the ending of the Public Health Emergency (“PHE”) for the COVID-19 pandemic, including the accuracy of our projections regarding the number of members we expect to retain, their health acuity levels, and the scale of the transition of members out of the Medicaid program and the actuarially sound adjustment of rates with regard to the remaining population;</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budget pressures on state governments following the ending of the PHE and reduced federal matching funds, and states’ efforts to reduce rates or limit rate increases; </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the constantly evolving market dynamics surrounding the </w:t>
      </w:r>
      <w:r>
        <w:rPr>
          <w:rFonts w:ascii="Arial;sans-serif" w:hAnsi="Arial;sans-serif"/>
          <w:b w:val="false"/>
          <w:i/>
          <w:color w:val="000000"/>
          <w:sz w:val="20"/>
          <w:highlight w:val="white"/>
        </w:rPr>
        <w:t>Affordable Care Act (</w:t>
      </w:r>
      <w:r>
        <w:rPr>
          <w:color w:val="000000"/>
          <w:highlight w:val="white"/>
        </w:rPr>
        <w:t>“</w:t>
      </w:r>
      <w:r>
        <w:rPr>
          <w:rFonts w:ascii="Arial;sans-serif" w:hAnsi="Arial;sans-serif"/>
          <w:b w:val="false"/>
          <w:i/>
          <w:color w:val="000000"/>
          <w:sz w:val="20"/>
        </w:rPr>
        <w:t>ACA”) Marketplaces, including issues impacting enrollment, special enrollment periods, member choice, risk adjustment estimates and results, Marketplace plan insolvencies or receiverships, and the potential for disproportionate enrollment of higher acuity members;</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the success of our efforts to retain existing or awarded government contracts, the success of our bid submissions in response to requests for proposal, and our ability to identify merger and acquisition targets to support our continued growth over time; </w:t>
      </w:r>
    </w:p>
    <w:p>
      <w:pPr>
        <w:pStyle w:val="TextBody"/>
        <w:spacing w:lineRule="auto" w:line="288" w:before="0" w:after="0"/>
        <w:ind w:left="0" w:right="0" w:hanging="360"/>
        <w:rPr/>
      </w:pPr>
      <w:r>
        <w:rPr>
          <w:color w:val="000000"/>
        </w:rPr>
        <w:t>•</w:t>
      </w:r>
      <w:r>
        <w:rPr>
          <w:rFonts w:ascii="Arial;sans-serif" w:hAnsi="Arial;sans-serif"/>
          <w:b w:val="false"/>
          <w:i/>
          <w:color w:val="000000"/>
          <w:sz w:val="20"/>
        </w:rPr>
        <w:t>the success of the scaling up of our operations in California, Iowa, Nebraska, and Indiana in connection with our recent request for proposal (“RFP”) wins;</w:t>
      </w:r>
    </w:p>
    <w:p>
      <w:pPr>
        <w:pStyle w:val="TextBody"/>
        <w:spacing w:lineRule="auto" w:line="288" w:before="0" w:after="0"/>
        <w:ind w:left="0" w:right="0" w:hanging="360"/>
        <w:rPr/>
      </w:pPr>
      <w:r>
        <w:rPr>
          <w:color w:val="000000"/>
        </w:rPr>
        <w:t>•</w:t>
      </w:r>
      <w:r>
        <w:rPr>
          <w:rFonts w:ascii="Arial;sans-serif" w:hAnsi="Arial;sans-serif"/>
          <w:b w:val="false"/>
          <w:i/>
          <w:color w:val="000000"/>
          <w:sz w:val="20"/>
        </w:rPr>
        <w:t>our ability to close, integrate, and realize benefits from acquisitions, including the acquisitions of AgeWell New York and My Choice Wisconsin;</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subsequent adjustments to reported premium revenue based upon subsequent developments or new information, including changes to estimated amounts payable or receivable related to Marketplace risk adjustment; </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effective management of our medical costs; </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our ability to predict with a reasonable degree of accuracy utilization rates, including utilization rates associated with COVID-19; </w:t>
      </w:r>
    </w:p>
    <w:p>
      <w:pPr>
        <w:pStyle w:val="TextBody"/>
        <w:spacing w:lineRule="auto" w:line="288" w:before="0" w:after="0"/>
        <w:ind w:left="0" w:right="0" w:hanging="360"/>
        <w:rPr/>
      </w:pPr>
      <w:r>
        <w:rPr>
          <w:color w:val="000000"/>
        </w:rPr>
        <w:t>•</w:t>
      </w:r>
      <w:r>
        <w:rPr>
          <w:rFonts w:ascii="Arial;sans-serif" w:hAnsi="Arial;sans-serif"/>
          <w:b w:val="false"/>
          <w:i/>
          <w:color w:val="000000"/>
          <w:sz w:val="20"/>
        </w:rPr>
        <w:t>cyber-attacks, ransomware attacks, or other privacy or data security incidents involving either ourselves or our contracted vendors that result in an inadvertent unauthorized disclosure of protected information, and the extent to which our working in a remote work environment heightens our exposure to these risks;</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the ability to manage our operations, including maintaining and creating adequate internal systems and controls relating to authorizations, approvals, provider payments, and the overall success of our care management initiatives; </w:t>
      </w:r>
    </w:p>
    <w:p>
      <w:pPr>
        <w:pStyle w:val="TextBody"/>
        <w:spacing w:lineRule="auto" w:line="288" w:before="0" w:after="0"/>
        <w:ind w:left="0" w:right="0" w:hanging="360"/>
        <w:rPr/>
      </w:pPr>
      <w:r>
        <w:rPr>
          <w:color w:val="000000"/>
        </w:rPr>
        <w:t>•</w:t>
      </w:r>
      <w:r>
        <w:rPr>
          <w:rFonts w:ascii="Arial;sans-serif" w:hAnsi="Arial;sans-serif"/>
          <w:b w:val="false"/>
          <w:i/>
          <w:color w:val="000000"/>
          <w:sz w:val="20"/>
        </w:rPr>
        <w:t>the impact of our transition to a permanent remote work environment, including any associated impairment charges or contract termination costs;</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our receipt of adequate premium rates to support increasing pharmacy costs, including costs associated with specialty drugs and costs resulting from formulary changes that allow the option of higher-priced non-generic drugs; </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our ability to operate profitably in an environment where the trend in premium rate increases lags behind the trend in increasing medical costs; </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the interpretation and implementation of federal or state medical cost expenditure floors, administrative cost and profit ceilings, premium stabilization programs, profit-sharing arrangements, and risk adjustment provisions and requirements;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19</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our estimates of amounts owed for such minimum annual medical loss ratio (“Minimum MLR”), administrative cost and profit ceilings, premium stabilization programs, profit-sharing arrangements, and risk adjustment provisions and requirements; </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the Medicaid expansion medical cost corridor, and any other retroactive adjustment to revenue where methodologies and procedures are subject to interpretation or dependent upon information about the health status of participants other than Molina members; </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the interpretation and implementation of at-risk premium rules and state contract performance requirements regarding the achievement of certain quality measures, and our ability to recognize revenue amounts associated therewith; </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the success and continuance of programs in California, Illinois, Michigan, Ohio, South Carolina, and Texas serving those dually eligible for both Medicaid and Medicare; </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the accurate estimation of incurred but not reported or paid medical costs across our health plans; </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efforts by states to recoup previously paid and recognized premium amounts; </w:t>
      </w:r>
    </w:p>
    <w:p>
      <w:pPr>
        <w:pStyle w:val="TextBody"/>
        <w:spacing w:lineRule="auto" w:line="288" w:before="0" w:after="0"/>
        <w:ind w:left="0" w:right="0" w:hanging="360"/>
        <w:jc w:val="both"/>
        <w:rPr/>
      </w:pPr>
      <w:r>
        <w:rPr>
          <w:color w:val="000000"/>
        </w:rPr>
        <w:t>•</w:t>
      </w:r>
      <w:r>
        <w:rPr>
          <w:rFonts w:ascii="Arial;sans-serif" w:hAnsi="Arial;sans-serif"/>
          <w:b w:val="false"/>
          <w:i/>
          <w:color w:val="000000"/>
          <w:sz w:val="20"/>
        </w:rPr>
        <w:t>changes in our annual effective tax rate, due to federal and/or state legislation, or changes in our mix of earnings and other factors;</w:t>
      </w:r>
    </w:p>
    <w:p>
      <w:pPr>
        <w:pStyle w:val="TextBody"/>
        <w:spacing w:lineRule="auto" w:line="288" w:before="0" w:after="0"/>
        <w:ind w:left="0" w:right="0" w:hanging="360"/>
        <w:jc w:val="both"/>
        <w:rPr/>
      </w:pPr>
      <w:r>
        <w:rPr>
          <w:color w:val="000000"/>
        </w:rPr>
        <w:t>•</w:t>
      </w:r>
      <w:r>
        <w:rPr>
          <w:rFonts w:ascii="Arial;sans-serif" w:hAnsi="Arial;sans-serif"/>
          <w:b w:val="false"/>
          <w:i/>
          <w:color w:val="000000"/>
          <w:sz w:val="20"/>
        </w:rPr>
        <w:t xml:space="preserve">the efficient and effective operations of the vendors on whom our business relies; </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complications, member confusion, eligibility redeterminations, or enrollment backlogs related to the renewal of Medicaid coverage; </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fraud, waste and abuse matters, government audits or reviews, comment letters, or potential investigations, and any fine, sanction, enrollment freeze, corrective action plan, monitoring program, or premium recovery that may result therefrom; </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the success of our providers, including delegated providers, the adequacy of our provider networks, the successful maintenance of relations with our providers, and the potential loss of providers; </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approval by state regulators of dividends and distributions by our health plan subsidiaries; </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changes in funding under our contracts as a result of regulatory changes, programmatic adjustments, or other reforms; </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high dollar claims related to catastrophic illness; </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the resolution of litigation, arbitration, or administrative proceedings; </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the greater scale and revenues of our health plans in California, New York, Ohio, Texas, and Washington, and risks related to the concentration of our business in those states; </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the failure to comply with the financial or other covenants in our credit agreement or the indentures governing our outstanding senior notes; </w:t>
      </w:r>
    </w:p>
    <w:p>
      <w:pPr>
        <w:pStyle w:val="TextBody"/>
        <w:spacing w:lineRule="auto" w:line="288" w:before="0" w:after="0"/>
        <w:ind w:left="0" w:right="0" w:hanging="360"/>
        <w:jc w:val="both"/>
        <w:rPr/>
      </w:pPr>
      <w:r>
        <w:rPr>
          <w:color w:val="000000"/>
        </w:rPr>
        <w:t>•</w:t>
      </w:r>
      <w:r>
        <w:rPr>
          <w:rFonts w:ascii="Arial;sans-serif" w:hAnsi="Arial;sans-serif"/>
          <w:b w:val="false"/>
          <w:i/>
          <w:color w:val="000000"/>
          <w:sz w:val="20"/>
        </w:rPr>
        <w:t>the availability of adequate financing on acceptable terms to fund and capitalize our expansion and growth, repay our outstanding indebtedness at maturity, and meet our general liquidity needs;</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the failure of a state in which we operate to renew its federal Medicaid waiver; </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changes generally affecting the managed care industry, including any new federal or state legislation that impacts the business space in which we operate; </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increases in government surcharges, taxes, and assessments; </w:t>
      </w:r>
    </w:p>
    <w:p>
      <w:pPr>
        <w:pStyle w:val="TextBody"/>
        <w:spacing w:lineRule="auto" w:line="288" w:before="0" w:after="0"/>
        <w:ind w:left="0" w:right="0" w:hanging="360"/>
        <w:rPr/>
      </w:pPr>
      <w:r>
        <w:rPr>
          <w:color w:val="000000"/>
        </w:rPr>
        <w:t>•</w:t>
      </w:r>
      <w:r>
        <w:rPr>
          <w:rFonts w:ascii="Arial;sans-serif" w:hAnsi="Arial;sans-serif"/>
          <w:b w:val="false"/>
          <w:i/>
          <w:color w:val="000000"/>
          <w:sz w:val="20"/>
        </w:rPr>
        <w:t xml:space="preserve">the impact of inflation on our medical costs and the cost of refinancing our outstanding indebtedness; </w:t>
      </w:r>
    </w:p>
    <w:p>
      <w:pPr>
        <w:pStyle w:val="TextBody"/>
        <w:spacing w:lineRule="auto" w:line="288" w:before="0" w:after="0"/>
        <w:ind w:left="0" w:right="0" w:hanging="360"/>
        <w:rPr/>
      </w:pPr>
      <w:r>
        <w:rPr>
          <w:color w:val="000000"/>
        </w:rPr>
        <w:t>•</w:t>
      </w:r>
      <w:r>
        <w:rPr>
          <w:rFonts w:ascii="Arial;sans-serif" w:hAnsi="Arial;sans-serif"/>
          <w:b w:val="false"/>
          <w:i/>
          <w:color w:val="000000"/>
          <w:sz w:val="20"/>
        </w:rPr>
        <w:t>the unexpected loss of the leadership of one or more of our senior executives; and</w:t>
      </w:r>
    </w:p>
    <w:p>
      <w:pPr>
        <w:pStyle w:val="TextBody"/>
        <w:spacing w:lineRule="auto" w:line="288" w:before="0" w:after="0"/>
        <w:ind w:left="0" w:right="0" w:hanging="360"/>
        <w:rPr/>
      </w:pPr>
      <w:r>
        <w:rPr>
          <w:color w:val="000000"/>
        </w:rPr>
        <w:t>•</w:t>
      </w:r>
      <w:r>
        <w:rPr>
          <w:rFonts w:ascii="Arial;sans-serif" w:hAnsi="Arial;sans-serif"/>
          <w:b w:val="false"/>
          <w:i/>
          <w:color w:val="000000"/>
          <w:sz w:val="20"/>
        </w:rPr>
        <w:t>increasing competition and consolidation in the Medicaid industry.</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Each of the terms “Molina Healthcare, Inc.” “Molina Healthcare,” “Company,” “we,” “our,” and “us,” as used herein, refers collectively to Molina Healthcare, Inc. and its wholly owned subsidiaries, unless otherwise stated. The Company assumes no obligation to revise or update any forward-looking statements for any reason, except as required by law.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Readers should refer to the section entitled “Risk Factors” in our 2022 Annual Report on Form 10-K, for a discussion of certain risk factors that could materially affect our business, financial condition, cash flows, or results of operations. Given these risks and uncertainties, we can give no assurance that any results or events projected or contemplated by our forward-looking statements will in fact occur.</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This Quarterly Report on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2022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20</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120" w:after="120"/>
        <w:rPr>
          <w:rFonts w:ascii="Arial;sans-serif" w:hAnsi="Arial;sans-serif"/>
          <w:b/>
          <w:color w:val="0F7C7F"/>
          <w:sz w:val="24"/>
        </w:rPr>
      </w:pPr>
      <w:r>
        <w:rPr>
          <w:rFonts w:ascii="Arial;sans-serif" w:hAnsi="Arial;sans-serif"/>
          <w:b/>
          <w:color w:val="0F7C7F"/>
          <w:sz w:val="24"/>
        </w:rPr>
        <w:t>OVERVIEW</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Molina Healthcare, Inc., a FORTUNE 500 company (currently ranked 125), provides managed healthcare services under the Medicaid and Medicare programs, and through the state insurance marketplaces (the “Marketplace”). We served approximately 5.3 million members as of March 31, 2023, located across 19 states.</w:t>
      </w: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FIRST QUARTER 2023 HIGHLIGHTS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We reported net income of $321 million, or $5.52 per diluted share, for the first quarter of 2023, which reflected the following:</w:t>
      </w:r>
    </w:p>
    <w:p>
      <w:pPr>
        <w:pStyle w:val="TextBody"/>
        <w:spacing w:lineRule="auto" w:line="288" w:before="0" w:after="0"/>
        <w:ind w:left="0" w:right="0" w:hanging="360"/>
        <w:rPr/>
      </w:pPr>
      <w:r>
        <w:rPr>
          <w:color w:val="000000"/>
        </w:rPr>
        <w:t>•</w:t>
      </w:r>
      <w:r>
        <w:rPr>
          <w:rFonts w:ascii="Arial;sans-serif" w:hAnsi="Arial;sans-serif"/>
          <w:b w:val="false"/>
          <w:color w:val="000000"/>
          <w:sz w:val="20"/>
        </w:rPr>
        <w:t>Membership increased 181,000, or 4%, compared with March 31, 2022, and increased sequentially by 8,000 compared to December 31, 2022;</w:t>
      </w:r>
    </w:p>
    <w:p>
      <w:pPr>
        <w:pStyle w:val="TextBody"/>
        <w:spacing w:lineRule="auto" w:line="288" w:before="0" w:after="0"/>
        <w:ind w:left="0" w:right="0" w:hanging="360"/>
        <w:rPr/>
      </w:pPr>
      <w:r>
        <w:rPr>
          <w:color w:val="000000"/>
        </w:rPr>
        <w:t>•</w:t>
      </w:r>
      <w:r>
        <w:rPr>
          <w:rFonts w:ascii="Arial;sans-serif" w:hAnsi="Arial;sans-serif"/>
          <w:b w:val="false"/>
          <w:color w:val="000000"/>
          <w:sz w:val="20"/>
        </w:rPr>
        <w:t>Premium revenue of $7.9 billion increased 5% compared with the first quarter of 2022, reflecting the increased organic membership in Medicaid and Medicare, and the impact of acquisitions, partially offset by the impact of expected attrition in Marketplace membership;</w:t>
      </w:r>
    </w:p>
    <w:p>
      <w:pPr>
        <w:pStyle w:val="TextBody"/>
        <w:spacing w:lineRule="auto" w:line="288" w:before="0" w:after="0"/>
        <w:ind w:left="0" w:right="0" w:hanging="360"/>
        <w:rPr/>
      </w:pPr>
      <w:r>
        <w:rPr>
          <w:color w:val="000000"/>
        </w:rPr>
        <w:t>•</w:t>
      </w:r>
      <w:r>
        <w:rPr>
          <w:rFonts w:ascii="Arial;sans-serif" w:hAnsi="Arial;sans-serif"/>
          <w:b w:val="false"/>
          <w:color w:val="000000"/>
          <w:sz w:val="20"/>
        </w:rPr>
        <w:t>Consolidated medical care ratio (“MCR”) was 87.1%, consistent with the first quarter of 2022, which we believe demonstrates continued strong operating performance;</w:t>
      </w:r>
    </w:p>
    <w:p>
      <w:pPr>
        <w:pStyle w:val="TextBody"/>
        <w:spacing w:lineRule="auto" w:line="288" w:before="0" w:after="0"/>
        <w:ind w:left="0" w:right="0" w:hanging="360"/>
        <w:rPr/>
      </w:pPr>
      <w:r>
        <w:rPr>
          <w:color w:val="000000"/>
        </w:rPr>
        <w:t>•</w:t>
      </w:r>
      <w:r>
        <w:rPr>
          <w:rFonts w:ascii="Arial;sans-serif" w:hAnsi="Arial;sans-serif"/>
          <w:b w:val="false"/>
          <w:color w:val="000000"/>
          <w:sz w:val="20"/>
        </w:rPr>
        <w:t xml:space="preserve">General and administrative expense (“G&amp;A”) ratio of 7.2%, which improved compared with 7.4% in the first quarter of 2022, reflecting the benefits of scale produced by our increase in revenue and disciplined cost management; and </w:t>
      </w:r>
    </w:p>
    <w:p>
      <w:pPr>
        <w:pStyle w:val="TextBody"/>
        <w:spacing w:lineRule="auto" w:line="288" w:before="0" w:after="120"/>
        <w:ind w:left="0" w:right="0" w:hanging="360"/>
        <w:rPr/>
      </w:pPr>
      <w:r>
        <w:rPr>
          <w:color w:val="000000"/>
        </w:rPr>
        <w:t>•</w:t>
      </w:r>
      <w:r>
        <w:rPr>
          <w:rFonts w:ascii="Arial;sans-serif" w:hAnsi="Arial;sans-serif"/>
          <w:b w:val="false"/>
          <w:color w:val="000000"/>
          <w:sz w:val="20"/>
        </w:rPr>
        <w:t>After-tax margin of 3.9%, which was in line with our expectations.</w:t>
      </w: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21</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120" w:after="60"/>
        <w:rPr>
          <w:rFonts w:ascii="Arial;sans-serif" w:hAnsi="Arial;sans-serif"/>
          <w:b/>
          <w:color w:val="0F7C7F"/>
          <w:sz w:val="24"/>
        </w:rPr>
      </w:pPr>
      <w:r>
        <w:rPr>
          <w:rFonts w:ascii="Arial;sans-serif" w:hAnsi="Arial;sans-serif"/>
          <w:b/>
          <w:color w:val="0F7C7F"/>
          <w:sz w:val="24"/>
        </w:rPr>
        <w:t>CONSOLIDATED FINANCIAL SUMMARY</w:t>
      </w:r>
    </w:p>
    <w:tbl>
      <w:tblPr>
        <w:tblW w:w="7511" w:type="dxa"/>
        <w:jc w:val="left"/>
        <w:tblInd w:w="0" w:type="dxa"/>
        <w:tblCellMar>
          <w:top w:w="28" w:type="dxa"/>
          <w:left w:w="28" w:type="dxa"/>
          <w:bottom w:w="28" w:type="dxa"/>
          <w:right w:w="28" w:type="dxa"/>
        </w:tblCellMar>
      </w:tblPr>
      <w:tblGrid>
        <w:gridCol w:w="1385"/>
        <w:gridCol w:w="1215"/>
        <w:gridCol w:w="1224"/>
        <w:gridCol w:w="268"/>
        <w:gridCol w:w="783"/>
        <w:gridCol w:w="345"/>
        <w:gridCol w:w="138"/>
        <w:gridCol w:w="138"/>
        <w:gridCol w:w="138"/>
        <w:gridCol w:w="268"/>
        <w:gridCol w:w="783"/>
        <w:gridCol w:w="345"/>
        <w:gridCol w:w="109"/>
        <w:gridCol w:w="109"/>
        <w:gridCol w:w="109"/>
        <w:gridCol w:w="154"/>
      </w:tblGrid>
      <w:tr>
        <w:trPr/>
        <w:tc>
          <w:tcPr>
            <w:tcW w:w="1385"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per-share amounts)</w:t>
            </w:r>
          </w:p>
        </w:tc>
        <w:tc>
          <w:tcPr>
            <w:tcW w:w="481" w:type="dxa"/>
            <w:gridSpan w:val="4"/>
            <w:tcBorders/>
            <w:shd w:fill="auto" w:val="clea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revenue</w:t>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7,885 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7,531 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medical care costs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6,871 </w:t>
            </w:r>
          </w:p>
        </w:tc>
        <w:tc>
          <w:tcPr>
            <w:tcW w:w="3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6,563 </w:t>
            </w:r>
          </w:p>
        </w:tc>
        <w:tc>
          <w:tcPr>
            <w:tcW w:w="3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margin</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18"/>
              </w:rPr>
              <w:t xml:space="preserve">MCR </w:t>
            </w:r>
            <w:r>
              <w:rPr>
                <w:rFonts w:ascii="Arial;sans-serif" w:hAnsi="Arial;sans-serif"/>
                <w:b w:val="false"/>
                <w:i/>
                <w:color w:val="000000"/>
                <w:sz w:val="12"/>
              </w:rPr>
              <w:t>(1)</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87.1 </w:t>
            </w:r>
          </w:p>
        </w:tc>
        <w:tc>
          <w:tcPr>
            <w:tcW w:w="3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87.1 </w:t>
            </w:r>
          </w:p>
        </w:tc>
        <w:tc>
          <w:tcPr>
            <w:tcW w:w="3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revenues:</w:t>
            </w:r>
          </w:p>
        </w:tc>
        <w:tc>
          <w:tcPr>
            <w:tcW w:w="1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tax revenue</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vAlign w:val="center"/>
          </w:tcPr>
          <w:p>
            <w:pPr>
              <w:pStyle w:val="TableContents"/>
              <w:spacing w:before="0" w:after="283"/>
              <w:rPr>
                <w:sz w:val="4"/>
                <w:szCs w:val="4"/>
              </w:rPr>
            </w:pPr>
            <w:r>
              <w:rPr>
                <w:sz w:val="4"/>
                <w:szCs w:val="4"/>
              </w:rPr>
            </w:r>
          </w:p>
        </w:tc>
        <w:tc>
          <w:tcPr>
            <w:tcW w:w="139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3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vAlign w:val="center"/>
          </w:tcPr>
          <w:p>
            <w:pPr>
              <w:pStyle w:val="TableContents"/>
              <w:spacing w:before="0" w:after="283"/>
              <w:rPr>
                <w:sz w:val="4"/>
                <w:szCs w:val="4"/>
              </w:rPr>
            </w:pPr>
            <w:r>
              <w:rPr>
                <w:sz w:val="4"/>
                <w:szCs w:val="4"/>
              </w:rPr>
            </w:r>
          </w:p>
        </w:tc>
        <w:tc>
          <w:tcPr>
            <w:tcW w:w="139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3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income</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3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18"/>
              </w:rPr>
              <w:t xml:space="preserve">G&amp;A ratio </w:t>
            </w:r>
            <w:r>
              <w:rPr>
                <w:rFonts w:ascii="Arial;sans-serif" w:hAnsi="Arial;sans-serif"/>
                <w:b w:val="false"/>
                <w:i/>
                <w:color w:val="000000"/>
                <w:sz w:val="12"/>
              </w:rPr>
              <w:t>(2)</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7.2 </w:t>
            </w:r>
          </w:p>
        </w:tc>
        <w:tc>
          <w:tcPr>
            <w:tcW w:w="3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7.4 </w:t>
            </w:r>
          </w:p>
        </w:tc>
        <w:tc>
          <w:tcPr>
            <w:tcW w:w="3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tax expenses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3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3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vAlign w:val="center"/>
          </w:tcPr>
          <w:p>
            <w:pPr>
              <w:pStyle w:val="TableContents"/>
              <w:spacing w:before="0" w:after="283"/>
              <w:rPr>
                <w:sz w:val="4"/>
                <w:szCs w:val="4"/>
              </w:rPr>
            </w:pPr>
            <w:r>
              <w:rPr>
                <w:sz w:val="4"/>
                <w:szCs w:val="4"/>
              </w:rPr>
            </w:r>
          </w:p>
        </w:tc>
        <w:tc>
          <w:tcPr>
            <w:tcW w:w="139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3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vAlign w:val="center"/>
          </w:tcPr>
          <w:p>
            <w:pPr>
              <w:pStyle w:val="TableContents"/>
              <w:spacing w:before="0" w:after="283"/>
              <w:rPr>
                <w:sz w:val="4"/>
                <w:szCs w:val="4"/>
              </w:rPr>
            </w:pPr>
            <w:r>
              <w:rPr>
                <w:sz w:val="4"/>
                <w:szCs w:val="4"/>
              </w:rPr>
            </w:r>
          </w:p>
        </w:tc>
        <w:tc>
          <w:tcPr>
            <w:tcW w:w="139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3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 expense</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3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3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18"/>
              </w:rPr>
            </w:pPr>
            <w:r>
              <w:rPr>
                <w:rFonts w:ascii="Arial;sans-serif" w:hAnsi="Arial;sans-serif"/>
                <w:b w:val="false"/>
                <w:color w:val="000000"/>
                <w:sz w:val="18"/>
              </w:rPr>
              <w:t>Net income per share – Diluted</w:t>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shares outstanding</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Other Key Statistics</w:t>
            </w:r>
          </w:p>
        </w:tc>
        <w:tc>
          <w:tcPr>
            <w:tcW w:w="1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membership</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3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3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3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3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After-tax margin </w:t>
            </w:r>
            <w:r>
              <w:rPr>
                <w:rFonts w:ascii="Arial;sans-serif" w:hAnsi="Arial;sans-serif"/>
                <w:b w:val="false"/>
                <w:color w:val="000000"/>
                <w:sz w:val="12"/>
              </w:rPr>
              <w:t>(3)</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3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3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________________________</w:t>
      </w:r>
    </w:p>
    <w:p>
      <w:pPr>
        <w:pStyle w:val="TextBody"/>
        <w:spacing w:lineRule="auto" w:line="288" w:before="60" w:after="283"/>
        <w:ind w:left="0" w:right="0" w:hanging="360"/>
        <w:rPr>
          <w:rFonts w:ascii="Arial;sans-serif" w:hAnsi="Arial;sans-serif"/>
          <w:b w:val="false"/>
          <w:color w:val="000000"/>
          <w:sz w:val="18"/>
        </w:rPr>
      </w:pPr>
      <w:r>
        <w:rPr>
          <w:rFonts w:ascii="Arial;sans-serif" w:hAnsi="Arial;sans-serif"/>
          <w:b w:val="false"/>
          <w:color w:val="000000"/>
          <w:sz w:val="18"/>
        </w:rPr>
        <w:t>(1)    MCR represents medical care costs as a percentage of premium revenue.</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(2)    G&amp;A ratio represents general and administrative expenses as a percentage of total revenue.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(3)    After-tax margin represents net income as a percentage of total revenue.</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0F7C7F"/>
          <w:sz w:val="24"/>
        </w:rPr>
      </w:pPr>
      <w:r>
        <w:rPr>
          <w:rFonts w:ascii="Arial;sans-serif" w:hAnsi="Arial;sans-serif"/>
          <w:b/>
          <w:color w:val="0F7C7F"/>
          <w:sz w:val="24"/>
        </w:rPr>
        <w:t>CONSOLIDATED RESULTS</w:t>
      </w:r>
    </w:p>
    <w:p>
      <w:pPr>
        <w:pStyle w:val="TextBody"/>
        <w:spacing w:lineRule="auto" w:line="288" w:before="120" w:after="120"/>
        <w:ind w:left="0" w:right="0" w:hanging="180"/>
        <w:rPr>
          <w:rFonts w:ascii="Arial;sans-serif" w:hAnsi="Arial;sans-serif"/>
          <w:b/>
          <w:color w:val="828282"/>
          <w:sz w:val="20"/>
        </w:rPr>
      </w:pPr>
      <w:r>
        <w:rPr>
          <w:rFonts w:ascii="Arial;sans-serif" w:hAnsi="Arial;sans-serif"/>
          <w:b/>
          <w:color w:val="828282"/>
          <w:sz w:val="20"/>
        </w:rPr>
        <w:t>NET INCOME AND OPERATING INCOME</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Net income in the first quarter of 2023 amounted to $321 million, or $5.52 per diluted share, compared with $258 million, or $4.39 per diluted share, in the first quarter of 2022. The 24% increase in net income is consistent with the improvement in operating income, which increased to $455 million in the first quarter of 2023, compared with $372 million in the first quarter of 2022.</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The improvement in operating income was mainly due to membership growth that drove higher premium revenues, and medical margin, and increased investment income. </w:t>
      </w: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PREMIUM REVENUE</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Premium revenue increased $354 million, or 5%, in the first quarter of 2023, when compared with the first quarter of 2022. The higher premium revenue reflects increased organic membership in the Medicaid and Medicare segments and the impact of our recent acquisitions, partially offset by a decline in the Marketplace segment.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22</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MEDICAL CARE RATIO</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The consolidated MCR in the first quarter of 2023 was 87.1%, and was consistent with the first quarter of 2022. The Medicaid and Medicare MCRs increased slightly, while the Marketplace MCR decreased.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prior year reserve development in the first quarter of 2023 was favorable, but its impact on earnings was mostly absorbed by minimum MLRs and medical cost corridors.</w:t>
      </w: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PREMIUM TAX REVENUE AND EXPENSES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premium tax ratio (premium tax expense as a percentage of premium revenue plus premium tax revenue) was 2.1% and 2.7% for the first quarter of 2023 and 2022, respectively. The current year ratio decrease was mainly due to changes in business mix.</w:t>
      </w: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INVESTMENT INCOME</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Investment income increased to $71 million in the first quarter of 2023, compared with $11 million in the first quarter of 2022, mainly due to an increase in interest rates and, to a lesser extent, higher levels of invested assets. </w:t>
      </w: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OTHER REVENUE</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Other revenue amounted to $21 million in the first quarter of 2023, compared with $20 million in the first quarter of 2022. Other revenue mainly includes service revenue associated with long-term services and supports consultative services we provide in Wisconsin. </w:t>
      </w: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G&amp;A EXPENSES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The G&amp;A expense ratio was 7.2% in the first quarter of 2023, compared with 7.4% in the first quarter of 2022, mainly reflecting the benefits of scale produced by our increase in revenue and continued disciplined cost management, net of deployment costs for new business implementation associated with our recent contract wins that will start in mid-2023 and January 2024. </w:t>
      </w: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DEPRECIATION AND AMORTIZATION</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Depreciation and amortization increased to $44 million in the first quarter of 2023, compared with $40 million in the first quarter of 2022, due primarily to amortization associated with the AgeWell acquisition completed in the fourth quarter of 2022. </w:t>
      </w: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OTHER OPERATING EXPENSES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Other operating expenses totaled $16 million in the first quarter of 2023 and were consistent with the first quarter of 2022. Other operating expenses mainly include service costs associated with long-term services and supports consultative services we provide in Wisconsin, as noted above. </w:t>
      </w: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INTEREST EXPENSE</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Interest expense totaled $28 million in the first quarter of 2023 and was consistent with the first quarter of 2022. </w:t>
      </w: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INCOME TAXES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Income tax expense amounted to $106 million in the first quarter of 2023, or 25.0% of pretax income, compared with income tax expense of $86 million, or 25.0% of pretax income in the first quarter of 2022. </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0F7C7F"/>
          <w:sz w:val="24"/>
        </w:rPr>
      </w:pPr>
      <w:r>
        <w:rPr>
          <w:rFonts w:ascii="Arial;sans-serif" w:hAnsi="Arial;sans-serif"/>
          <w:b/>
          <w:color w:val="0F7C7F"/>
          <w:sz w:val="24"/>
        </w:rPr>
        <w:t>TRENDS AND UNCERTAINTIES</w:t>
      </w: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COVID-19 PANDEMIC</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Federal Economic Stabilization and Other Programs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On January 30, 2023, the Biden Administration issued a Statement of Administration Policy declaring its intent to end the PHE on May 11, 2023. While the Consolidated Appropriations Act of 2023 decoupled Medicaid eligibility redeterminations from the PHE, there are several other healthcare programs tied to the PHE which will be impacted by this change in policy. These include coverage of COVID-19 testing and vaccines, changes to the Medicare fee schedule for COVID-related treatments, and free coverage of at-home COVID-19 diagnostic tests. Upon the end of the PHE on May 11, 2023, per federal statutory and regulatory requirements, some of these policies will end immediately, some will continue for the rest of 2023 or through 2024, and some will remain in place permanently.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23</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Operations</w:t>
      </w:r>
    </w:p>
    <w:p>
      <w:pPr>
        <w:pStyle w:val="TextBody"/>
        <w:spacing w:lineRule="auto" w:line="288" w:before="120" w:after="120"/>
        <w:rPr>
          <w:rFonts w:ascii="Arial;sans-serif" w:hAnsi="Arial;sans-serif"/>
          <w:b w:val="false"/>
          <w:color w:val="000000"/>
          <w:sz w:val="20"/>
          <w:u w:val="single"/>
        </w:rPr>
      </w:pPr>
      <w:r>
        <w:rPr>
          <w:rFonts w:ascii="Arial;sans-serif" w:hAnsi="Arial;sans-serif"/>
          <w:b w:val="false"/>
          <w:color w:val="000000"/>
          <w:sz w:val="20"/>
          <w:u w:val="single"/>
        </w:rPr>
        <w:t>Enrollment and Premium Revenue</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Excluding acquisitions and our exit from Puerto Rico, we added approximately 800,000 new Medicaid members since March 31, 2020, when we first began to report on the impacts of the pandemic. We believe this membership increase was mainly due to the suspension of redeterminations for Medicaid eligibility. The recently passed Consolidated Appropriations Act of 2023 authorizes states to resume redeterminations and terminate coverage for ineligible enrollees starting on April 1, 2023, irrespective of the status of the PHE. Consequently, Medicaid enrollment continued to benefit from the pause on membership redeterminations through March 31, 2023, and then is expected to decline as states resume normal enrollment and renewal operations on April 1, 2023. We expect to retain approximately half the membership gained since March 31, 2020 through a variety of well-established operational protocols where allowed.</w:t>
      </w: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OTHER RECENT DEVELOPMENTS</w:t>
      </w:r>
    </w:p>
    <w:p>
      <w:pPr>
        <w:pStyle w:val="TextBody"/>
        <w:spacing w:lineRule="auto" w:line="288" w:before="120" w:after="120"/>
        <w:rPr/>
      </w:pPr>
      <w:r>
        <w:rPr>
          <w:rFonts w:ascii="Arial;sans-serif" w:hAnsi="Arial;sans-serif"/>
          <w:b w:val="false"/>
          <w:i/>
          <w:color w:val="000000"/>
          <w:sz w:val="20"/>
        </w:rPr>
        <w:t xml:space="preserve">Indiana Procurement—Medicaid. </w:t>
      </w:r>
      <w:r>
        <w:rPr>
          <w:rFonts w:ascii="Arial;sans-serif" w:hAnsi="Arial;sans-serif"/>
          <w:b w:val="false"/>
          <w:color w:val="000000"/>
          <w:sz w:val="20"/>
        </w:rPr>
        <w:t xml:space="preserve">In March 2023, we announced that the Indiana Department of Administration has recommended that contract negotiations begin with our Indiana health plan. Under the proposed contract with the Indiana Family and Social Services Administration (“FSSA”), we are expected to provide risk-based managed care long term services and supports as part of the Indiana Pathways for Aging LTSS program pursuant to the request for proposal issued by FSSA in February 2022. The new contract is expected to have an initial four-year term, with the potential for two one-year renewal terms.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For a discussion of additional segment trends, uncertainties and other developments, refer to our 2022 Annual Report on Form 10-K, “Item 1. Business—Our Business,” and “—Legislative and Political Environment.”</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F7C7F"/>
          <w:sz w:val="24"/>
        </w:rPr>
      </w:pPr>
      <w:r>
        <w:rPr>
          <w:rFonts w:ascii="Arial;sans-serif" w:hAnsi="Arial;sans-serif"/>
          <w:b/>
          <w:color w:val="0F7C7F"/>
          <w:sz w:val="24"/>
        </w:rPr>
        <w:t>REPORTABLE SEGMENTS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As of March 31, 2023, we served approximately 5.3 million members eligible for Medicaid, Medicare, and other government-sponsored healthcare programs for low-income families and individuals, including Marketplace members, most of whom receive government premium subsidies.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We currently have 4 reportable segments consisting of: 1) Medicaid; 2) Medicare; 3) Marketplace; and 4) Other.</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w:t>
      </w: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HOW WE ASSESS PERFORMANCE</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We derive our revenues primarily from health insurance premiums. Our primary customers are state Medicaid agencies and the federal government.</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Management’s discussion and analysis of the change in medical margin is discussed below under “Segment Financial Performance.” For more information, see Notes to Consolidated Financial Statements, Note 8, “Segments.”</w:t>
      </w: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24</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SEGMENT MEMBERSHIP</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following table sets forth our membership by segment as of the dates indicated:</w:t>
      </w:r>
    </w:p>
    <w:tbl>
      <w:tblPr>
        <w:tblW w:w="5760" w:type="dxa"/>
        <w:jc w:val="left"/>
        <w:tblInd w:w="0" w:type="dxa"/>
        <w:tblCellMar>
          <w:top w:w="28" w:type="dxa"/>
          <w:left w:w="28" w:type="dxa"/>
          <w:bottom w:w="28" w:type="dxa"/>
          <w:right w:w="28" w:type="dxa"/>
        </w:tblCellMar>
      </w:tblPr>
      <w:tblGrid>
        <w:gridCol w:w="406"/>
        <w:gridCol w:w="357"/>
        <w:gridCol w:w="363"/>
        <w:gridCol w:w="488"/>
        <w:gridCol w:w="488"/>
        <w:gridCol w:w="286"/>
        <w:gridCol w:w="109"/>
        <w:gridCol w:w="109"/>
        <w:gridCol w:w="109"/>
        <w:gridCol w:w="488"/>
        <w:gridCol w:w="488"/>
        <w:gridCol w:w="391"/>
        <w:gridCol w:w="109"/>
        <w:gridCol w:w="109"/>
        <w:gridCol w:w="109"/>
        <w:gridCol w:w="488"/>
        <w:gridCol w:w="488"/>
        <w:gridCol w:w="375"/>
      </w:tblGrid>
      <w:tr>
        <w:trPr/>
        <w:tc>
          <w:tcPr>
            <w:tcW w:w="40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2022</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Medicaid</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4,834,000 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4,754,000 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4,566,000 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Medicare</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161,000 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156,000 </w:t>
            </w:r>
          </w:p>
        </w:tc>
        <w:tc>
          <w:tcPr>
            <w:tcW w:w="3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148,000 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Marketplace</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271,000 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348,000 </w:t>
            </w:r>
          </w:p>
        </w:tc>
        <w:tc>
          <w:tcPr>
            <w:tcW w:w="3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371,000 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5,266,000 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5,258,000 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5,085,000 </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color w:val="828282"/>
          <w:sz w:val="20"/>
        </w:rPr>
      </w:pPr>
      <w:r>
        <w:rPr>
          <w:rFonts w:ascii="Arial;sans-serif" w:hAnsi="Arial;sans-serif"/>
          <w:b/>
          <w:color w:val="828282"/>
          <w:sz w:val="20"/>
        </w:rPr>
        <w:t>SEGMENT FINANCIAL PERFORMANCE</w:t>
      </w:r>
    </w:p>
    <w:p>
      <w:pPr>
        <w:pStyle w:val="TextBody"/>
        <w:spacing w:lineRule="auto" w:line="288" w:before="180" w:after="120"/>
        <w:rPr>
          <w:rFonts w:ascii="Arial;sans-serif" w:hAnsi="Arial;sans-serif"/>
          <w:b w:val="false"/>
          <w:color w:val="000000"/>
          <w:sz w:val="20"/>
        </w:rPr>
      </w:pPr>
      <w:r>
        <w:rPr>
          <w:rFonts w:ascii="Arial;sans-serif" w:hAnsi="Arial;sans-serif"/>
          <w:b w:val="false"/>
          <w:color w:val="000000"/>
          <w:sz w:val="20"/>
        </w:rPr>
        <w:t>The following table summarizes premium revenue, medical margin, and MCR by segment for the periods indicated (dollars in millions):</w:t>
      </w:r>
    </w:p>
    <w:tbl>
      <w:tblPr>
        <w:tblW w:w="7964" w:type="dxa"/>
        <w:jc w:val="center"/>
        <w:tblInd w:w="0" w:type="dxa"/>
        <w:tblCellMar>
          <w:top w:w="28" w:type="dxa"/>
          <w:left w:w="28" w:type="dxa"/>
          <w:bottom w:w="28" w:type="dxa"/>
          <w:right w:w="28" w:type="dxa"/>
        </w:tblCellMar>
      </w:tblPr>
      <w:tblGrid>
        <w:gridCol w:w="406"/>
        <w:gridCol w:w="357"/>
        <w:gridCol w:w="363"/>
        <w:gridCol w:w="211"/>
        <w:gridCol w:w="616"/>
        <w:gridCol w:w="109"/>
        <w:gridCol w:w="109"/>
        <w:gridCol w:w="109"/>
        <w:gridCol w:w="109"/>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11"/>
        <w:gridCol w:w="466"/>
        <w:gridCol w:w="109"/>
        <w:gridCol w:w="109"/>
        <w:gridCol w:w="109"/>
        <w:gridCol w:w="109"/>
        <w:gridCol w:w="255"/>
        <w:gridCol w:w="256"/>
        <w:gridCol w:w="316"/>
      </w:tblGrid>
      <w:tr>
        <w:trPr/>
        <w:tc>
          <w:tcPr>
            <w:tcW w:w="40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8"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0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Premium</w:t>
              <w:br/>
              <w:t>Revenue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Medical</w:t>
              <w:br/>
              <w:t>Margin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MCR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Premium</w:t>
              <w:br/>
              <w:t>Revenue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Medical</w:t>
              <w:br/>
              <w:t>Margin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MCR</w:t>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Medicaid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Medicare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Marketplace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87.1 </w:t>
            </w:r>
          </w:p>
        </w:tc>
        <w:tc>
          <w:tcPr>
            <w:tcW w:w="31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Medicaid</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Medicaid premium revenue increased $369 million, or 6%, in the first quarter of 2023, when compared with the first quarter of 2022. The increase was mainly due to organic membership growth and the impact from the AgeWell acquisition that closed in the fourth quarter of 2022, partially offset by the impact of minimum MLR and medical cost corridors. Excluding the AgeWell acquisition, membership growth was across several states and was mainly driven by the extension of the PHE period and the associated suspension of membership redeterminations due to COVID-19.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medical margin in our Medicaid program increased $24 million, or 3%, in the first quarter of 2023 when compared with the first quarter of 2022. The increase was driven by increased premium revenues and margin associated with the membership growth discussed above, partially offset by an increase in the MCR.</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Medicaid MCR increased to 88.4% in the first quarter of 2023, from 88.1% in the first quarter of 2022, or 30 basis points. The increase was mainly attributable to certain state rate actions and retrospective premium adjustments, and changes in business mix, partially offset by improved operations, including medical cost management. The Medicaid MCR for the first quarter of 2023 is consistent with our long-term target range.</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Medicare</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Medicare premium revenue increased $103 million, or 11%, in the first quarter of 2023 when compared to the first quarter of 2022. The increase was primarily due to the impact of MAPD and D-SNP membership expansion, including organic membership growth in existing states.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medical margin for Medicare decreased $2 million in the first quarter of 2023, when compared with the first quarter of 2022, mainly due to the increase in MCR discussed below, partially offset by the increase in premium revenues.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Medicare MCR increased to 88.0% in the first quarter of 2023, from 86.5% in the first quarter of 2022, or 150 basis points. The increase was primarily driven by higher non-COVID utilization and the impact of lower risk-adjusted premiums associated with first year MAPD members, partially offset by higher risk scores on renewing members that more closely reflect the acuity of our membership, and strong medical cost management. The Medicare MCR for the first quarter of 2023 is within our long-term target range.</w:t>
      </w: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25</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Marketplace</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Marketplace premium revenue in the first quarter of 2023 decreased $118 million, compared with the first quarter of 2022, mainly due to an expected reduction in membership, partially offset by an increase in premium revenue PMPM. Our Marketplace membership as of March 31, 2023 amounted to 271,000 members, representing a decline of 77,000 members compared to December 31, 2022, which is in line with our product and pricing strategy to achieve our target margins in this segment. The increase in premium revenue PMPM is consistent with the product and pricing strategy.</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Marketplace medical margin increased $24 million in the first quarter of 2023, when compared with the first quarter of 2022, primarily due to the decrease in the MCR discussed below, partially offset by the decrease in membership and premiums.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Marketplace MCR decreased to 68.6% in the first quarter of 2023, from 78.6% in the first quarter of 2022. The decrease resulted mainly from our product and pricing strategy to achieve our target margins and a favorable change in the 2022 risk adjustment payable, partially offset by changes in membership mix discussed above. Our first quarter Marketplace MCR was significantly below full year expectations, but consistent with seasonality patterns. Silver metal tier products incur less MCR seasonality than bronze metal tier products due to lower deductibles.</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Other</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Other segment includes service revenues and costs associated with long-term services and supports consultative services we provide in Wisconsin, and also includes certain corporate amounts not allocated to the Medicaid, Medicare, or Marketplace segments. Such amounts were immaterial to our consolidated results of operations in the first quarters of 2023 and 2022, respectively.</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0F7C7F"/>
          <w:sz w:val="24"/>
        </w:rPr>
      </w:pPr>
      <w:r>
        <w:rPr>
          <w:rFonts w:ascii="Arial;sans-serif" w:hAnsi="Arial;sans-serif"/>
          <w:b/>
          <w:color w:val="0F7C7F"/>
          <w:sz w:val="24"/>
        </w:rPr>
        <w:t>LIQUIDITY AND FINANCIAL CONDITION</w:t>
      </w: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LIQUIDITY</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We maintain liquidity at two levels: 1) the regulated health plan subsidiaries; and 2) the parent company. 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A majority of the assets held by our regulated health plan subsidiaries is in the form of cash, cash equivalents, and investments. When available and as permitted by applicable regulations, cash in excess of the capital needs of our regulated health plan subsidiaries is generally paid in the form of dividends to our parent company to be used for general corporate purposes. In the three months ended March 31, 2023, the parent company received $100 million in dividends and return of capital from the regulated health plan subsidiaries. See further discussion of dividends below in “Future Sources and Uses of Liquidity—Future Sources.” </w:t>
      </w:r>
    </w:p>
    <w:p>
      <w:pPr>
        <w:pStyle w:val="TextBody"/>
        <w:spacing w:lineRule="auto" w:line="288" w:before="120" w:after="120"/>
        <w:rPr/>
      </w:pPr>
      <w:r>
        <w:rPr>
          <w:rFonts w:ascii="Arial;sans-serif" w:hAnsi="Arial;sans-serif"/>
          <w:b w:val="false"/>
          <w:color w:val="000000"/>
          <w:sz w:val="20"/>
        </w:rPr>
        <w:t>The parent company may also contribute capital to the regulated health plan subsidiaries to satisfy minimum statutory net worth requirements, including funding for newer health plans. In the three months ended March 31, 2023, the parent company contributed capital in the aggregate amount of</w:t>
      </w:r>
      <w:r>
        <w:rPr>
          <w:color w:val="000000"/>
          <w:highlight w:val="white"/>
        </w:rPr>
        <w:t xml:space="preserve"> </w:t>
      </w:r>
      <w:r>
        <w:rPr>
          <w:rFonts w:ascii="Arial;sans-serif" w:hAnsi="Arial;sans-serif"/>
          <w:b w:val="false"/>
          <w:color w:val="000000"/>
          <w:sz w:val="20"/>
          <w:highlight w:val="white"/>
        </w:rPr>
        <w:t>$16 million,</w:t>
      </w:r>
      <w:r>
        <w:rPr>
          <w:color w:val="000000"/>
        </w:rPr>
        <w:t xml:space="preserve"> </w:t>
      </w:r>
      <w:r>
        <w:rPr>
          <w:rFonts w:ascii="Arial;sans-serif" w:hAnsi="Arial;sans-serif"/>
          <w:b w:val="false"/>
          <w:color w:val="000000"/>
          <w:sz w:val="20"/>
        </w:rPr>
        <w:t xml:space="preserve">to certain of the regulated health plan subsidiaries.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Cash, cash equivalents and investments at the parent company amounted to $283 million and $375 million as of March 31, 2023, and December 31, 2022, respectively. The decrease as of March 31, 2023, was primarily due to the timing of corporate payments and capital contributions to regulated health plan subsidiaries, partially offset by dividends received from regulated health plan subsidiaries.</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Investments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 </w:t>
      </w: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26</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15 years, or less than 15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The overall rating of our portfolio remains strong and is rated A+. Our investment policy has directives in conjunction with state guidelines to minimize risks and exposures in volatile markets. Additionally, our portfolio managers assist us in navigating volatility in the capital markets.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Our restricted investments are invested principally in cash, cash equivalents, U.S. Treasury securities, and corporate debt securities; we have the ability to hold such restricted investments until maturity. All of our unrestricted investments are classified as current assets.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Cash Flow Activities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Our cash flows are summarized as follows:</w:t>
      </w:r>
    </w:p>
    <w:tbl>
      <w:tblPr>
        <w:tblW w:w="9731" w:type="dxa"/>
        <w:jc w:val="center"/>
        <w:tblInd w:w="0" w:type="dxa"/>
        <w:tblCellMar>
          <w:top w:w="28" w:type="dxa"/>
          <w:left w:w="28" w:type="dxa"/>
          <w:bottom w:w="28" w:type="dxa"/>
          <w:right w:w="28" w:type="dxa"/>
        </w:tblCellMar>
      </w:tblPr>
      <w:tblGrid>
        <w:gridCol w:w="2416"/>
        <w:gridCol w:w="2125"/>
        <w:gridCol w:w="2133"/>
        <w:gridCol w:w="211"/>
        <w:gridCol w:w="466"/>
        <w:gridCol w:w="109"/>
        <w:gridCol w:w="109"/>
        <w:gridCol w:w="109"/>
        <w:gridCol w:w="109"/>
        <w:gridCol w:w="211"/>
        <w:gridCol w:w="466"/>
        <w:gridCol w:w="109"/>
        <w:gridCol w:w="109"/>
        <w:gridCol w:w="109"/>
        <w:gridCol w:w="109"/>
        <w:gridCol w:w="211"/>
        <w:gridCol w:w="466"/>
        <w:gridCol w:w="154"/>
      </w:tblGrid>
      <w:tr>
        <w:trPr/>
        <w:tc>
          <w:tcPr>
            <w:tcW w:w="2416" w:type="dxa"/>
            <w:tcBorders/>
            <w:shd w:fill="auto" w:val="clear"/>
            <w:vAlign w:val="center"/>
          </w:tcPr>
          <w:p>
            <w:pPr>
              <w:pStyle w:val="TableContents"/>
              <w:spacing w:before="0" w:after="283"/>
              <w:rPr>
                <w:sz w:val="4"/>
                <w:szCs w:val="4"/>
              </w:rPr>
            </w:pPr>
            <w:r>
              <w:rPr>
                <w:sz w:val="4"/>
                <w:szCs w:val="4"/>
              </w:rPr>
            </w:r>
          </w:p>
        </w:tc>
        <w:tc>
          <w:tcPr>
            <w:tcW w:w="2125" w:type="dxa"/>
            <w:tcBorders/>
            <w:shd w:fill="auto" w:val="clear"/>
            <w:vAlign w:val="center"/>
          </w:tcPr>
          <w:p>
            <w:pPr>
              <w:pStyle w:val="TableContents"/>
              <w:spacing w:before="0" w:after="283"/>
              <w:rPr>
                <w:sz w:val="4"/>
                <w:szCs w:val="4"/>
              </w:rPr>
            </w:pPr>
            <w:r>
              <w:rPr>
                <w:sz w:val="4"/>
                <w:szCs w:val="4"/>
              </w:rPr>
            </w:r>
          </w:p>
        </w:tc>
        <w:tc>
          <w:tcPr>
            <w:tcW w:w="21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7"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6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6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7"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provided by investing activities</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in cash, cash equivalents, and restricted cash and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rial;sans-serif" w:hAnsi="Arial;sans-serif"/>
          <w:b w:val="false"/>
          <w:color w:val="000000"/>
          <w:sz w:val="20"/>
          <w:u w:val="single"/>
        </w:rPr>
      </w:pPr>
      <w:r>
        <w:rPr>
          <w:rFonts w:ascii="Arial;sans-serif" w:hAnsi="Arial;sans-serif"/>
          <w:b w:val="false"/>
          <w:color w:val="000000"/>
          <w:sz w:val="20"/>
          <w:u w:val="single"/>
        </w:rPr>
        <w:t>Operating Activities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Net cash provided by operations for the three months ended March 31, 2023 was $916 million, compared with $363 million in the three months ended March 31, 2022. The $553 million increase in cash flow was due to the net impact of timing differences in government receivables and payables and the growth in operations and net earnings.</w:t>
      </w:r>
    </w:p>
    <w:p>
      <w:pPr>
        <w:pStyle w:val="TextBody"/>
        <w:spacing w:lineRule="auto" w:line="288" w:before="120" w:after="120"/>
        <w:rPr/>
      </w:pPr>
      <w:r>
        <w:rPr>
          <w:rFonts w:ascii="Arial;sans-serif" w:hAnsi="Arial;sans-serif"/>
          <w:b w:val="false"/>
          <w:color w:val="000000"/>
          <w:sz w:val="20"/>
          <w:u w:val="single"/>
        </w:rPr>
        <w:t>Investing Activities</w:t>
      </w:r>
      <w:r>
        <w:rPr>
          <w:color w:val="000000"/>
        </w:rPr>
        <w:t xml:space="preserve">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Net cash used in investing activities was $302 million in the three months ended March 31, 2023, compared with $74 million cash provided by investing activities in the three months ended March 31, 2022, a decrease in cash flow of $376 million. This decrease in cash flow was primarily due to the net activity of proceeds and purchases of investments in the three months ended March 31, 2023.</w:t>
      </w:r>
    </w:p>
    <w:p>
      <w:pPr>
        <w:pStyle w:val="TextBody"/>
        <w:spacing w:lineRule="auto" w:line="288" w:before="120" w:after="120"/>
        <w:rPr>
          <w:rFonts w:ascii="Arial;sans-serif" w:hAnsi="Arial;sans-serif"/>
          <w:b w:val="false"/>
          <w:color w:val="000000"/>
          <w:sz w:val="20"/>
          <w:u w:val="single"/>
        </w:rPr>
      </w:pPr>
      <w:r>
        <w:rPr>
          <w:rFonts w:ascii="Arial;sans-serif" w:hAnsi="Arial;sans-serif"/>
          <w:b w:val="false"/>
          <w:color w:val="000000"/>
          <w:sz w:val="20"/>
          <w:u w:val="single"/>
        </w:rPr>
        <w:t>Financing Activities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Net cash used in financing activities was $65 million in the three months ended March 31, 2023, compared with $77 million used in the three months ended March 31, 2022, an increase in cash flow of $12 million. In the three months ended March 31, 2023, financing cash outflows included $58 million for common stock withheld to settle employee tax obligations. In the three months ended March 31, 2022, financing cash outflows included $52 million for common stock withheld to settle employee tax obligations. Additionally, we paid $20 million in the three months ended March 31, 2022, to settle contingent consideration liabilities.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FINANCIAL CONDITION</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We believe that our cash resources, borrowing capacity available under the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 </w:t>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27</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On a consolidated basis, at March 31, 2023, our working capital was $3.5 billion, compared with $3.2 billion at December 31, 2022. At March 31, 2023, our cash and investments amounted to $8.6 billion, compared with $7.7 billion at December 31, 2022. A significant portion of our portfolio is held in cash and cash equivalents and we do not anticipate the fluctuations in the aggregate fair value of our financial assets to have a material impact on our liquidity or capital position since we intend to hold our securities to maturity. Net unrealized losses on our investments classified as current and available for sale decreased to $164 million at March 31, 2023 compared to $210 million at December 31, 2022. We have determined that the unrealized losses primarily resulted from fluctuating interest rates, rather than a deterioration of the creditworthiness of the issuers.</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 xml:space="preserve">Regulatory Capital and Dividend Restrictions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Each of our regulated, wholly owned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subsidiaries must comply with these regulations, they may not have the financial flexibility to transfer funds to us. Based upon current statutes and regulations, the minimum capital and surplus requirement for these subsidiaries was estimated to be approximately $2.2 billion at March 31, 2023, compared with $2.3 billion at December 31, 2022. The aggregate capital and surplus of our regulated, wholly owned subsidiaries was in excess of these minimum capital requirements as of both dates.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Under applicable regulatory requirements, the amount of dividends that may be paid by our regulated, wholly owned subsidiaries without prior approval by regulatory authorities as of March 31, 2023, was approximately $270 million in the aggregate. These subsidiaries may pay dividends over this amount, but only after approval is granted by the regulatory authorities.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Based on our cash and investments balances as of March 31, 2023, management believes that our regulated, wholly owned subsidiaries remain well capitalized and exceed their regulatory minimum requirements. We have the ability, and have committed to provide, additional capital to each of our health plans as necessary to ensure compliance with statutory capital and surplus requirements.</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Debt Ratings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Each of our senior notes is rated “BB-” by Standard &amp; Poor’s, and “Ba3” by Moody’s Investor Service, Inc. A downgrade in our ratings could adversely affect our borrowing capacity and increase our future borrowing costs. </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Financial Covenants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The Credit Agreement contains customary non-financial and financial covenants, including a net leverage ratio and an interest coverage ratio. Such ratios are computed as defined by the terms of the Credit Agreement.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In addition, the indentures governing each of our outstanding senior notes contain cross-default provisions that are triggered upon default by us or any of our subsidiaries on any indebtedness in excess of the amount specified in the applicable indenture. As of March 31, 2023, we were in compliance with all financial and non-financial covenants under the Credit Agreement and the indentures governing our senior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FUTURE SOURCES AND USES OF LIQUIDITY</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Future Sources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pStyle w:val="TextBody"/>
        <w:spacing w:lineRule="auto" w:line="288" w:before="120" w:after="120"/>
        <w:rPr/>
      </w:pPr>
      <w:r>
        <w:rPr>
          <w:rFonts w:ascii="Arial;sans-serif" w:hAnsi="Arial;sans-serif"/>
          <w:b w:val="false"/>
          <w:i/>
          <w:color w:val="000000"/>
          <w:sz w:val="20"/>
        </w:rPr>
        <w:t>Potential Impact of COVID-19 Pandemic</w:t>
      </w:r>
      <w:r>
        <w:rPr>
          <w:rFonts w:ascii="Arial;sans-serif" w:hAnsi="Arial;sans-serif"/>
          <w:b w:val="false"/>
          <w:color w:val="000000"/>
          <w:sz w:val="20"/>
        </w:rPr>
        <w:t>. Excluding acquisitions and our exit from Puerto Rico, we added approximately 800,000 new Medicaid members since March 31, 2020, when we first began to report on the impacts of the pandemic. We believe this membership increase was mainly due to the suspension of redeterminations for Medicaid eligibility. The recently passed Consolidated Appropriations Act of 2023 authorizes states to resume redeterminations and terminate coverage for ineligible enrollees starting on April 1, 2023, irrespective of the status of the PHE. Consequently, Medicaid enrollment continued to benefit from the pause on membership redeterminations through March 31, 2023, and then is expected to decline as states resume normal enrollment and renewal operations on April 1, 2023. We expect to retain approximately half the membership gained since March 31, 2020 through a variety of well-established operational protocols where allowed.</w:t>
      </w:r>
    </w:p>
    <w:p>
      <w:pPr>
        <w:pStyle w:val="TextBody"/>
        <w:spacing w:lineRule="auto" w:line="288" w:before="120" w:after="120"/>
        <w:rPr/>
      </w:pPr>
      <w:r>
        <w:rPr>
          <w:rFonts w:ascii="Arial;sans-serif" w:hAnsi="Arial;sans-serif"/>
          <w:b w:val="false"/>
          <w:i/>
          <w:color w:val="000000"/>
          <w:sz w:val="20"/>
        </w:rPr>
        <w:t>Dividends from Subsidiaries.</w:t>
      </w:r>
      <w:r>
        <w:rPr>
          <w:color w:val="000000"/>
        </w:rPr>
        <w:t xml:space="preserve"> </w:t>
      </w:r>
      <w:r>
        <w:rPr>
          <w:rFonts w:ascii="Arial;sans-serif" w:hAnsi="Arial;sans-serif"/>
          <w:b w:val="false"/>
          <w:color w:val="000000"/>
          <w:sz w:val="20"/>
        </w:rPr>
        <w:t xml:space="preserve">When available and as permitted by applicable regulations, cash in excess of the capital needs of our regulated health plans is generally paid in the form of dividends to our unregulated parent company to be used for general corporate purposes. </w:t>
      </w: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28</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120" w:after="120"/>
        <w:rPr/>
      </w:pPr>
      <w:r>
        <w:rPr>
          <w:rFonts w:ascii="Arial;sans-serif" w:hAnsi="Arial;sans-serif"/>
          <w:b w:val="false"/>
          <w:i/>
          <w:color w:val="000000"/>
          <w:sz w:val="20"/>
        </w:rPr>
        <w:t xml:space="preserve">Credit Agreement Borrowing Capacity. </w:t>
      </w:r>
      <w:r>
        <w:rPr>
          <w:rFonts w:ascii="Arial;sans-serif" w:hAnsi="Arial;sans-serif"/>
          <w:b w:val="false"/>
          <w:color w:val="000000"/>
          <w:sz w:val="20"/>
        </w:rPr>
        <w:t>As of March 31, 2023, we had available borrowing capacity of $1 billion under the revolving credit facility of our Credit Agreement. In addition, the Credit Agreement provides for a $15 million swingline sub-facility and a $100 million letter of credit sub-facility, as well as incremental term loans available to finance certain acquisitions up to $500 million, plus an unlimited amount of such term loans as long as our consolidated net leverage ratio is not greater than a defined maximum. See further discussion in the Notes to Consolidated Financial Statements, Note 7, “Debt.”</w:t>
      </w:r>
    </w:p>
    <w:p>
      <w:pPr>
        <w:pStyle w:val="TextBody"/>
        <w:spacing w:lineRule="auto" w:line="288" w:before="120" w:after="120"/>
        <w:rPr>
          <w:rFonts w:ascii="Arial;sans-serif" w:hAnsi="Arial;sans-serif"/>
          <w:b/>
          <w:i/>
          <w:color w:val="000000"/>
          <w:sz w:val="20"/>
        </w:rPr>
      </w:pPr>
      <w:r>
        <w:rPr>
          <w:rFonts w:ascii="Arial;sans-serif" w:hAnsi="Arial;sans-serif"/>
          <w:b/>
          <w:i/>
          <w:color w:val="000000"/>
          <w:sz w:val="20"/>
        </w:rPr>
        <w:t>Future Uses</w:t>
      </w:r>
    </w:p>
    <w:p>
      <w:pPr>
        <w:pStyle w:val="TextBody"/>
        <w:spacing w:lineRule="auto" w:line="288" w:before="120" w:after="120"/>
        <w:rPr/>
      </w:pPr>
      <w:r>
        <w:rPr>
          <w:rFonts w:ascii="Arial;sans-serif" w:hAnsi="Arial;sans-serif"/>
          <w:b w:val="false"/>
          <w:i/>
          <w:color w:val="000000"/>
          <w:sz w:val="20"/>
        </w:rPr>
        <w:t xml:space="preserve">Common Stock Purchases. </w:t>
      </w:r>
      <w:r>
        <w:rPr>
          <w:rFonts w:ascii="Arial;sans-serif" w:hAnsi="Arial;sans-serif"/>
          <w:b w:val="false"/>
          <w:color w:val="000000"/>
          <w:sz w:val="20"/>
        </w:rPr>
        <w:t>In November 2022, our board of directors authorized the purchase of up to $500 million, in the aggregate, of our common stock. This new program, which superseded the stock purchase program approved by our board of directors in September 2021, will be funded with cash on hand and extends through December 31, 2023. The exact timing and amount of any repurchase is determined by management based on market conditions and share price, in addition to other factors, and subject to the restrictions relating to volume, price, and timing under applicable law. As of March 31, 2023, $300 million remained available to purchase our common stock under this program through December 31, 2023.</w:t>
      </w:r>
    </w:p>
    <w:p>
      <w:pPr>
        <w:pStyle w:val="TextBody"/>
        <w:spacing w:lineRule="auto" w:line="288" w:before="120" w:after="120"/>
        <w:rPr/>
      </w:pPr>
      <w:r>
        <w:rPr>
          <w:rFonts w:ascii="Arial;sans-serif" w:hAnsi="Arial;sans-serif"/>
          <w:b w:val="false"/>
          <w:i/>
          <w:color w:val="000000"/>
          <w:sz w:val="20"/>
        </w:rPr>
        <w:t>Acquisitions</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On July 13, 2022, we announced a definitive agreement to acquire substantially all the assets of My Choice Wisconsin (“MCW”). The purchase price for the transaction is approximately $150 million, net of expected tax benefits and required regulatory capital, which we intend to fund with cash on hand. The transaction is subject to receipt of applicable federal and state regulatory approvals, and the satisfaction of other customary closing conditions. We currently expect the transaction to close in mid-2023.</w:t>
      </w:r>
    </w:p>
    <w:p>
      <w:pPr>
        <w:pStyle w:val="TextBody"/>
        <w:spacing w:lineRule="auto" w:line="288" w:before="120" w:after="120"/>
        <w:rPr/>
      </w:pPr>
      <w:r>
        <w:rPr>
          <w:rFonts w:ascii="Arial;sans-serif" w:hAnsi="Arial;sans-serif"/>
          <w:b w:val="false"/>
          <w:i/>
          <w:color w:val="000000"/>
          <w:sz w:val="20"/>
        </w:rPr>
        <w:t>Regulatory Capital Requirements.</w:t>
      </w:r>
      <w:r>
        <w:rPr>
          <w:color w:val="000000"/>
        </w:rPr>
        <w:t xml:space="preserve"> </w:t>
      </w:r>
      <w:r>
        <w:rPr>
          <w:rFonts w:ascii="Arial;sans-serif" w:hAnsi="Arial;sans-serif"/>
          <w:b w:val="false"/>
          <w:color w:val="000000"/>
          <w:sz w:val="20"/>
        </w:rPr>
        <w:t xml:space="preserve">We have the ability, and have committed to provide, additional capital to each of our health plans as necessary to ensure compliance with statutory capital and surplus requirements. </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0F7C7F"/>
          <w:sz w:val="24"/>
        </w:rPr>
      </w:pPr>
      <w:r>
        <w:rPr>
          <w:rFonts w:ascii="Arial;sans-serif" w:hAnsi="Arial;sans-serif"/>
          <w:b/>
          <w:color w:val="0F7C7F"/>
          <w:sz w:val="24"/>
        </w:rPr>
        <w:t>CONTRACTUAL OBLIGATIONS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A summary of future obligations under our various contractual obligations and commitments as of December 31, 2022, was disclosed in our 2022 Annual Report on Form 10-K.</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There were no significant changes to our contractual obligations and commitments outside the ordinary course of business during the three months ended March 31, 2023. </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0F7C7F"/>
          <w:sz w:val="24"/>
        </w:rPr>
      </w:pPr>
      <w:r>
        <w:rPr>
          <w:rFonts w:ascii="Arial;sans-serif" w:hAnsi="Arial;sans-serif"/>
          <w:b/>
          <w:color w:val="0F7C7F"/>
          <w:sz w:val="24"/>
        </w:rPr>
        <w:t>CRITICAL ACCOUNTING ESTIMATES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When we prepare our consolidated financial statements, we use estimates based on assumptions that may affect reported amounts and disclosures; actual results could differ from these estimates. Our critical accounting estimates relate to:</w:t>
      </w:r>
    </w:p>
    <w:p>
      <w:pPr>
        <w:pStyle w:val="TextBody"/>
        <w:spacing w:lineRule="auto" w:line="288" w:before="120" w:after="120"/>
        <w:ind w:left="0" w:right="0" w:hanging="360"/>
        <w:rPr/>
      </w:pPr>
      <w:r>
        <w:rPr>
          <w:color w:val="000000"/>
        </w:rPr>
        <w:t>•</w:t>
      </w:r>
      <w:r>
        <w:rPr>
          <w:rFonts w:ascii="Arial;sans-serif" w:hAnsi="Arial;sans-serif"/>
          <w:b w:val="false"/>
          <w:i/>
          <w:color w:val="000000"/>
          <w:sz w:val="20"/>
        </w:rPr>
        <w:t>Medical claims and benefits payable</w:t>
      </w:r>
      <w:r>
        <w:rPr>
          <w:rFonts w:ascii="Arial;sans-serif" w:hAnsi="Arial;sans-serif"/>
          <w:b w:val="false"/>
          <w:color w:val="000000"/>
          <w:sz w:val="20"/>
        </w:rPr>
        <w:t>. Refer to Notes to Consolidated Financial Statements, Note 6, “Medical Claims and Benefits Payable,” for a table that 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in the three months ended March 31, 2023 there were no significant changes to our disclosure reported in “Critical Accounting Estimates” in our 2022 Annual Report on Form 10-K.</w:t>
      </w:r>
    </w:p>
    <w:p>
      <w:pPr>
        <w:pStyle w:val="TextBody"/>
        <w:spacing w:lineRule="auto" w:line="288" w:before="120" w:after="120"/>
        <w:ind w:left="0" w:right="0" w:hanging="360"/>
        <w:rPr/>
      </w:pPr>
      <w:r>
        <w:rPr>
          <w:color w:val="000000"/>
        </w:rPr>
        <w:t>•</w:t>
      </w:r>
      <w:r>
        <w:rPr>
          <w:rFonts w:ascii="Arial;sans-serif" w:hAnsi="Arial;sans-serif"/>
          <w:b w:val="false"/>
          <w:i/>
          <w:color w:val="000000"/>
          <w:sz w:val="20"/>
        </w:rPr>
        <w:t>Contractual provisions that may adjust or limit revenue or profit</w:t>
      </w:r>
      <w:r>
        <w:rPr>
          <w:rFonts w:ascii="Arial;sans-serif" w:hAnsi="Arial;sans-serif"/>
          <w:b w:val="false"/>
          <w:color w:val="000000"/>
          <w:sz w:val="20"/>
        </w:rPr>
        <w:t xml:space="preserve">. For a discussion of this topic, including amounts recorded in our consolidated financial statements, refer to Notes to Consolidated Financial Statements, Note 2, “Significant Accounting Policies.” </w:t>
      </w:r>
    </w:p>
    <w:p>
      <w:pPr>
        <w:pStyle w:val="TextBody"/>
        <w:spacing w:lineRule="auto" w:line="288" w:before="120" w:after="120"/>
        <w:ind w:left="0" w:right="0" w:hanging="360"/>
        <w:rPr/>
      </w:pPr>
      <w:r>
        <w:rPr>
          <w:color w:val="000000"/>
        </w:rPr>
        <w:t>•</w:t>
      </w:r>
      <w:r>
        <w:rPr>
          <w:rFonts w:ascii="Arial;sans-serif" w:hAnsi="Arial;sans-serif"/>
          <w:b w:val="false"/>
          <w:i/>
          <w:color w:val="000000"/>
          <w:sz w:val="20"/>
        </w:rPr>
        <w:t>Quality incentives</w:t>
      </w:r>
      <w:r>
        <w:rPr>
          <w:rFonts w:ascii="Arial;sans-serif" w:hAnsi="Arial;sans-serif"/>
          <w:b w:val="false"/>
          <w:color w:val="000000"/>
          <w:sz w:val="20"/>
        </w:rPr>
        <w:t>. In the three months ended March 31, 2023, there were no significant changes to our disclosure reported in “Critical Accounting Estimates” in our 2022 Annual Report on Form 10-K.</w:t>
      </w:r>
    </w:p>
    <w:p>
      <w:pPr>
        <w:pStyle w:val="TextBody"/>
        <w:spacing w:lineRule="auto" w:line="288" w:before="120" w:after="120"/>
        <w:ind w:left="0" w:right="0" w:hanging="360"/>
        <w:rPr/>
      </w:pPr>
      <w:r>
        <w:rPr>
          <w:color w:val="000000"/>
        </w:rPr>
        <w:t>•</w:t>
      </w:r>
      <w:r>
        <w:rPr>
          <w:rFonts w:ascii="Arial;sans-serif" w:hAnsi="Arial;sans-serif"/>
          <w:b w:val="false"/>
          <w:i/>
          <w:color w:val="000000"/>
          <w:sz w:val="20"/>
        </w:rPr>
        <w:t>Business combinations, goodwill, and intangible assets, net.</w:t>
      </w:r>
      <w:r>
        <w:rPr>
          <w:color w:val="000000"/>
        </w:rPr>
        <w:t xml:space="preserve"> </w:t>
      </w:r>
      <w:r>
        <w:rPr>
          <w:rFonts w:ascii="Arial;sans-serif" w:hAnsi="Arial;sans-serif"/>
          <w:b w:val="false"/>
          <w:color w:val="000000"/>
          <w:sz w:val="20"/>
        </w:rPr>
        <w:t xml:space="preserve">In the three months ended March 31, 2023, there were no significant changes to our disclosure reported in “Critical Accounting Estimates” in our 2022 Annual Report on Form 10-K. </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29</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120" w:after="283"/>
        <w:rPr>
          <w:rFonts w:ascii="Arial;sans-serif" w:hAnsi="Arial;sans-serif"/>
          <w:b/>
          <w:color w:val="0F7C7F"/>
          <w:sz w:val="24"/>
        </w:rPr>
      </w:pPr>
      <w:r>
        <w:rPr>
          <w:rFonts w:ascii="Arial;sans-serif" w:hAnsi="Arial;sans-serif"/>
          <w:b/>
          <w:color w:val="0F7C7F"/>
          <w:sz w:val="24"/>
        </w:rPr>
        <w:t>QUANTITATIVE AND QUALITATIVE DISCLOSURES ABOUT MARKET RISK</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Our earnings and financial position are exposed to financial market risk relating to changes in interest rates, and the resulting impact on investment income and interest expense.</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Substantially all of our investments and restricted investments are subject to interest rate risk and will decrease in value if market interest rates increase. Assuming a hypothetical and immediate 1% increase in market interest rates at March 31, 2023, the fair value of our fixed income investments would decrease by approximately $95 million. Declines in interest rates over time will reduce our investment income.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For further information on fair value measurements and our investment portfolio, please refer to Notes to Consolidated Financial Statements, Note 4, “Fair Value Measurements,” and Note 5, “Investments.”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Borrowings under the Credit Agreement bear interest based, at our election, on a base rate or other defined rate, plus in each case, the applicable margin. For further information, see Notes to Consolidated Financial Statements, Note 7, “Debt.”</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0F7C7F"/>
          <w:sz w:val="24"/>
        </w:rPr>
      </w:pPr>
      <w:r>
        <w:rPr>
          <w:rFonts w:ascii="Arial;sans-serif" w:hAnsi="Arial;sans-serif"/>
          <w:b/>
          <w:color w:val="0F7C7F"/>
          <w:sz w:val="24"/>
        </w:rPr>
        <w:t>CONTROLS AND PROCEDURES</w:t>
      </w:r>
    </w:p>
    <w:p>
      <w:pPr>
        <w:pStyle w:val="TextBody"/>
        <w:spacing w:lineRule="auto" w:line="288" w:before="120" w:after="120"/>
        <w:rPr/>
      </w:pPr>
      <w:r>
        <w:rPr>
          <w:rFonts w:ascii="Arial;sans-serif" w:hAnsi="Arial;sans-serif"/>
          <w:b w:val="false"/>
          <w:i/>
          <w:color w:val="000000"/>
          <w:sz w:val="20"/>
        </w:rPr>
        <w:t>Evaluation of Disclosure Controls and Procedures.</w:t>
      </w:r>
      <w:r>
        <w:rPr>
          <w:color w:val="000000"/>
        </w:rPr>
        <w:t xml:space="preserve"> </w:t>
      </w:r>
      <w:r>
        <w:rPr>
          <w:rFonts w:ascii="Arial;sans-serif" w:hAnsi="Arial;sans-serif"/>
          <w:b w:val="false"/>
          <w:color w:val="000000"/>
          <w:sz w:val="20"/>
        </w:rPr>
        <w:t>Our management, with the participation of our chief executive officer and our chief financial officer, has concluded, based upon its evaluation as of the end of the period covered by this report, that the Company’s “disclosure controls and procedures” (as defined in Rules 13a-15(e) and 15d-15(e) under the Securities Exchange Act), are effective to ensure that information required to be disclosed in the reports that we file or submit under the Securities Exchange Act is recorded, processed, summarized, and reported within the time periods specified in the SEC’s rules and forms.</w:t>
      </w:r>
    </w:p>
    <w:p>
      <w:pPr>
        <w:pStyle w:val="TextBody"/>
        <w:spacing w:lineRule="auto" w:line="288" w:before="120" w:after="120"/>
        <w:rPr/>
      </w:pPr>
      <w:r>
        <w:rPr>
          <w:rFonts w:ascii="Arial;sans-serif" w:hAnsi="Arial;sans-serif"/>
          <w:b w:val="false"/>
          <w:i/>
          <w:color w:val="000000"/>
          <w:sz w:val="20"/>
        </w:rPr>
        <w:t>Changes in Internal Control Over Financial Reporting.</w:t>
      </w:r>
      <w:r>
        <w:rPr>
          <w:color w:val="000000"/>
        </w:rPr>
        <w:t xml:space="preserve"> </w:t>
      </w:r>
      <w:r>
        <w:rPr>
          <w:rFonts w:ascii="Arial;sans-serif" w:hAnsi="Arial;sans-serif"/>
          <w:b w:val="false"/>
          <w:color w:val="000000"/>
          <w:sz w:val="20"/>
        </w:rPr>
        <w:t xml:space="preserve">There were no changes in our internal control over financial reporting during the three months ended March 31, 2023, that materially affected, or are reasonably likely to materially affect, our internal controls over financial reporting. </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0F7C7F"/>
          <w:sz w:val="24"/>
        </w:rPr>
      </w:pPr>
      <w:r>
        <w:rPr>
          <w:rFonts w:ascii="Arial;sans-serif" w:hAnsi="Arial;sans-serif"/>
          <w:b/>
          <w:color w:val="0F7C7F"/>
          <w:sz w:val="24"/>
        </w:rPr>
        <w:t>LEGAL PROCEEDINGS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For information regarding legal proceedings, see Notes to Consolidated Financial Statements, Note 9, “Commitments and Contingencies.”</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Arial;sans-serif" w:hAnsi="Arial;sans-serif"/>
          <w:b/>
          <w:color w:val="0F7C7F"/>
          <w:sz w:val="24"/>
        </w:rPr>
      </w:pPr>
      <w:r>
        <w:rPr>
          <w:rFonts w:ascii="Arial;sans-serif" w:hAnsi="Arial;sans-serif"/>
          <w:b/>
          <w:color w:val="0F7C7F"/>
          <w:sz w:val="24"/>
        </w:rPr>
        <w:t>RISK FACTORS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discussed under the caption “Risk Factors,” in our 2022 Annual Report on Form 10-K. The risk factors described in our 2022 Annual Report on Form 10-K are not the only risks that we face. Additional risks and uncertainties not currently known to us or that we currently deem to be immaterial may also materially adversely affect our business, financial condition, cash flows, results of operations, or stock price.</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30</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120" w:after="120"/>
        <w:rPr>
          <w:rFonts w:ascii="Arial;sans-serif" w:hAnsi="Arial;sans-serif"/>
          <w:b/>
          <w:color w:val="0F7C7F"/>
          <w:sz w:val="24"/>
        </w:rPr>
      </w:pPr>
      <w:r>
        <w:rPr>
          <w:rFonts w:ascii="Arial;sans-serif" w:hAnsi="Arial;sans-serif"/>
          <w:b/>
          <w:color w:val="0F7C7F"/>
          <w:sz w:val="24"/>
        </w:rPr>
        <w:t>UNREGISTERED SALES OF EQUITY SECURITIES AND USE OF PROCEEDS</w:t>
      </w:r>
    </w:p>
    <w:p>
      <w:pPr>
        <w:pStyle w:val="TextBody"/>
        <w:spacing w:lineRule="auto" w:line="288" w:before="120" w:after="120"/>
        <w:rPr>
          <w:rFonts w:ascii="Arial;sans-serif" w:hAnsi="Arial;sans-serif"/>
          <w:b/>
          <w:color w:val="828282"/>
          <w:sz w:val="20"/>
        </w:rPr>
      </w:pPr>
      <w:r>
        <w:rPr>
          <w:rFonts w:ascii="Arial;sans-serif" w:hAnsi="Arial;sans-serif"/>
          <w:b/>
          <w:color w:val="828282"/>
          <w:sz w:val="20"/>
        </w:rPr>
        <w:t>ISSUER PURCHASES OF EQUITY SECURITIES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Purchases of common stock made by us, or on our behalf, during the first quarter of 2023, including shares withheld by us to satisfy our employees’ income tax obligations, are set forth below:</w:t>
      </w:r>
    </w:p>
    <w:tbl>
      <w:tblPr>
        <w:tblW w:w="10205" w:type="dxa"/>
        <w:jc w:val="left"/>
        <w:tblInd w:w="0" w:type="dxa"/>
        <w:tblCellMar>
          <w:top w:w="28" w:type="dxa"/>
          <w:left w:w="28" w:type="dxa"/>
          <w:bottom w:w="28" w:type="dxa"/>
          <w:right w:w="28" w:type="dxa"/>
        </w:tblCellMar>
      </w:tblPr>
      <w:tblGrid>
        <w:gridCol w:w="446"/>
        <w:gridCol w:w="335"/>
        <w:gridCol w:w="336"/>
        <w:gridCol w:w="420"/>
        <w:gridCol w:w="420"/>
        <w:gridCol w:w="421"/>
        <w:gridCol w:w="109"/>
        <w:gridCol w:w="109"/>
        <w:gridCol w:w="109"/>
        <w:gridCol w:w="378"/>
        <w:gridCol w:w="1297"/>
        <w:gridCol w:w="197"/>
        <w:gridCol w:w="109"/>
        <w:gridCol w:w="109"/>
        <w:gridCol w:w="109"/>
        <w:gridCol w:w="710"/>
        <w:gridCol w:w="710"/>
        <w:gridCol w:w="711"/>
        <w:gridCol w:w="109"/>
        <w:gridCol w:w="109"/>
        <w:gridCol w:w="109"/>
        <w:gridCol w:w="385"/>
        <w:gridCol w:w="2170"/>
        <w:gridCol w:w="288"/>
      </w:tblGrid>
      <w:tr>
        <w:trPr/>
        <w:tc>
          <w:tcPr>
            <w:tcW w:w="4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2170"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r>
      <w:tr>
        <w:trPr/>
        <w:tc>
          <w:tcPr>
            <w:tcW w:w="11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Total Number</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of Shares</w:t>
            </w:r>
          </w:p>
          <w:p>
            <w:pPr>
              <w:pStyle w:val="TableContents"/>
              <w:spacing w:lineRule="auto" w:line="240" w:before="0" w:after="0"/>
              <w:jc w:val="center"/>
              <w:rPr/>
            </w:pPr>
            <w:r>
              <w:rPr>
                <w:rFonts w:ascii="Arial;sans-serif" w:hAnsi="Arial;sans-serif"/>
                <w:b/>
                <w:color w:val="000000"/>
                <w:sz w:val="18"/>
              </w:rPr>
              <w:t>Purchased </w:t>
            </w:r>
            <w:r>
              <w:rPr>
                <w:rFonts w:ascii="Arial;sans-serif" w:hAnsi="Arial;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 Number of Shares</w:t>
              <w:br/>
              <w:t>Purchased as Part of</w:t>
              <w:br/>
              <w:t>Publicly </w:t>
              <w:br/>
              <w:t>Announced </w:t>
              <w:br/>
              <w:t xml:space="preserve">Plans or </w:t>
              <w:br/>
              <w:t>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Approximate Dollar Value</w:t>
            </w:r>
          </w:p>
          <w:p>
            <w:pPr>
              <w:pStyle w:val="TableContents"/>
              <w:spacing w:lineRule="auto" w:line="240" w:before="0" w:after="0"/>
              <w:jc w:val="center"/>
              <w:rPr/>
            </w:pPr>
            <w:r>
              <w:rPr>
                <w:rFonts w:ascii="Arial;sans-serif" w:hAnsi="Arial;sans-serif"/>
                <w:b/>
                <w:color w:val="000000"/>
                <w:sz w:val="18"/>
              </w:rPr>
              <w:t xml:space="preserve">of Shares that May Yet Be Purchased Under the Plans or Programs </w:t>
            </w:r>
            <w:r>
              <w:rPr>
                <w:rFonts w:ascii="Arial;sans-serif" w:hAnsi="Arial;sans-serif"/>
                <w:b/>
                <w:color w:val="000000"/>
                <w:sz w:val="12"/>
              </w:rPr>
              <w:t>(2)</w:t>
            </w:r>
          </w:p>
        </w:tc>
      </w:tr>
      <w:tr>
        <w:trPr/>
        <w:tc>
          <w:tcPr>
            <w:tcW w:w="11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1 - January 31</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329.36 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300,000,000 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1 - February 28</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300,000,000 </w:t>
            </w:r>
          </w:p>
        </w:tc>
        <w:tc>
          <w:tcPr>
            <w:tcW w:w="2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1 - March 31</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211,000 </w:t>
            </w:r>
          </w:p>
        </w:tc>
        <w:tc>
          <w:tcPr>
            <w:tcW w:w="4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273.80 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300,000,000 </w:t>
            </w:r>
          </w:p>
        </w:tc>
        <w:tc>
          <w:tcPr>
            <w:tcW w:w="2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212,000 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273.94 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jc w:val="both"/>
        <w:rPr>
          <w:rFonts w:ascii="Arial;sans-serif" w:hAnsi="Arial;sans-serif"/>
          <w:b w:val="false"/>
          <w:color w:val="000000"/>
          <w:sz w:val="20"/>
        </w:rPr>
      </w:pPr>
      <w:r>
        <w:rPr>
          <w:rFonts w:ascii="Arial;sans-serif" w:hAnsi="Arial;sans-serif"/>
          <w:b w:val="false"/>
          <w:color w:val="000000"/>
          <w:sz w:val="20"/>
        </w:rPr>
        <w:t>_______________________</w:t>
      </w:r>
    </w:p>
    <w:p>
      <w:pPr>
        <w:pStyle w:val="TextBody"/>
        <w:spacing w:lineRule="auto" w:line="288" w:before="120" w:after="283"/>
        <w:ind w:left="0" w:right="0" w:hanging="360"/>
        <w:rPr>
          <w:rFonts w:ascii="Arial;sans-serif" w:hAnsi="Arial;sans-serif"/>
          <w:b w:val="false"/>
          <w:color w:val="000000"/>
          <w:sz w:val="18"/>
        </w:rPr>
      </w:pPr>
      <w:r>
        <w:rPr>
          <w:rFonts w:ascii="Arial;sans-serif" w:hAnsi="Arial;sans-serif"/>
          <w:b w:val="false"/>
          <w:color w:val="000000"/>
          <w:sz w:val="18"/>
        </w:rPr>
        <w:t>(1)During the first quarter of 2023, we withheld approximately 212,000 shares of common stock, to settle employee income tax obligations, for releases of awards granted under the Molina Healthcare, Inc. 2019 Equity Incentive Plan.</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(2)For further information on our stock repurchase programs, refer to our 2022 Annual Report on Form 10-K, Note 13, “Stockholders' Equity.”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31</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0" w:after="0"/>
        <w:rPr/>
      </w:pPr>
      <w:r>
        <w:rPr>
          <w:rFonts w:ascii="Arial;sans-serif" w:hAnsi="Arial;sans-serif"/>
          <w:b/>
          <w:color w:val="0F7C7F"/>
          <w:sz w:val="24"/>
        </w:rPr>
        <w:t>INDEX TO EXHIBITS</w:t>
      </w:r>
      <w:r>
        <w:rPr>
          <w:color w:val="000000"/>
        </w:rPr>
        <w:t> </w:t>
      </w:r>
    </w:p>
    <w:tbl>
      <w:tblPr>
        <w:tblW w:w="10205" w:type="dxa"/>
        <w:jc w:val="left"/>
        <w:tblInd w:w="0" w:type="dxa"/>
        <w:tblCellMar>
          <w:top w:w="28" w:type="dxa"/>
          <w:left w:w="28" w:type="dxa"/>
          <w:bottom w:w="28" w:type="dxa"/>
          <w:right w:w="28" w:type="dxa"/>
        </w:tblCellMar>
      </w:tblPr>
      <w:tblGrid>
        <w:gridCol w:w="327"/>
        <w:gridCol w:w="287"/>
        <w:gridCol w:w="288"/>
        <w:gridCol w:w="109"/>
        <w:gridCol w:w="109"/>
        <w:gridCol w:w="109"/>
        <w:gridCol w:w="2622"/>
        <w:gridCol w:w="2494"/>
        <w:gridCol w:w="2518"/>
        <w:gridCol w:w="109"/>
        <w:gridCol w:w="109"/>
        <w:gridCol w:w="109"/>
        <w:gridCol w:w="383"/>
        <w:gridCol w:w="275"/>
        <w:gridCol w:w="357"/>
      </w:tblGrid>
      <w:tr>
        <w:trPr/>
        <w:tc>
          <w:tcPr>
            <w:tcW w:w="32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2" w:type="dxa"/>
            <w:tcBorders/>
            <w:shd w:fill="auto" w:val="clear"/>
            <w:vAlign w:val="center"/>
          </w:tcPr>
          <w:p>
            <w:pPr>
              <w:pStyle w:val="TableContents"/>
              <w:spacing w:before="0" w:after="283"/>
              <w:rPr>
                <w:sz w:val="4"/>
                <w:szCs w:val="4"/>
              </w:rPr>
            </w:pPr>
            <w:r>
              <w:rPr>
                <w:sz w:val="4"/>
                <w:szCs w:val="4"/>
              </w:rPr>
            </w:r>
          </w:p>
        </w:tc>
        <w:tc>
          <w:tcPr>
            <w:tcW w:w="2494" w:type="dxa"/>
            <w:tcBorders/>
            <w:shd w:fill="auto" w:val="clear"/>
            <w:vAlign w:val="center"/>
          </w:tcPr>
          <w:p>
            <w:pPr>
              <w:pStyle w:val="TableContents"/>
              <w:spacing w:before="0" w:after="283"/>
              <w:rPr>
                <w:sz w:val="4"/>
                <w:szCs w:val="4"/>
              </w:rPr>
            </w:pPr>
            <w:r>
              <w:rPr>
                <w:sz w:val="4"/>
                <w:szCs w:val="4"/>
              </w:rPr>
            </w:r>
          </w:p>
        </w:tc>
        <w:tc>
          <w:tcPr>
            <w:tcW w:w="25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Method of Filing</w:t>
            </w:r>
          </w:p>
        </w:tc>
      </w:tr>
      <w:tr>
        <w:trPr/>
        <w:tc>
          <w:tcPr>
            <w:tcW w:w="9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w:anchor="exhibit101_firstamendmen.htm">
              <w:r>
                <w:rPr>
                  <w:rStyle w:val="InternetLink"/>
                  <w:rFonts w:ascii="Arial;sans-serif" w:hAnsi="Arial;sans-serif"/>
                  <w:b w:val="false"/>
                  <w:color w:val="0F7C7F"/>
                  <w:sz w:val="18"/>
                  <w:u w:val="single"/>
                </w:rPr>
                <w:t xml:space="preserve">First Amendment to Credit Agreement, dated as of April 26, 2023, by and between Molina Healthcare, Inc. and Truist Bank, in its capacity as Administrative Agent, including the amended and restated Credit Agreement attached as Exhibit A thereto, and the amended and restated Exhibits 2.3 and 2.7 to the Credit Agreement, each attached as Exhibit B thereto.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Filed herewith.</w:t>
            </w:r>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moh1q23_ex311.htm">
              <w:r>
                <w:rPr>
                  <w:rStyle w:val="InternetLink"/>
                  <w:rFonts w:ascii="Arial;sans-serif" w:hAnsi="Arial;sans-serif"/>
                  <w:b w:val="false"/>
                  <w:color w:val="0F7C7F"/>
                  <w:sz w:val="18"/>
                  <w:u w:val="single"/>
                </w:rPr>
                <w:t>Section 302 Certification of Chief Executive Officer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moh1q23_ex312.htm">
              <w:r>
                <w:rPr>
                  <w:rStyle w:val="InternetLink"/>
                  <w:rFonts w:ascii="Arial;sans-serif" w:hAnsi="Arial;sans-serif"/>
                  <w:b w:val="false"/>
                  <w:color w:val="0F7C7F"/>
                  <w:sz w:val="18"/>
                  <w:u w:val="single"/>
                </w:rPr>
                <w:t>Section 302 Certification of Chief Financial Officer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moh1q23_ex321.htm">
              <w:r>
                <w:rPr>
                  <w:rStyle w:val="InternetLink"/>
                  <w:rFonts w:ascii="Arial;sans-serif" w:hAnsi="Arial;sans-serif"/>
                  <w:b w:val="false"/>
                  <w:color w:val="0F7C7F"/>
                  <w:sz w:val="18"/>
                  <w:u w:val="single"/>
                </w:rPr>
                <w:t>Certification of Chief Executive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moh1q23_ex322.htm">
              <w:r>
                <w:rPr>
                  <w:rStyle w:val="InternetLink"/>
                  <w:rFonts w:ascii="Arial;sans-serif" w:hAnsi="Arial;sans-serif"/>
                  <w:b w:val="false"/>
                  <w:color w:val="0F7C7F"/>
                  <w:sz w:val="18"/>
                  <w:u w:val="single"/>
                </w:rPr>
                <w:t>Certification of Chief Financial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Instance Document - the instance document does not appear in the Interactive Data File because its XBRL tags are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embedded within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Filed herewith.</w:t>
            </w:r>
          </w:p>
        </w:tc>
      </w:tr>
    </w:tbl>
    <w:p>
      <w:pPr>
        <w:pStyle w:val="TextBody"/>
        <w:spacing w:before="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Molina Healthcare, Inc. March 31, 2023 Form 10-Q | 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Molina Healthcare, Inc. March 31, 2023 Form 10-Q | 32</w:t>
                      </w:r>
                    </w:p>
                  </w:txbxContent>
                </v:textbox>
              </v:rect>
            </w:pict>
          </mc:Fallback>
        </mc:AlternateContent>
      </w:r>
    </w:p>
    <w:p>
      <w:pPr>
        <w:pStyle w:val="TextBody"/>
        <w:spacing w:lineRule="auto" w:line="288" w:before="0" w:after="0"/>
        <w:rPr/>
      </w:pPr>
      <w:hyperlink w:anchor="i679792b8fd074d8bae718390c448c078_7">
        <w:r>
          <w:rPr>
            <w:rStyle w:val="InternetLink"/>
            <w:rFonts w:ascii="Arial;sans-serif" w:hAnsi="Arial;sans-serif"/>
            <w:b w:val="false"/>
            <w:color w:val="0000FF"/>
            <w:sz w:val="20"/>
            <w:u w:val="single"/>
          </w:rPr>
          <w:t>Table of Contents</w:t>
        </w:r>
      </w:hyperlink>
    </w:p>
    <w:p>
      <w:pPr>
        <w:pStyle w:val="TextBody"/>
        <w:spacing w:lineRule="auto" w:line="288" w:before="120" w:after="120"/>
        <w:rPr>
          <w:rFonts w:ascii="Arial;sans-serif" w:hAnsi="Arial;sans-serif"/>
          <w:b/>
          <w:color w:val="0F7C7F"/>
          <w:sz w:val="24"/>
        </w:rPr>
      </w:pPr>
      <w:r>
        <w:rPr>
          <w:rFonts w:ascii="Arial;sans-serif" w:hAnsi="Arial;sans-serif"/>
          <w:b/>
          <w:color w:val="0F7C7F"/>
          <w:sz w:val="24"/>
        </w:rPr>
        <w:t>SIGNATURES</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5576" w:type="dxa"/>
        <w:jc w:val="left"/>
        <w:tblInd w:w="0" w:type="dxa"/>
        <w:tblCellMar>
          <w:top w:w="28" w:type="dxa"/>
          <w:left w:w="28" w:type="dxa"/>
          <w:bottom w:w="28" w:type="dxa"/>
          <w:right w:w="28" w:type="dxa"/>
        </w:tblCellMar>
      </w:tblPr>
      <w:tblGrid>
        <w:gridCol w:w="255"/>
        <w:gridCol w:w="224"/>
        <w:gridCol w:w="225"/>
        <w:gridCol w:w="414"/>
        <w:gridCol w:w="414"/>
        <w:gridCol w:w="417"/>
        <w:gridCol w:w="109"/>
        <w:gridCol w:w="109"/>
        <w:gridCol w:w="109"/>
        <w:gridCol w:w="965"/>
        <w:gridCol w:w="965"/>
        <w:gridCol w:w="1370"/>
      </w:tblGrid>
      <w:tr>
        <w:trPr/>
        <w:tc>
          <w:tcPr>
            <w:tcW w:w="25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MOLINA HEALTHCARE, INC.</w:t>
            </w:r>
          </w:p>
        </w:tc>
      </w:tr>
      <w:tr>
        <w:trPr/>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(Registrant)</w:t>
            </w:r>
          </w:p>
        </w:tc>
      </w:tr>
      <w:tr>
        <w:trPr/>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 xml:space="preserve">Dated: </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27,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M. ZUBRETSKY</w:t>
            </w:r>
          </w:p>
        </w:tc>
      </w:tr>
      <w:tr>
        <w:trPr/>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Joseph M. Zubretsky</w:t>
            </w:r>
          </w:p>
        </w:tc>
      </w:tr>
      <w:tr>
        <w:trPr/>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Chief Executive Officer</w:t>
            </w:r>
          </w:p>
        </w:tc>
      </w:tr>
      <w:tr>
        <w:trPr/>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(Principal Executive Officer)</w:t>
            </w:r>
          </w:p>
        </w:tc>
      </w:tr>
      <w:tr>
        <w:trPr/>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 xml:space="preserve">Dated: </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27,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MARK L. KEIM</w:t>
            </w:r>
          </w:p>
        </w:tc>
      </w:tr>
      <w:tr>
        <w:trPr/>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Mark L. Keim</w:t>
            </w:r>
          </w:p>
        </w:tc>
      </w:tr>
      <w:tr>
        <w:trPr/>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Chief Financial Officer and Treasurer</w:t>
            </w:r>
          </w:p>
        </w:tc>
      </w:tr>
      <w:tr>
        <w:trPr/>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(Principal Financial Officer)</w:t>
            </w:r>
          </w:p>
        </w:tc>
      </w:tr>
    </w:tbl>
    <w:p>
      <w:pPr>
        <w:pStyle w:val="TextBody"/>
        <w:spacing w:before="0" w:after="0"/>
        <w:jc w:val="center"/>
        <w:rPr/>
      </w:pPr>
      <w:r>
        <w:br w:type="page"/>
      </w:r>
      <w:bookmarkStart w:id="0" w:name="exhibit101_firstamendmen.htm"/>
      <w:bookmarkStart w:id="1" w:name="ksexhibit101_firstamendmen"/>
      <w:bookmarkEnd w:id="0"/>
      <w:bookmarkEnd w:id="1"/>
      <w:r>
        <w:rPr/>
        <w:drawing>
          <wp:inline distT="0" distB="0" distL="0" distR="0">
            <wp:extent cx="10048875" cy="13001625"/>
            <wp:effectExtent l="0" t="0" r="0" b="0"/>
            <wp:docPr id="3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35" name="Frame3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March 31, 2023 Form 10-Q | 33</w:t>
                      </w:r>
                    </w:p>
                  </w:txbxContent>
                </v:textbox>
              </v:rect>
            </w:pict>
          </mc:Fallback>
        </mc:AlternateContent>
      </w:r>
    </w:p>
    <w:p>
      <w:pPr>
        <w:pStyle w:val="TextBody"/>
        <w:jc w:val="center"/>
        <w:rPr>
          <w:color w:val="FFFFFF"/>
          <w:sz w:val="2"/>
        </w:rPr>
      </w:pPr>
      <w:r>
        <w:rPr>
          <w:color w:val="FFFFFF"/>
          <w:sz w:val="2"/>
        </w:rPr>
        <w:t xml:space="preserve">1312454.1 FIRST AMENDMENT TO CREDIT AGREEMENT THIS FIRST AMENDMENT TO CREDIT AGREEMENT, dated as of April 26, 2023 (this “Amendment”), is entered into between Molina Healthcare, Inc., a Delaware corporation (the “Borrower”), and Truist Bank, in its capacity as Administrative Agent (the “Administrative Agent”), effective as of the Effective Time (as defined below). Capitalized terms used herein and not otherwise defined shall have the meanings ascribed thereto in the Credit Agreement (as defined below). RECITALS WHEREAS, the Borrower, the Guarantors from time to time party thereto, the Lenders from time to time party thereto and the Administrative Agent are parties to that certain Credit Agreement, dated as of June 8, 2020 (as amended, restated, supplemented or otherwise modified from time to time, the “Credit Agreement”); and WHEREAS, the Borrower and the Administrative Agent have determined that a Benchmark Transition Event and its related Benchmark Transition Start Date have occurred; and WHEREAS, in accordance with Section 2.16(b) of the Credit Agreement, upon the occurrence of a Benchmark Transition Event, the Administrative Agent and the Borrower may amend the Credit Agreement and the Administrative Agent has the right to make Benchmark Replacement Conforming Changes; NOW, THEREFORE, in consideration of the agreements contained herein and in the Credit Agreement, and for other good and valuable consideration, the receipt and sufficiency of which are hereby acknowledged, the parties hereto agree as follows: AGREEMENT 1. Amendments to the Credit Agreement. (a) The Credit Agreement (excluding the schedules and exhibits to the Credit Agreement, except as set forth in clause (b) below) is hereby amended and restated in its entirety to read in the form attached hereto as Exhibit A. (b) Exhibits 2.3 and 2.7 to the Credit Agreement are hereby amended and restated in their entirety to read in the forms attached hereto as Exhibit B. 2. Conversion of Outstanding Eurodollar Loans. All Eurodollar Loans (as defined in the Credit Agreement prior to giving effect to this Amendment) outstanding immediately prior to the effectiveness of this Amendment shall be automatically converted to SOFR Loans at the Adjusted Term SOFR Rate for one month, upon the effectiveness of this Amendment. 3. Effectiveness; Conditions Precedent. Upon receipt by the Administrative Agent of counterparts of this Amendment duly executed by the Borrower and the Administrative Agent, this Amendment shall become effective on April 26, 2023 unless the Administrative Agent receives, prior to 5:00 p.m. (Eastern time) on April 25, 2023, a written notice from Required Lenders stating that such Lenders object to this Amendment. 4. Amendment is a “Loan Document”. This Amendment shall be deemed to be, and is, a Loan Document and all references to a “Loan Document” in the Credit Agreement and the other Loan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 1312454.1 Documents (including, without limitation, all such references in the representations and warranties in the Credit Agreement and the other Loan Documents) shall be deemed to include this Amendment. 5. Representations and Warranties; No Default. The Borrower hereby represents and warrants to the Administrative Agent, each Lender, the Swingline Lender and the Issuing Bank that, (a) the representations and warranties of each Loan Party contained in the Credit Agreement, any other Loan Document, or any document furnished at any time under or in connection with the Credit Agreement or any other Loan Document, are true and correct in all material respects (other than any representation and warranty that is expressly qualified by materiality, in which case such representation and warranty is true and correct in all respects) on and as of the date hereof, except to the extent that such representations and warranties specifically refer to an earlier date, in which case they are true and correct in all material respects (other than any representation and warranty that is expressly qualified by materiality, in which case such representation and warranty is true and correct in all respects) as of such earlier date and (b) no Default or Event of Default exists. 6. Reaffirmation of Obligations. The Borrower (a) acknowledges and consents to all of the terms and conditions of this Amendment, (b) affirms all of its obligations under the Loan Documents (as amended by this Amendment) and (c) agrees that this Amendment and all documents, agreements and instruments executed in connection with this Amendment do not operate to reduce or discharge any Loan Party’s obligations under the Loan Documents (except to the extent such obligations are modified or released pursuant to this Amendment). 7. No Other Changes. Except as modified hereby, all of the terms and provisions of the Loan Documents shall remain in full force and effect and nothing herein shall limit or waive any right, power or remedy of the Administrative Agent or the Lenders under the Loan Documents. 8. Counterparts; Delivery. This Amendment may be executed in counterparts, and all of said counterparts taken together shall be deemed to constitute one and the same instrument. Delivery of an executed counterpart of a signature page of this Amendment by facsimile transmission or by any other electronic imaging means (including .pdf), shall be effective as delivery of a manually executed counterpart of this Amendment. 9. Governing Law. THIS AMENDMENT AND ANY CLAIMS, CONTROVERSY, DISPUTE OR CAUSE OF ACTION (WHETHER IN CONTRACT OR TORT OR OTHERWISE) BASED UPON, ARISING OUT OF OR RELATING TO THIS AMENDMENT AND THE TRANSACTIONS CONTEMPLATED HEREBY SHALL BE CONSTRUED IN ACCORDANCE WITH AND BE GOVERNED BY THE LAW (WITHOUT GIVING EFFECT TO THE CONFLICT OF LAW PRINCIPLES THEREOF EXCEPT FOR SECTIONS 5-1401 AND 5-1402 OF THE NEW YORK GENERAL OBLIGATIONS LAW) OF THE STATE OF NEW YORK. [SIGNATURE PAGES FOLLOW]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MOLINA HEALTHCARE, INC. FIRST AMENDMENT TO CREDIT AGREEMENT 1312454.1 IN WITNESS WHEREOF, the parties hereto have caused this First Amendment to Credit Agreement to be duly executed as of the date first above written. BORROWER: MOLINA HEALTHCARE, INC., a Delaware corporation By: /s/ Mark Keim Name: Mark Keim Title: Chief Financial Officer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MOLINA HEALTHCARE, INC. FIRST AMENDMENT TO CREDIT AGREEMENT 1312454.1 ADMINISTRATIVE AGENT: TRUIST BANK, as Administrative Agent By: /s/ Alexandra Korchmar Name: Alexandra Korchmar Title: Vice President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MOLINA HEALTHCARE, INC. FIRST AMENDMENT TO CREDIT AGREEMENT 1312454.1 Exhibit A See Attached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4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Exhibit A 1312474.1 CREDIT AGREEMENT dated as of June 8, 2020 among MOLINA HEALTHCARE, INC., as the Borrower, THE LENDERS FROM TIME TO TIME PARTY HERETO, TRUIST BANK, as Administrative Agent, Swingline Lender and Issuing Bank SUNTRUST ROBINSON HUMPHREY, INC. BARCLAYS BANK PLC BOFA SECURITIES, INC. DEUTSCHE BANK SECURITIES INC. MUFG BANK, LTD. and WELLS FARGO SECURITIES, LLC, as Joint Lead Arrangers and Bookrunners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4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 1312474.1 TABLE OF CONTENTS Page ARTICLE I DEFINITIONS; CONSTRUCTION ......................................................................................... 1 Section 1.1. Definitions ............................................................................................................. 1 Section 1.2. Classifications of Loans and Borrowings ............................................................ 38 Section 1.3. Accounting Terms and Determination ................................................................. 38 Section 1.4. Terms Generally .................................................................................................. 39 Section 1.5. Letter of Credit Amounts ..................................................................................... 40 Section 1.6. Times of Day ....................................................................................................... 40 Section 1.7. Rates .................................................................................................................... 40 Section 1.8. Limited Condition Acquisitions ........................................................................... 40 ARTICLE II AMOUNT AND TERMS OF THE COMMITMENTS ........................................................ 42 Section 2.1. General Description of Facilities ......................................................................... 42 Section 2.2. Revolving Loans .................................................................................................. 42 Section 2.3. Procedure for Revolving Borrowings .................................................................. 42 Section 2.4. Swingline Commitment ....................................................................................... 42 Section 2.5. Reserved .............................................................................................................. 44 Section 2.6. Funding of Borrowings ........................................................................................ 44 Section 2.7. Interest Elections.................................................................................................. 45 Section 2.8. Optional Reduction and Termination of Commitments ....................................... 46 Section 2.9. Repayment of Loans ............................................................................................ 46 Section 2.10. Evidence of Indebtedness .................................................................................... 46 Section 2.11. Optional Prepayments .......................................................................................... 47 Section 2.12. Mandatory Prepayments ...................................................................................... 47 Section 2.13. Interest on Loans .................................................................................................. 47 Section 2.14. Fees ...................................................................................................................... 48 Section 2.15. Computation of Interest and Fees ........................................................................ 49 Section 2.16. Inability to Determine Interest Rates; Benchmark Replacement Setting .................................................................................................................. 49 Section 2.17. Illegality ............................................................................................................... 52 Section 2.18. Increased Costs .................................................................................................... 52 Section 2.19. Funding Indemnity ............................................................................................... 53 Section 2.20. Taxes .................................................................................................................... 54 Section 2.21. Payments Generally; Pro Rata Treatment; Sharing of Set-offs ........................... 58 Section 2.22. Letters of Credit ................................................................................................... 59 Section 2.23. Increase of Commitments; Additional Lenders ................................................... 64 Section 2.24. Mitigation of Obligations ..................................................................................... 66 Section 2.25. Replacement of Lenders ...................................................................................... 66 Section 2.26. Reallocation and Cash Collateralization of Defaulting Lender Commitment ........................................................................................................ 67 Section 2.27. Extension ............................................................................................................. 68 ARTICLE III CONDITIONS PRECEDENT TO LOANS AND LETTERS OF CREDIT........................ 69 Section 3.1. Conditions to Effectiveness ................................................................................. 69 Section 3.2. Each Credit Event ................................................................................................ 70 Section 3.3. Delivery of Documents ........................................................................................ 71 Section 3.4. Termination of Existing Credit Facility ............................................................... 71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4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ii 1312474.1 ARTICLE IV REPRESENTATIONS AND WARRANTIES .................................................................... 72 Section 4.1. Existence; Power.................................................................................................. 72 Section 4.2. Organizational Power; Authorization .................................................................. 72 Section 4.3. Governmental Approvals; No Conflicts .............................................................. 72 Section 4.4. Financial Statements ............................................................................................ 73 Section 4.5. Litigation and Environmental Matters ................................................................. 73 Section 4.6. Compliance with Laws and Agreements ............................................................. 73 Section 4.7. No Default ........................................................................................................... 74 Section 4.8. Investment Company Act, Etc ............................................................................. 74 Section 4.9. Taxes .................................................................................................................... 74 Section 4.10. Margin Regulations.............................................................................................. 74 Section 4.11. ERISA .................................................................................................................. 74 Section 4.12. Ownership of Property ......................................................................................... 75 Section 4.13. Disclosure ............................................................................................................ 75 Section 4.14. Labor Relations .................................................................................................... 76 Section 4.15. Subsidiaries .......................................................................................................... 76 Section 4.16. Solvency .............................................................................................................. 76 Section 4.17. Licensing and Accreditation ................................................................................ 76 Section 4.18. Anti-Corruption Laws and Sanctions................................................................... 77 Section 4.19. Subordination of Subordinated Debt ................................................................... 77 Section 4.20. Medicare and Medicaid Notices and Filings Related to Business ....................... 77 Section 4.21. No Affected Financial Institutions ....................................................................... 78 ARTICLE V AFFIRMATIVE COVENANTS ........................................................................................... 78 Section 5.1. Financial Statements and Other Information ....................................................... 78 Section 5.2. Notices of Material Events .................................................................................. 80 Section 5.3. Existence; Conduct of Business ........................................................................... 81 Section 5.4. Compliance with Laws, Etc ................................................................................. 81 Section 5.5. Payment of Obligations ....................................................................................... 81 Section 5.6. Books and Records .............................................................................................. 81 Section 5.7. Visitation, Inspection, Etc .................................................................................... 82 Section 5.8. Maintenance of Properties; Insurance .................................................................. 82 Section 5.9. Use of Proceeds; Margin Regulations.................................................................. 82 Section 5.10. Guarantees by Material Domestic Subsidiaries ................................................... 82 Section 5.11. Material Licenses ................................................................................................. 83 Section 5.12. Unrestricted Subsidiaries ..................................................................................... 83 ARTICLE VI FINANCIAL COVENANTS ............................................................................................... 83 Section 6.1. Consolidated Net Leverage Ratio ........................................................................ 84 Section 6.2. Consolidated Interest Coverage Ratio ................................................................. 84 ARTICLE VII NEGATIVE COVENANTS ............................................................................................... 84 Section 7.1. Indebtedness and Preferred Equity ...................................................................... 84 Section 7.2. Negative Pledge ................................................................................................... 86 Section 7.3. Fundamental Changes .......................................................................................... 87 Section 7.4. Investments, Loans, Etc ....................................................................................... 87 Section 7.5. Restricted Payments ............................................................................................. 88 Section 7.6. Sale of Assets ....................................................................................................... 89 Section 7.7. Transactions with Affiliates ................................................................................. 90 Section 7.8. Restrictive Agreements ........................................................................................ 90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4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iii 1312474.1 Section 7.9. Reserved .............................................................................................................. 90 Section 7.10. Hedging Transactions .......................................................................................... 90 Section 7.11. Reserved .............................................................................................................. 90 Section 7.12. Amendment to Organization Documents ............................................................. 90 Section 7.13. Amendments and Prepayment of Other Indebtedness ......................................... 91 Section 7.14. Accounting Changes ............................................................................................ 91 Section 7.15. Government Regulation ....................................................................................... 91 Section 7.16. Ownership of Subsidiaries ................................................................................... 91 Section 7.17. Use of Proceeds ................................................................................................... 92 ARTICLE VIII EVENTS OF DEFAULT .................................................................................................. 92 Section 8.1. Events of Default ................................................................................................. 92 Section 8.2. Application of Funds ........................................................................................... 95 ARTICLE IX THE ADMINISTRATIVE AGENT .................................................................................... 96 Section 9.1. Appointment of Administrative Agent ................................................................ 96 Section 9.2. Nature of Duties of Administrative Agent ........................................................... 97 Section 9.3. Lack of Reliance on the Administrative Agent .................................................... 97 Section 9.4. Certain Rights of the Administrative Agent ........................................................ 98 Section 9.5. Reliance by Administrative Agent ....................................................................... 98 Section 9.6. The Administrative Agent in its Individual Capacity .......................................... 98 Section 9.7. Successor Administrative Agent .......................................................................... 99 Section 9.8. Withholding Tax ................................................................................................ 100 Section 9.9. Administrative Agent May File Proofs of Claim ............................................... 100 Section 9.10. Authorization to Execute Other Loan Documents ............................................. 101 Section 9.11. Guaranty Matters ............................................................................................... 101 Section 9.12. Documentation Agent; Syndication Agent ........................................................ 101 Section 9.13. Right to Enforce Guarantee ............................................................................... 101 Section 9.14. Hedging Obligations and Bank Product Obligations ......................................... 101 ARTICLE X THE GUARANTY .............................................................................................................. 101 Section 10.1. The Guaranty ..................................................................................................... 101 Section 10.2. Obligations Unconditional ................................................................................. 102 Section 10.3. Reinstatement..................................................................................................... 103 Section 10.4. Certain Additional Waivers ............................................................................... 103 Section 10.5. Remedies ............................................................................................................ 103 Section 10.6. Rights of Contribution ....................................................................................... 103 Section 10.7. Guarantee of Payment; Continuing Guarantee .................................................. 103 Section 10.8. Keepwell ............................................................................................................ 103 ARTICLE XI MISCELLANEOUS .......................................................................................................... 104 Section 11.1. Notices ............................................................................................................... 104 Section 11.2. Waiver; Amendments ........................................................................................ 106 Section 11.3. Expenses; Indemnification ................................................................................. 108 Section 11.4. Successors and Assigns ..................................................................................... 110 Section 11.5. Governing Law; Jurisdiction; Consent to Service of Process ............................ 114 Section 11.6. WAIVER OF JURY TRIAL .............................................................................. 115 Section 11.7. Right of Setoff ................................................................................................... 115 Section 11.8. Counterparts; Integration ................................................................................... 115 Section 11.9. Survival .............................................................................................................. 115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4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iv 1312474.1 Section 11.10. Severability ........................................................................................................ 116 Section 11.11. Confidentiality ................................................................................................... 116 Section 11.12. Interest Rate Limitation ..................................................................................... 117 Section 11.13. Waiver of Effect of Corporate Seal ................................................................... 117 Section 11.14. Patriot Act .......................................................................................................... 117 Section 11.15. No Advisory or Fiduciary Responsibility .......................................................... 117 Section 11.16. Electronic Execution of Assignments and Certain Other Documents ......................................................................................................... 118 Section 11.17. Acknowledgement and Consent to Bail-In of Affected Financial Institutions ......................................................................................................... 118 Section 11.18. Certain ERISA Matters ...................................................................................... 118 Section 11.19. Acknowledgement Regarding any Supported QFCs ......................................... 119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4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v 1312474.1 Schedules Schedule I - Commitment Amounts Schedule 2.22 - Existing Letters of Credit Schedule 4.15 - Loan Parties and Subsidiaries Schedule 7.1 - Outstanding Indebtedness Schedule 7.2 - Existing Liens Schedule 7.4 - Existing Investments Exhibits Exhibit 2.3 - Form of Notice of Revolving Borrowing Exhibit 2.4 - Form of Notice of Swingline Borrowing Exhibit 2.7 - Form of Notice of Conversion/Continuation Exhibit 2.10 - Form of Note Exhibits 2.20 (1-4) - Forms of U.S. Tax Compliance Certificates Exhibit 5.1 - Form of Compliance Certificate Exhibit 5.10 - Form of Guarantor Joinder Agreement Exhibit 11.4 - Form of Assignment and Acceptance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4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1312474.1 CREDIT AGREEMENT THIS CREDIT AGREEMENT (this “Agreement”) is made and entered into as of June 8, 2020, by and among MOLINA HEALTHCARE, INC., a Delaware corporation (the “Borrower”), the Lenders (defined herein), and TRUIST BANK, in its capacity as administrative agent for the Lenders (the “Administrative Agent”), as issuing bank (the “Issuing Bank”) and as swingline lender (the “Swingline Lender”). W I T N E S S E T H: WHEREAS, the Borrower, the lenders party thereto and Truist Bank, as administrative agent, are parties to that certain Credit Agreement dated as of June 12, 2015 (as amended from time to time, the “Existing Credit Agreement”); WHEREAS, the Borrower has requested that the Existing Credit Agreement be amended and restated in its entirety; and WHEREAS, subject to the terms and conditions of this Agreement, the Lenders, the Issuing Bank and the Swingline Lender, to the extent of their respective Commitments as defined herein, are willing severally to establish the requested revolving credit facility, letter of credit subfacility and the swingline subfacility in favor of the Borrower; NOW, THEREFORE, in consideration of the premises and the mutual covenants herein contained, the Borrower, the Lenders, the Administrative Agent, the Issuing Bank and the Swingline Lender agree as follows: ARTICLE I DEFINITIONS; CONSTRUCTION Section 1.1. Definitions. In addition to the other terms defined herein, the following terms used herein shall have the meanings herein specified (to be equally applicable to both the singular and plural forms of the terms defined): “364 Day Bridge Senior Unsecured Indebtedness” shall mean any unsecured bridge facilities incurred by the Borrower with a maturity date no greater than 364 days after the date of issuance thereof for purposes of (x) consummating any Permitted Acquisition or Investment permitted hereunder or (y) repayment of any existing Indebtedness, so long as, (a) at the time any such unsecured bridge facility is incurred, the aggregate amount of all unsecured bridge facilities does not exceed 25% of Consolidated Adjusted EBITDA for the for the period of the four fiscal quarters most recently ended for which the Borrower has delivered financial statements pursuant to Section 5.1(a) or (b) and (b) at all times when any unsecured bridge facility is outstanding, the Borrower shall have Qualified Cash and availability under the Aggregate Revolving Commitments of at least 120% of all outstanding 364 Day Bridge Senior Unsecured Indebtedness. “2022 Senior Notes” shall mean those certain 5.375% Senior Notes due 2022 issued pursuant to that certain Indenture dated as of November 10, 2015 by and between the Borrower and U.S. Bank National Association as Trustee.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4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 1312474.1 “2025 Senior Notes” shall mean those certain 4.875% Senior Notes due 2025 issued pursuant to that certain Indenture dated as of June 6, 2017 by and between the Borrower and U.S. Bank National Association as Trustee. “2028 Senior Notes” shall mean those certain 4.375% Senior Notes due 2028 issued pursuant to that certain Indenture dated as of June 2, 2020 by and between the Borrower and U.S. Bank National Association as Trustee. “ACA” shall mean both the Patient Protection and Affordable Care Act of 2010 and the Health Care and Education Affordability Reconciliation Act of 2010. “Acquisition” shall mean (a) any Investment by the Borrower or any of its Restricted Subsidiaries in any other Person pursuant to which such Person shall become a Subsidiary or shall be merged with the Borrower or any of its Subsidiaries or (b) any acquisition by the Borrower or any of its Subsidiaries of the assets of any Person (other than a Restricted Subsidiary) that constitute all or a substantial portion of the assets of such Person or a division or business unit of such Person. “Additional Lender” shall have the meaning set forth in Section 2.23. “Additional Letters of Credit” shall have the meaning set forth in Section 7.1(g). “Adjusted Term SOFR” shall mean, for purposes of any calculation, the rate per annum equal to (a) Term SOFR for such calculation plus (b) the Term SOFR Adjustment; provided, that if Adjusted Term SOFR as so determined shall ever be less than the Floor, then Adjusted Term SOFR shall be deemed to be the Floor. “Administrative Agent” shall mean Truist Bank in its capacity as administrative agent under any of the Loan Documents, or any successor administrative agent. “Administrative Questionnaire” shall mean, with respect to each Lender, an administrative questionnaire in the form provided by the Administrative Agent and submitted to the Administrative Agent duly completed by such Lender. “Affiliate” shall mean, as to any Person, any other Person that directly, or indirectly through one or more intermediaries, Controls, is Controlled by, or is under common Control with, such Person. For the purposes of this definition, “Control” shall mean the power, directly or indirectly, either to (i) vote 5% or more of the securities having ordinary voting power for the election of directors (or persons performing similar functions) of a Person or (ii) direct or cause the direction of the management and policies of a Person, whether through the ability to exercise voting power, by control or otherwise. The terms “Controlling”, “Controlled by”, and “under common Control with” have the meanings correlative thereto. “Aggregate Revolving Commitments” shall mean the Revolving Commitments of all the Lenders at any time outstanding. On the Closing Date, the aggregate amount of the Aggregate Revolving Commitments is $1,000,000,000. “Agreement” shall mean this Credit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4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 1312474.1 “Anti-Corruption Laws” shall mean all laws, rules, and regulations of any jurisdiction applicable to the Borrower or its Subsidiaries from time to time concerning or relating to bribery or corruption. “Anti-Kickback Statute” shall mean the Anti-kickback Statute as set forth in Section 1320a-7b of Title 42 of the United States Code, as amended, and any statute succeeding thereto. “Applicable Lending Office” shall mean, for each Lender and for each Type of Loan, the “Lending Office” of such Lender (or an Affiliate of such Lender) designated for such Type of Loan in the Administrative Questionnaire submitted by such Lender or such other office of such Lender (or an Affiliate of such Lender) as such Lender may from time to time specify to the Administrative Agent and the Borrower as the office by which its Loans of such Type are to be made and maintained. “Applicable Margin” shall mean, as of any date, with respect to interest on all Loans outstanding on any date or the letter of credit fee, as the case may be, a percentage per annum determined by reference to the applicable Consolidated Net Leverage Ratio in effect on such date as set forth in the table below; provided, that a change in the Applicable Margin resulting from a change in the Consolidated Net Leverage Ratio shall be effective on the second Business Day after which the Borrower delivers each of the financial statements required by Section 5.1(a) and (b) and the Compliance Certificate required by Section 5.1(c); provided further, that if at any time the Borrower shall have failed to deliver such financial statements and such Compliance Certificate when so required, the Applicable Margin shall be at Level 1 as set forth in the table below until the second Business Day after which such financial statements and Compliance Certificate are delivered, at which time the Applicable Margin shall be determined as provided above. Notwithstanding the foregoing, the Applicable Margin from the Closing Date until the second Business Day after which the financial statements and Compliance Certificate for the Fiscal Quarter ending September 30, 2020 are required to be delivered shall be at Level 5 as set forth in the table below. In the event that any financial statement or Compliance Certificate delivered hereunder is shown to be inaccurate (regardless of whether this Agreement or the Commitments are in effect when such inaccuracy is discovered), and such inaccuracy, if corrected, would have led to the application of a higher Applicable Margin based upon the pricing grid set forth in the table below (the “Accurate Applicable Margin”) for any period that such financial statement or Compliance Certificate covered, then (i) the Borrower shall immediately deliver to the Administrative Agent a correct financial statement or Compliance Certificate, as the case may be, for such period, (ii) the Applicable Margin shall be adjusted such that after giving effect to the corrected financial statements or Compliance Certificate, as the case may be, the Applicable Margin shall be reset to the Accurate Applicable Margin based upon the pricing grid set forth in the table below for such period and (iii) the Borrower shall immediately pay to the Administrative Agent, for the account of the Lenders, the accrued additional interest owing as a result of such Accurate Applicable Margin for such period. The provisions of this definition shall not limit the rights of the Administrative Agent and the Lenders with respect to Section 2.13(c) or Article VIII. Level Consolidated Net Leverage Ratio SOFR Loans and Letter of Credit Fee Base Rate Loans Commitment Fee 1 &gt;3.50:1.00 2.75% 1.75% 0.40% 2 &lt;3.50:1.00 but &gt;3.00:1.00 2.50% 1.50% 0.40% 3 &lt;3.00:1.00 but &gt;2.50:1.00 2.25% 1.25% 0.35% 4 &lt;2.50:1.00 but &gt;2.00:1.00 2.00% 1.00% 0.30% 5 &lt;2.00:1.00 1.75% 0.75% 0.30%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4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 1312474.1 “Approved Fund” shall mean any Person (other than a natural Person) that is (or will be) engaged in making, purchasing, holding or otherwise investing in commercial loans and similar extensions of credit in the ordinary course of its business and that is administered or managed by (i) a Lender, (ii) an Affiliate of a Lender or (iii) an entity or an Affiliate of an entity that administers or manages a Lender. “Arrangers” shall mean SunTrust Robinson Humphrey, Inc., BofA Securities, Inc., Wells Fargo Securities LLC, Barclays Bank PLC, Deutsche Bank Securities Inc. and MUFG Bank Ltd., each in their capacities as joint lead arrangers and joint bookrunners. “Asset Sale” shall mean the sale, transfer, license, lease or other disposition of any property by the Borrower or any Restricted Subsidiary, including any sale and leaseback transaction and any sale, assignment, transfer or other disposal, with or without recourse, of any notes or accounts receivable or any rights and claims associated therewith, but excluding (a) the sale of inventory in the ordinary course of business; (b) the sale or disposition for Fair Market Value of obsolete or worn out property or other property not necessary for operations of the Borrower or any Restricted Subsidiary disposed of in the ordinary course of business; (c) the disposition of property (including the cancellation of Indebtedness permitted by Section 7.4(d)) to the Borrower or any Restricted Subsidiary; provided, that if the transferor of such property is a Loan Party then the transferee thereof must be a Loan Party; (d) the disposition of accounts receivable in connection with the collection or compromise thereof; (e) licenses, sublicenses, leases or subleases granted to others in the ordinary course of business or not interfering in any material respect with the business of the Borrower or any Restricted Subsidiary; (f) the sale or disposition of Permitted Investments for Fair Market Value in the ordinary course of business and (g) the disposition of shares of Capital Stock of any Subsidiary in order to qualify members of the governing body of such Subsidiary if required by applicable Law. “Assignment and Acceptance” shall mean an assignment and acceptance entered into by a Lender and an assignee (with the consent of any party whose consent is required by Section 11.4(b)) and accepted by the Administrative Agent, in the form of Exhibit 11.4 attached hereto or any other form approved by the Administrative Agent. “Audited Financial Statements” shall mean the audited consolidated balance sheet of the Borrower and its Subsidiaries for the fiscal year ended December 31, 2019, and the related consolidated statements of income or operations, stockholders’ equity and cash flows of the Borrower and its Subsidiaries for such fiscal year, including the notes thereto. “Availability Period” shall mean the period from the Closing Date to but excluding the Revolving Commitment Termination Date. “Available Tenor” shall mean,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 1312474.1 case, as of such date and not including, for the avoidance of doubt, any tenor for such Benchmark that is then-removed from the definition of “Interest Period” pursuant to Section 2.16(e). “Bail-In Action” shall mean the exercise of any Write-Down and Conversion Powers by the applicable EEA Resolution Authority in respect of any liability of an Affected Financial Institution. “Bail-In Legislation” shall mean: (a) with respect to any EEA Member Country implementing Article 55 of Directive 2014/59/EU of the European Parliament and of the Council of the European Union, the implementing Law for such EEA Member Country from time to time which is described in the applicable EU Bail-In Legislation Schedule; and (b) with respect to the United Kingdom, Part I of the United Kingdom Banking Act of 2009 (as amended from time to time), and any other Law applicable in the United Kingdom relating to the resolution of unsound or failing banks, investment firms or other financial institutions, or any affiliates of any of the foregoing (other than through liquidation, administration, or other insolvency proceedings). “Bank Product Amount” shall have the meaning set forth in the definition of “Bank Product Provider”. “Bank Product Obligations” shall mean, collectively, all obligations and other liabilities of any Loan Party to any Bank Product Provider arising with respect to any Bank Products. “Bank Product Provider” shall mean any Person that (a) (i) at the time it provides any Bank Products to any Loan Party, is a Lender or an Affiliate of a Lender or (ii) has provided any Bank Products to any Loan Party that exist on the Closing Date, and such Person is a Lender or an Affiliate of a Lender on the Closing Date and (b) except when the Bank Product Provider is Truist Bank and its Affiliates, has provided prior written notice to the Administrative Agent which has been acknowledged by the Borrower of (x) the existence of such Bank Product, (y) the maximum dollar amount of obligations arising thereunder (the “Bank Product Amount”) and (z) the methodology to be used by such parties in determining the obligations under such Bank Product from time to time. In no event shall any Bank Product Provider acting in such capacity be deemed a Lender for purposes hereof to the extent of and as to Bank Products except that each reference to the term “Lender” in Article IX and Section 11.4 shall be deemed to include such Bank Product Provider and in no event shall the approval of any such person in its capacity as Bank Product Provider be required in connection with the release or termination of any security interest or Lien of the Administrative Agent. The Bank Product Amount may be changed from time to time upon written notice to the Administrative Agent by the applicable Bank Product Provider. The Bank Product Amount may not be increased, and no new agreements for Bank Products may be established at any time that a Default or Event of Default exists. “Bank Products” shall mean any of the following services provided to any Loan Party by any Bank Product Provider: (a) any treasury or other cash management services, including deposit accounts, automated clearing house (ACH) origination and other funds transfer, depository (including cash vault and check deposit), zero balance accounts and sweeps, return items processing, controlled disbursement accounts, positive pay, lockboxes and lockbox accounts, account reconciliation and information reporting, payables outsourcing, payroll processing, trade finance services, investment accounts and securities accounts, and (b) card services, including credit card (including purchasing card and commercial card), prepaid cards, including payroll, stored value and gift cards, merchant services processing, and debit card services.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 1312474.1 “Base Rate” shall mean, for any day, a rate per annum equal to the highest of (a) the Prime Rate in effect on such day, (b) the Federal Funds Rate, in effect on such day, plus one-half of one percent (½%) and (c) Adjusted Term SOFR for a one-month tenor in effect on such day plus one percent (1.00%). Any change in the Base Rate due to a change in the Prime Rate, the Federal Funds Rate, or Adjusted Term SOFR will be effective from and including the effective date of such change in the Prime Rate, the Federal Funds Rate, or Adjusted Term SOFR, respectively. “Base Rate Term SOFR Determination Day” shall have the meaning set forth in the definition of “Term SOFR”. “Benchmark” shall mean, initially, the Term SOFR Reference Rate; provided that if a Benchmark Transition Event has occurred with respect to the Term SOFR Reference Rate or the then- current Benchmark, then “Benchmark” shall mean the applicable Benchmark Replacement to the extent that such Benchmark Replacement has replaced such prior benchmark rate pursuant to Section 2.16(b). “Benchmark Replacement” shall mean, with respect to any Benchmark Transition Event for the then-current Benchmark, the first alternative set forth in the order below that can be determined by the Administrative Agent for the applicable Benchmark Replacement Date: (a) the sum of (i) Daily Simple SOFR and (ii) 0.10%: and (b)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 denominated syndicated credit facilities and (ii) the related Benchmark Replacement Adjustment. If the Benchmark Replacement as determined pursuant to clause (a) or (b) above would be less than the Floor, the Benchmark Replacement will be deemed to be the Floor for the purposes of this Agreement and the other Loan Documents. “Benchmark Replacement Adjustment” shall mean,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“Benchmark Replacement Date” shall mean a date and time determined by the Administrative Agent, which date shall be no later than the earliest to occur of the following events with respect to the then-current Benchmark: (a) in the case of clause (a) or (b) of the definition of “Benchmark Transition Event”, the later of (i) the date of the public statement or publication of information referenced therein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 1312474.1 and (ii) the date on which the administrator of such Benchmark (or the published component used in the calculation thereof) permanently or indefinitely ceases to provide all Available Tenors of such Benchmark (or such component thereof); or (b)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 representativeness will be determined by reference to the most recent statement or publication referenced in such clause (c) and even if any Available Tenor of such Benchmark (or such component thereof) continues to be provided on such date. For the avoidance of doubt, the “Benchmark Replacement Date” will be deemed to have occurred in the case of clause (a) or (b) above with respect to any Benchmark upon the occurrence of the applicable event or events set forth therein with respect to all then-current Available Tenors of such Benchmark (or the published component used in the calculation thereof). “Benchmark Transition Event” shall mean the occurrence of one or more of the following events with respect to the then-current Benchmark: (a)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 1312474.1 “Benchmark Unavailability Period” shall mean, with respect to any then-current Benchmark, the period (if any) (a) beginning at the time that a Benchmark Replacement Date has occurred if, at such time, no Benchmark Replacement has replaced the then-current Benchmark for all purposes hereunder and under any Loan Document in accordance with Section 2.16 and (b) ending at the time that a Benchmark Replacement has replaced the then-current Benchmark for all purposes hereunder and under any Loan Document in accordance with Section 2.16. “Beneficial Ownership Certification” shall mean a certification regarding beneficial ownership as required by the Beneficial Ownership Regulation. “Beneficial Ownership Regulation” shall mean 31 C.F.R. § 1010.230. “Benefit Plan” shall mean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 “BHC Act Affiliate” of a party shall mean an “affiliate” (as such term is defined under, and interpreted in accordance with, 12 U.S.C. §–1841(k)) of such party. “Borrower” shall have the meaning set forth in the introductory paragraph hereof. “Borrowing” shall mean a borrowing consisting of (a) Loans of the same Class and Type, made, converted or continued on the same date and in the case of SOFR Loans, as to which a single Interest Period is in effect, or (b) a Swingline Loan. “Bridge Senior Unsecured Indebtedness” shall mean senior unsecured Indebtedness that complies with Section 7.1(k) other than clauses (iv) and (v) thereof; provided that (a) at the initial maturity of such Indebtedness, such Indebtedness shall automatically convert to a term loan or exchange notes that, in each case, complies with clause (iv) of Section 7.1(k) and (b) the only prepayments such Indebtedness may have are customary mandatory redemption, mandatory repurchase or other mandatory prepayments of principal (x) in connection with a change of control and (y) with the proceeds of any issuance of Capital Stock or any issuance of Indebtedness or any sale or other disposition of property (including casualty events), in each case to the extent such proceeds are not required to be applied to prepay the Loans. “Business Day” shall mean any day other than a Saturday, Sunday or other day on which commercial banks in Charlotte, North Carolina or New York, New York are authorized or required by Law to close. “Capital Expenditures” shall mean for any period, without duplication, (a) the additions to property, plant and equipment and other capital expenditures of the Borrower and its Restricted Subsidiaries that are (or would be) set forth on a consolidated statement of cash flows of the Borrower for such period and (b) Finance Lease Liabilities incurred by the Borrower and its Restricted Subsidiaries during such period. “Capital Stock” shall mean all shares, options, warrants, general or limited partnership interests, membership interests or other equivalents (regardless of how designated) of or in a corporation, partnership, limited liability company or equivalent entity whether voting or nonvoting, including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 1312474.1 common stock, preferred stock or any other “equity security” (as such term is defined in Rule 3a11-1 of the General Rules and Regulations promulgated by the SEC under the Securities Exchange Act of 1934). “Cash Collateralize” shall mean, in respect of any obligations, to provide and pledge (as a first priority perfected security interest) cash collateral for such obligations in Dollars, to the Administrative Agent pursuant to documentation in form and substance, reasonably satisfactory to the Administrative Agent (and “Cash Collateralization” and “Cash Collateral” have a corresponding meaning). “Change in Control” shall mean the occurrence of one or more of the following events: (a) any sale, lease, exchange or other transfer (in a single transaction or a series of related transactions) of all or substantially all of the assets of the Borrower to any Person or “group” (within the meaning of the Securities Exchange Act of 1934 and the rules of the SEC thereunder in effect on the date hereof), (b) the acquisition of ownership, directly or indirectly, beneficially or of record, by any Person or “group” (within the meaning of the Securities Exchange Act of 1934 and the rules of the SEC thereunder as in effect on the date hereof), other than the Molina Family, of 30% or more of the outstanding shares of the voting stock of the Borrower, (c) the acquisition of ownership, directly or indirectly, beneficially or of record, by the Molina Family of 50% or more of the outstanding shares of the voting stock of the Borrower, (d) during any period of 24 consecutive months, a majority of the members of the board of directors or other equivalent governing body of the Borrower cease to be composed of individuals who are Continuing Directors or (e) the occurrence of a fundamental change (or any comparable term) under, and as defined in, any agreement, document or instrument governing or otherwise relating to the Existing Notes or any other Material Indebtedness (other than Permitted Subordinated Debt). “Change in Law” shall mean (a) the adoption of any applicable Law after the date of this Agreement, (b) any change in any applicable Law after the date of this Agreement, or (c) compliance by any Lender (or its Applicable Lending Office) or the Issuing Bank (or for purposes of Section 2.18(b), by the Parent Company of such Lender or the Issuing Bank, if applicable) with any request, guideline or directive (whether or not having the force of law) of any Governmental Authority made or issued after the date of this Agreement. Notwithstanding anything herein to the contrary, (x) the Dodd-Frank Wall Street Reform and Consumer Protection Act, and all requests, rules, guidelines and directives promulgated thereunder, and (y) all requests, rules, guidelines or directives promulgated by the Bank for International Settlements, the Basel Committee on Banking Supervision (or any successor or similar authority) or the United States or foreign regulatory authorities, in each case pursuant to Basel III, in each case, are deemed to have been introduced or adopted after the date hereof, regardless of the date enacted or adopted. “Class”, when used in reference to any Loan or Borrowing, refers to whether such Loan, or the Loans comprising such Borrowing, are Revolving Loans or Swingline Loans and, when used in reference to any Commitment, refers to whether such Commitment is a Revolving Commitment or a Swingline Commitment. “Closing Date” shall mean the date hereof. “CMS” shall mean the Centers for Medicare &amp; Medicaid Services or any successor or predecessor thereof. “Code” shall mean the Internal Revenue Code of 1986, as amended and in effect from time to time.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 1312474.1 “Commitment” shall mean a Revolving Commitment, a Swingline Commitment or an Incremental Term Loan Commitment or any combination thereof (as the context shall permit or require). “Commitment Fee” shall have the meaning set forth in Section 2.14(b). “Commodity Exchange Act” shall mean the Commodity Exchange Act (7 U.S.C. § 1 et seq.), as amended from time to time, and any successor statute. “Compliance Certificate” shall mean a certificate from the principal executive officer or the principal financial officer of the Borrower in the form of, and containing the certifications set forth in, the certificate attached hereto as Exhibit 5.1. “Conforming Changes” shall mean,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2.19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 “Connection Income Taxes” shall mean Other Connection Taxes that are imposed on or measured by net income (however denominated) or that are franchise Taxes or branch profits Taxes. “Consolidated Adjusted EBITDA” shall mean, for the Borrower and its Restricted Subsidiaries for any period, determined on a consolidated basis, an amount equal to the sum of (a) Consolidated Net Income for such period plus (b) to the extent deducted in determining Consolidated Net Income for such period (except for the synergies component of clause (v) and the “run rate” component of clause (vii)), without duplication, (i) Consolidated Interest Expense for such period, (ii) income tax expense for such period (other than any income tax, including any portion of the Health Insurance Providers Fee imposed by Section 9010 of the ACA, which is subject to indemnification or reimbursement from any Person other than the Borrower or any of its Restricted Subsidiaries), (iii) depreciation and amortization for such period, (iv) non-cash charges associated with stock-based compensation expenses pursuant to the financial reporting guidance of the Financial Accounting Standards Board concerning stock-based compensation as in effect from time to time, (v) any costs and synergies directly attributable to any Permitted Acquisition that occurred during such period (calculated on a basis that is consistent with Regulation S-X under the Securities Act of 1933) which are reflective of actual or reasonably anticipated and factually supportable synergies and cost savings expected to be realized or achieved in the twelve months following such Permitted Acquisition; provided, however, that for purposes of calculating Consolidated Adjusted EBITDA for any period, any such adjustments made pursuant to this clause (v) shall not increase Consolidated Adjusted EBITDA by more than 20% 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 1312474.1 Consolidated Adjusted EBITDA for such period as calculated before giving effect to any such adjustments in this clause (v) and any adjustments in clause (vii), (vi) other extraordinary or non-recurring non-cash expenses (including any expenses as a result of any premium deficiency reserve, goodwill impairment or impairment of intangible assets, including, without limitation, impairment of capitalized software) and (vii) cash costs and expenses and “run rate” cost savings related to corporate restructuring or improvement plans incurred in such period; provided, that, such “run rate” cost savings are certified by the Borrower’s chief financial officer; and provided, further, that, (A) such cost savings have resulted from actions taken by the Borrower and its Restricted Subsidiaries and are factually supportable and reasonably likely to result in cost savings to be realized or achieved in the twelve months following such action and (B) for purposes of calculating Consolidated Adjusted EBITDA for any period, any such adjustments made pursuant to this clause (vii) shall not increase Consolidated Adjusted EBITDA by more than 10% of Consolidated Adjusted EBITDA for such period as calculated before giving effect to any such adjustments in this clause (vii), minus (c) to the extent added in Consolidated Net Income, any extraordinary or non-recurring non-cash income (including as a result of any premium deficiency reserve related to any health plan operated by the Borrower or any of its Restricted Subsidiaries). “Consolidated Fixed Charge Coverage Ratio” shall mean the ratio of (a) Consolidated Adjusted EBITDA to (b) Consolidated Fixed Charges, in each case measured as of the last day of the most recently ended four consecutive Fiscal Quarters for which financial statements are required to have been delivered pursuant to Section 5.1(a) or (b). “Consolidated Fixed Charges” shall mean the sum of (a) Consolidated Interest Expense plus (b) all cash Restricted Payments (excluding items eliminated in consolidation) on any series of preferred stock or Disqualified Stock of the Borrower and its Restricted Subsidiaries for the applicable period. “Consolidated Interest Coverage Ratio” shall mean, as of any date, the ratio of (a) Consolidated Adjusted EBITDA to (b) Consolidated Interest Expense paid in cash in each case measured as of the last day of the most recently ended four consecutive Fiscal Quarters for which financial statements are required to have been delivered pursuant to Section 5.1(a) or (b). “Consolidated Interest Expense” shall mean, for the Borrower and its Restricted Subsidiaries for any period determined on a consolidated basis, the sum of (a) total interest expense, including without limitation, (i) non-cash interest expense with respect to the Existing Notes and (ii) the interest component of any payments in respect of Finance Lease Liabilities capitalized or expensed during such period (whether or not actually paid during such period) plus (b) the net amount payable (or minus the net amount receivable) with respect to Hedging Transactions during such period (whether or not actually paid or received during such period). “Consolidated Net Income” shall mean, for the Borrower and its Restricted Subsidiaries for any period determined on a consolidated basis, the net income (or loss) of the Borrower and its Restricted Subsidiaries for such period but excluding therefrom (to the extent otherwise included therein) (a) any extraordinary gains or losses, (b) any gains attributable to write-ups of assets and (c) any equity interest of the Borrower or any Restricted Subsidiary of the Borrower in the unremitted earnings of any Person that is not a Restricted Subsidiary. “Consolidated Net Leverage Ratio” shall mean the ratio of (a) Consolidated Total Debt as of such date minus up to $500 million of Qualified Cash minus up to $500 million of Specified Cash,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 1312474.1 measured as of the last day of the most recently ended four consecutive Fiscal Quarters for which financial statements are required to have been delivered pursuant to Section 5.1(a) or (b) to (b) Consolidated Adjusted EBITDA for the four consecutive Fiscal Quarters for which financial statements are required to have been delivered pursuant to Section 5.1(a) or (b). “Consolidated Total Assets” shall mean the total assets of the Borrower and its Restricted Subsidiaries calculated in accordance with GAAP on a consolidated basis as of the last day of the most recent fiscal quarter preceding such date of determination for which financial statements of the Borrower have been delivered pursuant to Section 5.1(a) or (b). “Consolidated Total Debt” shall mean, as of any date, all Indebtedness of the Borrower and its Restricted Subsidiaries measured on a consolidated basis as of such date, but excluding Indebtedness of the type described in subsection (i) of the definition thereto. “Contract Provider” shall mean any Person or any employee, agent or subcontractor of such Person who provides professional health care services under or pursuant to any contract or other arrangement with the Borrower or any Subsidiary. “Contractual Obligation” shall mean, as to any Person, any provision of any security issued by such Person or of any agreement, instrument or other undertaking to which such Person is a party or by which it or any of its property is bound. “Continuing Director” shall mean, with respect to any period, any individuals (A) who were members of the board of directors or other equivalent governing body of the Borrower on the first day of such period, (B) whose election or nomination to that board or equivalent governing body was approved by individuals referred to in clause (A) above constituting at the time of such election or nomination at least a majority of that board or equivalent governing body, or (C) whose election or nomination to that board or other equivalent governing body was approved by individuals referred to in clauses (A) and (B) above constituting at the time of such election or nomination at least a majority of that board or equivalent governing body. “Covered Entity” shall mean any of the following: (a) a “covered entity” as that term is defined in, and interpreted in accordance with, 12 C.F.R. §–252.82(b); (b) a “covered bank” as that term is defined in, and interpreted in accordance with, 12 C.F.R. §–47.3(b); and (c) a “covered FSI” as that term is defined in, and interpreted in accordance with, 12 C.F.R. §–382.2(b). “Covered Party” shall have the meaning provided in Section 11.19 “Daily Simple SOFR” shall mean, for any day, a rate per annum equal to SOFR for the day that is five (5) U.S. Government Securities Business Days prior to (i) such date, if such day is a U.S. Government Securities Business Day or (ii) if such day is not a U.S. Government Securities Business Day, the U.S. Government Securities Business Day immediately preceding such day, as SOFR is published by the Federal Reserve Bank of New York. Any change in Daily Simple SOFR due to a change in SOFR shall be effective from and including the effective date of such change in SOFR without notice to the Borrower,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 1312474.1 administratively feasible for the Administrative Agent, then the Administrative Agent may establish another convention in its reasonable discretion. “Debtor Relief Laws” shall mean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 “Default” shall mean any condition or event that, with the giving of notice or the lapse of time or both, would constitute an Event of Default. “Default Interest” shall have the meaning set forth in Section 2.13(c). “Default Right” has the meaning assigned to that term in, and shall be interpreted in accordance with, 12 C.F.R. §§–252.81, 47.2 or 382.1, as applicable. “Defaulting Lender” shall mean, subject to Section 2.26(b), at any time, any Lender as to which the Administrative Agent has notified the Borrower that (a) such Lender has failed for three (3) or more Business Days to comply with its obligations under this Agreement to make a Loan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and/or to make a payment to the Issuing Bank in respect of a Letter of Credit or to the Swingline Lender in respect of a Swingline Loan (each a “funding obligation”), (b) such Lender has notified the Administrative Agent or the Borrower, or has stated publicly, that it will not comply with any such funding obligation hereunder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such Lender has, for three (3) or more Business Days, failed to confirm in writing to the Administrative Agent, in response to a written request of the Administrative Agent, that it will comply with its funding obligations hereunder, (d) a Lender Insolvency Event has occurred and is continuing with respect to such Lender, or (e) such Lender has become the subject of a Bail-In Action. The Administrative Agent will promptly send to all parties hereto a copy of any notice to the Borrower provided for in this definition. “Designated Non-cash Consideration” shall mean any non-cash consideration received by the Borrower or one or more of its Restricted Subsidiaries in connection with an Asset Sale that is designated as Designated Non-cash Consideration pursuant to a certificate by a Responsible Officer of the Borrower at the time of such Asset Sale. Any particular item of Designated Non-cash Consideration will cease to be considered to be outstanding once it has been sold for cash or Permitted Investments. “Disqualified Stock” shall mean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Latest Maturity Date; provided, however, that only the portion of Capital Stock which so matures or is mandatorily redeemable, is so convertible or exchangeable at the option of the holder thereof or is so redeemable at the option of the holder thereof prior to such date shall be deemed to be Disqualified Stock; provided, further, however,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 1312474.1 that if such Capital Stock is issued to any employee or to any plan for the benefit of employees of the Borrower or its Subsidiaries or by any such plan to such employees, such Capital Stock shall not constitute Disqualified Stock solely because it may be required to be repurchased by the Borrower in order to satisfy applicable statutory or regulatory obligations or as a result of such employee’s termination, death or disability; provided, further, that any class of Capital Stock of such Person that by its terms authorizes such Person to satisfy its obligations thereunder by delivery of Capital Stock that is not Disqualified Stock shall not be deemed to be Disqualified Stock. “Dollar(s)” and the sign “$” shall mean lawful money of the United States of America. “Domestic Subsidiary” shall mean any Restricted Subsidiary that is organized under the laws of any political subdivision of the United States. “EEA Financial Institution”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 “EEA Member Country” shall mean any of the member states of the European Union, Iceland, Liechtenstein, and Norway. “EEA Resolution Authority” shall mean any public administrative authority or any person entrusted with public administrative authority of any EEA Member Country (including any delegee) having responsibility for the resolution of any EEA Financial Institution. “Environmental Laws” shall mean all laws, rules, regulations, codes, ordinances, orders, decrees, judgments, injunctions, notices or binding agreements issued, promulgated or entered into by or with any Governmental Authority, relating in any way to the environment, preservation or reclamation of natural resources, the management, Release or threatened Release of any Hazardous Material or to health and safety matters. “Environmental Liability” shall mean any liability, contingent or otherwise (including any liability for damages, costs of environmental investigation and remediation, costs of administrative oversight, fines, natural resource damages, penalties or indemnities), of the Borrower or any Restricted Subsidiary directly or indirectly resulting from or based upon (a) any actual or alleged violation of any Environmental Law, (b) the generation, use, handling, transportation, storage, treatment or disposal of any Hazardous Materials, (c) any actual or alleged exposure to any Hazardous Materials, (d) the Release or threatened Release of any Hazardous Materials or (e) any contract, agreement or other consensual arrangement pursuant to which liability is assumed or imposed with respect to any of the foregoing. “ERISA” shall mean the Employee Retirement Income Security Act of 1974, as amended from time to time, and any successor statute. “ERISA Affiliate” shall mean any trade or business (whether or not incorporated), which, together with the Borrower, is treated as a single employer under Section 414(b) or (c) of the Code or, solely for the purposes of Section 302 of ERISA and Section 412 of the Code, is treated as a single employer under Section 414 of the Code.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 1312474.1 “ERISA Event” shall mean (a) any “reportable event”, as defined in Section 4043 of ERISA or the regulations issued thereunder with respect to a Plan (other than an event for which the 30- day notice period is waived); (b) the failure of any Plan to meet the minimum funding standard applicable to the Plan for a plan year under Section 412 of the Code or Section 302 of ERISA, whether or not waived; (c) the filing pursuant to Section 412(d) of the Code or Section 303(d)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appointed by the PBGC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 “EU Bail-In Legislation Schedule” shall mean the EU Bail-In Legislation Schedule published by the Loan Market Association (or any successor Person), as in effect from time to time. “Event of Default” shall have the meaning set forth in Article VIII. “Excluded Swap Obligation” shall mean, with respect to any Guarantor, any Swap Obligation if, and to the extent that, all or a portion of the Guaranty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Guaranty of such Guarantor, or the grant by such Guarantor of a security interest, becomes effective with respect to such Swap Obligation; provided that, for the avoidance of doubt, in determining whether any Guarantor is an “eligible contract participant” under the Commodity Exchange Act, the keepwell agreement set forth in Section 10.8 shall be taken into account. If a Swap Obligation arises under a Master Agreement governing more than one Hedging Transaction, such exclusion shall apply only to the portion of such Swap Obligation that is attributable to Hedging Transactions for which such Guaranty or security interest is or becomes excluded in accordance with the first sentence of this definition. “Excluded Taxes”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2.25) or (ii) such Lender changes its lending office, except in each case to the extent that, pursuant to Section 2.20, amounts with respect to such Taxes were payable either to such Lender’s assignor immediately before such Lender became a party hereto or to such Lender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16 1312474.1 immediately before it changed its lending office, (c) Taxes attributable to such Recipient’s failure to comply with Section 2.20(g) and (d) any U.S. federal withholding Taxes imposed under FATCA. “Exclusion Event” shall mean an event or related events resulting in the exclusion of the Borrower or any of its Restricted Subsidiaries from participation in any Medical Reimbursement Program. “Existing Letters of Credit” shall mean the letters of credit issued and outstanding under the Existing Credit Agreement as set forth on Schedule 2.22. “Existing Notes” shall mean each of the 2022 Senior Notes, the 2025 Senior Notes and the 2028 Senior Notes. “Extended Commitments” shall have the meaning set forth in the definition of “Extension Permitted Amendment”. “Extended Loans” shall have the meaning set forth in the definition of “Extension Permitted Amendment”. “Extending Lenders” shall have the meaning set forth in Section 2.27(a). “Extension Agreement” shall mean an Extension Agreement, in form and substance reasonably satisfactory to the Administrative Agent, among the Borrower, the Administrative Agent and one or more Extending Lenders, effecting an Extension Permitted Amendment and such other amendments hereto and to the other Loan Documents as are contemplated by Section 2.27. “Extension Offer” shall have the meaning set forth in Section 2.27(a). “Extension Permitted Amendment” shall mean an amendment to this Agreement and the other Loan Documents, effected in connection with an Extension Offer pursuant to Section 2.27, providing for an extension of the Revolving Commitment Termination Date or maturity date applicable to the Extending Lenders’ Loans and/or Commitments of the applicable Extension Request Class (such Loans or Commitments being referred to as the “Extended Loans” or “Extended Commitments”, as applicable) and, in connection therewith, (a) any increase or decrease in the rate of interest accruing on such Extended Loans, (b) any increase in the fees payable to, or the inclusion of new fees to be payable to, the Extending Lenders in respect of such Extension Offer or their Extended Loans or Extended Commitments, (c) such amendments to this Agreement and the other Loan Documents as shall be appropriate, in the reasonable judgment of the Administrative Agent, to provide the rights and benefits of this Agreement and other Loan Documents to each new “class” of loans and/or commitments resulting therefrom and (d) any additional amendments to the terms of this Agreement applicable to the applicable Loans and/or Commitments of the Extending Lenders that are (i) less favorable to such Extending Lenders than the terms of this Agreement prior to giving effect to such Extension Permitted Amendments (as determined in good faith by the Borrower) or (ii) applicable only to periods after the Latest Maturity Date (determined prior to giving effect to such Extension Permitted Amendment). “Extension Request Class” shall have the meaning set forth in Section 2.27(a). “Fair Market Value” shall mean, with respect to any Asset Sale, Restricted Payment or other item, the price that would be negotiated in an arm’s-length transaction for cash between a willing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17 1312474.1 seller and a willing and able buyer, neither of which is under any compulsion to complete the transaction, as such price is determined in good faith by an officer of the Borrower. “FATCA” shall mean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“Federal Funds Rate” shall mean, for any day, the rate per annum (rounded upwards, if necessary, to the next 1/100th of 1%) equal to the weighted average of the rates on overnight federal funds transactions with member banks of the Federal Reserve System, as published by the Federal Reserve Bank of New York on the next succeeding Business Day or, if such rate is not so published for any Business Day, the Federal Funds Rate for such day shall be the average rounded upwards, if necessary, to the next 1/100th of 1% of the quotations for such day on such transactions received by the Administrative Agent from three federal funds brokers of recognized standing selected by the Administrative Agent. Notwithstanding anything to the contrary in the foregoing, if the Federal Funds Rate is less than zero, such rate shall be deemed to be zero for purposes of this Agreement. “Fee Letter” shall mean that certain fee letter dated as of May 27, 2020, executed by SunTrust Robinson Humphrey, Inc. and Truist Bank and accepted by the Borrower. “Finance Lease Liabilities” of any Person shall mean all obligations of such Person to pay rent or other amounts under any lease (or other arrangement conveying the right to use) of real or personal property, or a combination thereof, which obligations are required to be classified and accounted for as finance leases on a balance sheet of such Person, and the amount of such obligations shall be the capitalized amount thereof. For the avoidance of doubt, “Finance Lease Liabilities” are subject to Section 1.3(b). “Fiscal Quarter” shall mean any fiscal quarter of the Borrower. “Fiscal Year” shall mean any fiscal year of the Borrower. “Floor” shall mean a rate of interest equal to 0.50% per annum. “Foreign Lender” shall mean (a) if the Borrower is a U.S. Person, a Lender that is not a U.S. Person, and (b) if the Borrower is not a U.S. Person, a Lender that is resident or organized under the laws of a jurisdiction other than that in which the Borrower is resident for tax purposes. “Foreign Subsidiary” shall mean any Restricted Subsidiary that is not a Domestic Subsidiary. “GAAP” shall mean generally accepted accounting principles in the United States applied on a consistent basis and subject to the terms of Section 1.3. “Governmental Authority” shall mean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18 1312474.1 “Guarantee” of or by any Person (the “guarantor”) shall mean any obligation, contingent or otherwise, of the guarantor guaranteeing or having the economic effect of guaranteeing any Indebtedness or other obligation of any other Person (the “primary obligor”) in any manner, whether directly or indirectly and including any obligation, direct or indirect, of the guarantor (i) to purchase or pay (or advance or supply funds for the purchase or payment of) such Indebtedness or other obligation or to purchase (or to advance or supply funds for the purchase of) any security for the payment thereof,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as an account party in respect of any letter of credit or letter of guaranty issued in support of such Indebtedness or obligation; provided, that the term “Guarantee” shall not include endorsements for collection or deposit in the ordinary course of business. The amount of any Guarantee shall be deemed to be an amount equal to the stated or determinable amount of the primary obligation in respect of which such Guarantee is made or, if not so stated or determinable, the maximum reasonably anticipated liability in respect thereof (assuming such Person is required to perform thereunder) as determined by such Person in good faith. The term “Guarantee” used as a verb has a corresponding meaning. “Guarantor Joinder Agreement” shall mean a joinder agreement substantially in the form of Exhibit 5.10 executed and delivered by a Restricted Subsidiary in accordance with the provisions of Section 5.10 or any other documents as the Administrative Agent shall deem appropriate for such purpose. “Guarantors” shall mean, collectively, (a) each Person that joins as a Guarantor pursuant to Section 5.10 or otherwise after the Closing Date, (b) with respect to (i) any Hedging Obligations between any Loan Party (other than the Borrower) and any Lender-Related Hedge Provider that are permitted to be incurred pursuant to Section 7.10 and any Bank Product Obligations owing by any Loan Party (other than the Borrower), the Borrower and (ii) the payment and performance by each Specified Loan Party of its obligations under its Guaranty with respect to all Swap Obligations, the Borrower, and (c) the successors and permitted assigns of the foregoing. “Guaranty” shall mean the Guaranty made by the Guarantors in favor of the Administrative Agent, for the benefit of the holders of the Obligations, pursuant to Article X. “Hazardous Materials” shall mean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 “Hedging Obligations” of any Person shall mean any and all obligations of such Person, whether absolute or contingent and howsoever and whensoever created, arising, evidenced or acquired under (a) any and all Hedging Transactions, (b) any and all cancellations, buy backs, reversals, terminations or assignments of any Hedging Transactions and (c) any and all renewals, extensions and modifications of any Hedging Transactions and any and all substitutions for any Hedging Transactions. “Hedging Transaction” of any Person shall mean (a) any transaction (including an agreement with respect to any such transaction) now existing or hereafter entered into by such Person that is a rate swap transaction, swap option, basis swap, forward rate transaction, commodity swap,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19 1312474.1 commodity option, equity or equity index swap or option, bond option, interest rate option, foreign exchange transaction, cap transaction, floor transaction, collar transaction, currency swap transaction, cross-currency rate swap transaction, currency option, spot transaction, credit protection transaction, credit swap, credit default swap, credit default option, total return swap, credit spread transaction, repurchase transaction, reverse repurchase transaction, buy/sell-back transaction, securities lending transaction, or any other similar transaction (including any option with respect to any of these transactions) or any combination thereof,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 “HHS” shall mean the United States Department of Health and Human Services and any successor thereof. “HIPAA” shall mean the Health Insurance Portability and Accountability Act of 1996, Pub. L. 104-191, Aug. 21, 1996, 110 Stat. 1936, and regulations promulgated pursuant thereto. “HITECH Act” shall mean the Health Information Technology for Economic and Clinical Health Act, Title XIII of Division A and Title IV of Division B of the American Recovery and Reinvestment Act of 2009 (ARRA), Pub. L. 111-5, Feb. 17, 2009, and regulations promulgated pursuant thereto. “HMO” shall mean any health maintenance organization or managed care organization, including without limitation any organized delivery system or utilization review organization, any Person doing business as a health maintenance organization or managed care organization, or any Person required to qualify or be licensed as a health maintenance organization or managed care organization under applicable law (including HMO Regulations). “HMO Business” shall mean the business of operating an HMO or other similar regulated entity or business. “HMO Event” shall mean (i) any non-compliance by the Borrower or any of its HMO Subsidiaries with any of the material terms and provisions of the HMO Regulations pertaining to its fiscal soundness, solvency or financial conditions that is materially adverse to the Borrower and its Restricted Subsidiaries taken as a whole; or (ii) the assertion in writing, after the date hereof, by any HMO Regulator that it intends to take administrative action against the Borrower or any of its HMO Subsidiaries to revoke or modify in a manner materially adverse to the Borrower and its Restricted Subsidiaries, taken as a whole, any material license, material charter or material permit or to enforce the fiscal soundness, solvency or financial provisions or requirements of the HMO Regulations against the Borrower or any or its HMO Subsidiaries. “HMO Regulations” shall mean all laws, rules, regulations, directives and administrative orders applicable under Federal or state law to any HMO Subsidiary, including Part 422 of Chapter IV of Title 42 of the Code of Federal Regulations and Subchapter XI of Chapter 6A of Title 42 of the United Stated Code Annotated (and any regulations, orders and directives promulgated or issued pursuant thereto, including Part 417 of Chapter IV of Title 42 of the Code of Federal Regulations).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20 1312474.1 “HMO Regulator” shall mean any Person charged with the administration, oversight or enforcement of any HMO Regulation, whether primarily, secondarily or jointly. “HMO Subsidiary” shall mean (a) any Restricted Subsidiary that is designated as an HMO Subsidiary on Schedule 4.15, (b) any other Domestic Subsidiary that shall become capitalized or licensed as an HMO, shall conduct HMO Business or shall provide managed care services and (c) any other Domestic Subsidiary, substantially all the assets of which consist of Capital Stock of a HMO Subsidiary described in clause (a) or (b) above. “Incremental Term Loan” shall have the meaning set forth in Section 2.23. “Incremental Term Loan Commitment” shall mean, with respect to Persons identified as an “Incremental Term Loan Lender” in the applicable supplement or joinder in form and substance satisfactory to the Administrative Agent, together with their respective successors and assigns, the commitment of such Person to make the Incremental Term Loan hereunder pursuant to such supplement or joinder; provided that, at any time after the funding of the Incremental Term Loan, determination of “Required Lenders” shall include the outstanding principal amount of the Incremental Term Loan. “Indebtedness” of any Person shall mean, without duplication (a) all obligations of such Person for borrowed money, (b) all obligations of such Person evidenced by bonds, debentures, notes or other similar instruments, (c) all obligations of such Person in respect of the deferred purchase price of property or services (other than trade payables incurred in the ordinary course of business; provided, that for purposes of Section 8.1(g), trade payables overdue by more than 120 days shall be included in this definition except to the extent that any of such trade payables are being disputed in good faith and by appropriate measures), (d) all obligations of such Person under any conditional sale or other title retention agreement(s) relating to property acquired by such Person, (e) all Finance Lease Liabilities of such Person, (f) all obligations, contingent or otherwise, of such Person in respect of letters of credit, acceptances or similar extensions of credit, (g) all obligations of such Person, contingent or otherwise, to purchase, redeem, retire or otherwise acquire for value any Capital Stock of such Person, (h) Off-Balance Sheet Liabilities, (i) the Hedge Termination Value of all Hedging Obligations, (j) all Guarantees of such Person of the type of Indebtedness described in clauses (a) through (i) above and (k) all Indebtedness of a third party secured by any Lien on property owned by such Person, whether or not such Indebtedness has been assumed by such Person. The Indebtedness of any Person shall include the Indebtedness of any partnership or joint venture in which such Person is a general partner or a joint venturer, except to the extent that the terms of such Indebtedness provide that such Person is not liable therefor. “Indemnified Taxes” shall mean (a) Taxes, other than Excluded Taxes, imposed on or with respect to any payment made by or on account of any obligation of any Loan Party under any Loan Document and (b) to the extent not otherwise described in (a), Other Taxes. “Insurance Subsidiary” shall mean (a) any Restricted Subsidiary that is engaged in the insurance business, assumes financial risk and that is regulated by the relevant Governmental Authority and (b) any other Domestic Subsidiary, substantially all the assets of which consist of Capital Stock of an Insurance Subsidiary described in clause (a) above. “Interest Period” shall mean, with respect to any SOFR Borrowing, a period of one, three or six months (in each case, subject to availability); provided, that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21 1312474.1 (a) the initial Interest Period for such Borrowing shall commence on the date of such Borrowing (including the date of any conversion from a Borrowing of another Type), and each Interest Period occurring thereafter in respect of such Borrowing shall commence on the day on which the next preceding Interest Period expires; (b) if any Interest Period would otherwise end on a day other than a Business Day, such Interest Period shall be extended to the next succeeding Business Day, unless such Business Day falls in another calendar month, in which case such Interest Period would end on the next preceding Business Day; (c) any Interest Period which begins on the last Business Day of a calendar month or on a day for which there is no numerically corresponding day in the calendar month at the end of such Interest Period shall end on the last Business Day of such calendar month; (d) no Interest Period may extend beyond the later of the Revolving Commitment Termination Date, or if applicable, the Latest Maturity Date; and (e) no tenor that has been removed from this definition pursuant to Section 2.16(e) shall be available for specification in a Notice of Borrowing or Notice of Conversion/Continuation. “Interim Financial Statements” shall mean the unaudited consolidated financial statements of the Borrower and its Subsidiaries for the fiscal quarter ended March 31, 2020, including balance sheets and statements of income or operations, stockholders’ equity and cash flows. “Investments” shall mean, as to any Person, any direct or indirect acquisition or investment by such Person, whether by means of (a) purchase or other acquisition of any Capital Stock of another Person, (b) a loan, advance, other evidence of indebtedness or capital contribution to, Guarantee or assumption of debt of, or purchase or other acquisition of any other indebtedness or equity participation or interest in, another Person, or (c) an Acquisition. For purposes of covenant compliance, the amount of any Investment shall be the amount actually invested, without adjustment for subsequent increases or decreases in the value of such Investment. “IRS” shall mean the United States Internal Revenue Service. “Issuer Documents” shall mean, with respect to any Letter of Credit, the Letter of Credit Application, and any other document, agreement and instrument entered into by the Issuing Bank and any Borrower (or any Subsidiary) or in favor of the Issuing Bank and relating to such Letter of Credit. “Issuing Bank” shall mean Truist Bank in its capacity as the issuer of Letters of Credit hereunder, or any successor issuer of Letters of Credit. “Latest Maturity Date” shall mean, at any date of determination, the latest maturity or expiration date applicable to any Loan or Commitment hereunder at such time, including the latest maturity or expiration date of any Incremental Term Loan. “Laws” or “Law” shall mean, collectively, all international, foreign, federal, state and local statutes, treaties, rules, guidelines, regulations, ordinances, codes and administrative or judicial precedents or authorities, including the interpretation or administration thereof by any Governmental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22 1312474.1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“LC Commitment” shall mean that portion of the Aggregate Revolving Commitments that may be used by the Borrower for the issuance of Letters of Credit in an aggregate face amount not to exceed $100,000,000. “LC Disbursement” shall mean a payment made by the Issuing Bank pursuant to a Letter of Credit. “LC Documents” shall mean all applications, agreements and instruments relating to the Letters of Credit but excluding the Letters of Credit. “LC Exposure” shall mean, at any time, the sum of (a) the aggregate undrawn amount of all outstanding Letters of Credit at such time, plus (b) the aggregate amount of all LC Disbursements that have not been reimbursed by or on behalf of the Borrower at such time. The LC Exposure of any Lender shall be its Pro Rata Share of the total LC Exposure at such time. For all purposes of this Agreement, if on any date of determination a Letter of Credit has expired by its terms but any amount may still be drawn thereunder by reason of the operation of Rule 3.14 of the International Standby Practices 1998, such Letter of Credit shall be deemed to be “outstanding” in the amount so remaining available to be drawn. “Lender Insolvency Event” shall mean that (a) a Lender or its Parent Company is insolvent, or is generally unable to pay its debts as they become due, or admits in writing its inability to pay its debts as they become due, or makes a general assignment for the benefit of its creditors, (b) a Lender or its Parent Company is the subject of a bankruptcy, insolvency, reorganization, liquidation or similar proceeding, or a receiver, trustee, conservator, custodian or the like has been appointed for such Lender or its Parent Company, or such Lender or its Parent Company has taken any action in furtherance of or indicating its consent to or acquiescence in any such proceeding or appointment, or (c) a Lender or its Parent Company has been adjudicated as, or determined by any Governmental Authority having regulatory authority over such Person or its assets to be, insolvent; provided that, for the avoidance of doubt, a Lender Insolvency Event shall not be deemed to have occurred solely by virtue of the ownership or acquisition of any equity interest in or control of a Lender or a Parent Company thereof by a Governmental Authority or an instrumentality thereof. “Lender-Related Hedge Provider” shall mean any Person that, (a) (i) at the time it enters into a Hedging Transaction with any Loan Party, is a Lender or an Affiliate of a Lender or (ii) has entered into a Hedging Transaction with any Loan Party that exists on the Closing Date, and such Person is a Lender or an Affiliate of a Lender on the Closing Date and (b) except when the Lender-Related Hedge Provider is Truist Bank and its Affiliates, has provided prior written notice to the Administrative Agent which has been acknowledged by the Borrower of (x) the existence of such Hedging Transaction, and (y) the methodology to be used by such parties in determining the obligations under such Hedging Transaction from time to time. In no event shall any Lender-Related Hedge Provider acting in such capacity be deemed a Lender for purposes hereof to the extent of and as to Hedging Obligations except that each reference to the term “Lender” in Article IX and Section 11.4 shall be deemed to include such Lender-Related Hedge Provider. In no event shall the approval of any such Person in its capacity as Lender-Related Hedge Provider be required in connection with the release or termination of any security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23 1312474.1 interest or Lien of the Administrative Agent. No new Hedging Transactions may be established at any time that a Default or Event of Default exists. “Lenders” shall mean each of the Persons identified as a “Lender” on the signature pages hereto and each Additional Lender that joins this Agreement pursuant to Section 2.23 and their successors and assigns and shall include, where appropriate, the Swingline Lender. “Letter of Credit” shall mean any stand-by letter of credit issued pursuant to Section 2.22 by the Issuing Bank for the account of the Borrower or any Subsidiary pursuant to the LC Commitment. “Letter of Credit Application” shall mean an application and agreement for the issuance or amendment of a Letter of Credit in the form from time to time in use by Issuing Bank. “Letter of Credit Fee” shall have the meaning set forth in Section 2.14(c). “Lien” shall mean any mortgage, pledge, security interest, lien (statutory or otherwise), charge, encumbrance, hypothecation, assignment, deposit arrangement, or other arrangement having the practical effect of any of the foregoing or any preference, priority or other security agreement or preferential arrangement of any kind or nature whatsoever (including any conditional sale or other title retention agreement and any capital lease having the same economic effect as any of the foregoing). “Limited Condition Acquisition” means any Acquisition whose consummation is not conditioned on the availability of, or on obtaining, third party financing. “Loan Documents” shall mean, collectively, this Agreement, the LC Documents, the Fee Letter, all Notices of Borrowing, all Notices of Conversion/Continuation, all Compliance Certificates, all Issuer Documents, any promissory notes issued hereunder and any and all other instruments, agreements, documents and writings executed in connection with any of the foregoing. “Loan Parties” shall mean, collectively, the Borrower and each Guarantor. “Loans” shall mean all Revolving Loans, Swingline Loans and Incremental Term Loans (if any) in the aggregate or any of them, as the context shall require. “Magellan Acquisition” shall mean the Acquisition of certain assets and equity interests owned directly or indirectly by Magellan Healthcare, Inc. by the Borrower pursuant to that certain Stock and Asset Purchase Agreement dated as of April 30, 2020 (as amended from time to time) by and between Magellan Health, Inc. and the Borrower. “Master Agreement” shall have the meaning set forth in the definition of “Hedging Transaction.” “Material Adverse Effect” shall mean, with respect to any event, act, condition or occurrence of whatever nature (including any adverse determination in any litigation, arbitration, or governmental investigation or proceeding), whether singularly or in conjunction with any other event or events, act or acts, condition or conditions, occurrence or occurrences whether or not related, resulting in a material adverse change in, or a material adverse effect on, (a) the business, results of operations, financial condition, assets, liabilities or prospects of the Borrower and its Restricted Subsidiaries taken as a whole, (b) the ability of the Loan Parties to perform any of their respective obligations under the Loan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24 1312474.1 Documents, (c) the rights and remedies of the Administrative Agent, the Issuing Bank, Swingline Lender, and the Lenders under any of the Loan Documents or (d) the legality, validity or enforceability of any of the Loan Documents. “Material Contract” shall mean any Contractual Obligation of the Borrower or any Restricted Subsidiary if the revenues of the Borrower and its Restricted Subsidiaries attributable to such Contractual Obligation exceed five percent (5%) of the total revenues of the Borrower and its Restricted Subsidiaries on a consolidated basis for the period of the four fiscal quarters most recently ended for which the Borrower has delivered financial statements pursuant to Section 5.1(a) or (b). “Material Domestic Subsidiary” shall mean any Domestic Subsidiary of the Borrower (other than an HMO Subsidiary, an Insurance Subsidiary, or any Subsidiary which is required by Law to maintain levels of solvency, or capital, or net assets that would not be achieved if it provided a full and unconditional guaranty of the Obligations) which, as of the end of the most recent fiscal quarter for which the Borrower has delivered financial statements pursuant to Section 5.1(a) or (b) (the “Test Date”), has (a) revenues in excess of 1.0% of the Borrower’s consolidated revenues for the twelve month period preceding the Test Date or (b) total assets in excess of 2.0% of Consolidated Total Assets as of the Test Date; provided, that if at any time all Domestic Subsidiaries (other than an HMO Subsidiary or Insurance Subsidiary) that are not Guarantors account in the aggregate for greater than (i) ten percent (10%) of the Borrower’s consolidated revenues for the twelve month period preceding any Test Date or (ii) ten percent (10%) of Consolidated Total Assets as of any Test Date, then the Borrower shall cause one or more of such Domestic Subsidiaries to become Guarantors pursuant to Section 5.10 such that immediately thereafter the remaining Domestic Subsidiaries (other than an HMO Subsidiary, an Insurance Subsidiary or any Subsidiary which is required by Law to maintain levels of solvency, or capital, or net assets that would not be achieved if it provided a full and unconditional guaranty of the Obligations) that are not Guarantors shall not exceed either threshold set forth in clause (i) or (ii) of this proviso. Notwithstanding the foregoing, Molina Healthcare Data Center, Inc., a New Mexico corporation (“Data Center”), shall not be a Material Domestic Subsidiary so long as Data Center has any amounts subject to tax recapture as a result of its participation in the U.S. federal government’s New Market Tax Credit Program. “Material Indebtedness” shall mean any Indebtedness (other than the Loans and Letters of Credit) and Hedging Obligations of the Borrower or any of its Restricted Subsidiaries, individually or in an aggregate committed or outstanding principal amount exceeding $100,000,000. For purposes of determining the amount of attributed Indebtedness from Hedging Obligations, the “principal amount” of any Hedging Obligations at any time shall be the Net Mark-to-Market Exposure of such Hedging Obligations. “Material License” shall mean (i) as to any Person, any license, permit authorization or consent from a Governmental Authority or other Person and any registration, notice of filing with a Governmental Authority or other Person which if not obtained, held or made would have a Material Adverse Effect, and (ii) as to any other Person who is a party to this Agreement or any of the other Loan Documents, any license, permit, authorization or consent from a Governmental Authority or other Person and any registration, notice or filing with a Governmental Authority or other Person that is necessary for the execution or performance by such party, or the validity or enforceability against such party, of this Agreement or such other Loan Document. “Medicaid” shall mean that means-tested entitlement program under Title XIX of the Social Security Act, which provides Federal grants to States for medical assistance based on specific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25 1312474.1 eligibility criteria, as set forth at Section 1396, et seq. of Title 42 of the United States Code, as amended, and any statute succeeding thereto. “Medicaid Regulations” shall mean (a) all Federal statutes (whether set forth in Title XIX of the Social Security Act or elsewhere) affecting the medical assistance program established by Title XIX of the Social Security Act and any statues succeeding thereto, (b) all applicable provisions of all Federal rules, regulations, manuals and orders of all Governmental Authorities promulgated pursuant to or in connection with the statues described in clause (a) above and all Federal administrative, reimbursement and other guidelines of all Governmental Authorities having the force of law promulgated pursuant to or in connection with the statues described in clause (a) above, (c) all state statutes and plans for medical assistance enacted in connection with the statutes and provisions described in clauses (a) and (b) above, and (d) all applicable provisions of all rules, regulations, manuals and orders of all Governmental Authorities promulgated pursuant to or in connection with the statutes described in clause (c) above and all state administrative, reimbursement and other guidelines of all Governmental Authorities having the force of law promulgated pursuant to or in connection with the statutes described in clause (b) above, in each case as may be amended, supplemented or otherwise modified from time to time. “Medical Reimbursement Programs” shall mean, collectively, the Medicare, Medicaid and TRICARE programs and any other health care program operated by or financed in whole or in part by any foreign or domestic Federal, state or local government and any other non-government funded thirty- party payor programs to which the Borrower or any Subsidiary is subject. “Medicare” shall mean that government-sponsored entitlement program under Title XVIII of the Social Security Act, which provides for a health insurance system for eligible elderly and disabled individuals, as set forth at Section 1395, et seq. of Title 42 of the United States Code, as amended, and any statute succeeding thereto. “Medicare Regulations” shall mean, collectively, (a) all Federal statues (whether set forth in Title XVIII of the Social Security Act or elsewhere) affecting the health insurance program for the aged and disabled established by Title XVIII of the Social Security Act and any statues succeeding thereto and (b) all applicable provisions of all rules, regulations, manuals and orders and administrative, reimbursement and other guidelines having the force of law of all Governmental Authorities (including CMS, the OIG, HHS or any person succeeding to the functions of any of the foregoing) promulgated pursuant to or in connection with any of the foregoing having the force of law, as each may be amended, supplemented or otherwise modified from time to time. “Molina Family” shall mean, collectively, (a) Joseph M. Molina, Mary Martha Bernadett, John C. Molina, Janet M. Watt or Josephine Molina, (b) the spouse and lineal descendants and spouses of lineal descendants of any Person named in clause (a), (c) the estates and legal representatives of any Person named in clauses (a) or (b), and/or (d) trusts established for the benefit of any Person named in clauses (a) or (b) and controlled by any Person named in clauses (a) or (b). “Moody’s” shall mean Moody’s Investors Service, Inc. or any successor to the ratings agency business thereof. “Multiemployer Plan” shall mean any employee benefit plan of the type described in Section 4001(a)(3) of ERISA to which the Borrower makes or is obligated to make contributions or with respect to which Borrower has any liability (including on account of an ERISA Affiliate).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26 1312474.1 “Net Mark-to-Market Exposure” of any Person shall mean, as of any date of determination with respect to any Hedging Obligation, the excess (if any) of all unrealized losses over all unrealized profits of such Person arising from such Hedging Obligation. “Unrealized losses” shall mean the fair market value of the cost to such Person of replacing the Hedging Transaction giving rise to such Hedging Obligation as of the date of determination (assuming the Hedging Transaction were to be terminated as of that date), and “unrealized profits” means the fair market value of the gain to such Person of replacing such Hedging Transaction as of the date of determination (assuming such Hedging Transaction were to be terminated as of that date). “Non-Defaulting Lender” shall mean, at any time, a Lender that is not a Defaulting Lender. “Non-Recourse Debt” shall mean, Indebtedness: (a) as to which neither the Borrower nor any of its Restricted Subsidiaries (i) provides credit support of any kind (including any undertaking, agreement or instrument that would constitute Indebtedness), (ii) is directly or indirectly liable as a guarantor or otherwise, or (iii) constitutes the lender; and (b) as to which the lenders have been notified in writing that they will not have any recourse to the stock or assets of the Borrower or any of its Restricted Subsidiaries, in each case other than with respect to the pledge of Capital Stock of any obligor securing such Indebtedness. “Note” shall have the meaning set forth in Section 2.10(b). “Notices of Borrowing” shall mean, collectively, the Notices of Revolving Borrowing and the Notices of Swingline Borrowing. “Notice of Conversion/Continuation” shall mean the notice given by the Borrower to the Administrative Agent in respect of the conversion or continuation of an outstanding Borrowing as provided in Section 2.7(b). “Notice of Revolving Borrowing” shall have the meaning set forth in Section 2.3. “Notice of Swingline Borrowing” shall have the meaning set forth in Section 2.4. “Obligations” shall mean, collectively, (a) all amounts owing by the Loan Parties to the Administrative Agent, the Issuing Bank, any Lender (including the Swingline Lender) or the Arrangers pursuant to or in connection with this Agreement or any other Loan Document or otherwise with respect to any Loan or Letter of Credit including without limitation, all principal, interest (including any interest accruing after the filing of any petition in bankruptcy or the commencement of any insolvency, reorganization or like proceeding relating to the Borrower, whether or not a claim for post-filing or post- petition interest is allowed in such proceeding), all reimbursement obligations, fees, expenses, indemnification and reimbursement payments, costs and expenses (including all fees and expenses of counsel to the Administrative Agent, the Issuing Bank and any Lender (including the Swingline Lender) incurred pursuant to this Agreement or any other Loan Document), whether direct or indirect, absolute or contingent, liquidated or unliquidated, now existing or hereafter arising hereunder or thereunder, (b) all Hedging Obligations owed by any Loan Party to any Lender-Related Hedge Provider permitted by Section 7.10, and (c) all Bank Product Obligations, together with all renewals, extensions, modifications or refinancings of any of the foregoing; provided, that “Obligations” of a Guarantor shall exclude any Excluded Swap Obligations of such Guarantor.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27 1312474.1 “OFAC” shall mean the U.S. Department of the Treasury’s Office of Foreign Assets Control. “Off-Balance Sheet Liabilities” of any Person shall mean (i) any repurchase obligation or liability of such Person with respect to accounts or notes receivable sold by such Person, (ii) any liability of such Person under any sale and leaseback transactions, including (x) the sale and leaseback of the Molina Center located in Long Beach California, and the Ohio health plan office building located in Columbus, Ohio and (y) any other sale and leaseback transactions, whether or not such transactions create a liability on the balance sheet of such Person, (iii) any Synthetic Lease Obligation or (iv) any obligation arising with respect to any other transaction which is the functional equivalent of or takes the place of borrowing but which does not constitute a liability on the balance sheet of such Person. “OIG” shall mean the Office of Inspector General of HHS and any successor thereof. “Organization Documents” shall mean,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“OSHA” shall mean the Occupational Safety and Health Act of 1970, as amended from time to time, and any successor statute. “Other Connection Taxes”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“Other Taxes”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2.25). “Parent Company” shall mean, with respect to a Lender, the bank holding company (as defined in Regulation Y), if any, of such Lender, and/or any Person owning, beneficially or of record, directly or indirectly, a majority of the shares of such Lender. “Participant” shall have the meaning set forth in Section 11.4(d). “Participant Register” shall have the meaning set forth in Section 11.4(e).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28 1312474.1 “Payment Office” shall mean the office of the Administrative Agent located at 3333 Peachtree Road, NE, Atlanta, Georgia 30326, or such other location as to which the Administrative Agent shall have given written notice to the Borrower and the other Lenders. “PBGC” shall mean the Pension Benefit Guaranty Corporation referred to and defined in ERISA, and any successor entity performing similar functions. “Periodic Term SOFR Determination Day” shall have the meaning set forth in the definition of “Term SOFR”. “Permitted Acquisition” shall mean (a) the Magellan Acquisition and (b) an Investment consisting of an Acquisition by the Borrower or any Restricted Subsidiary, provided that (i) subject, in the case of a Limited Condition Acquisition in accordance with Section 1.8, no Default or Event of Default shall have occurred and be continuing or would result from such Acquisition, (ii) the property acquired (or the property of the Person acquired) in such Acquisition is used or useful in the same or a similar line of business as the Borrower and its Restricted Subsidiaries were engaged in on the Closing Date (or any reasonable extensions or expansions thereof), (iii) in the case of an Acquisition of the Capital Stock of another Person, the board of directors (or other comparable governing body) of such other Person shall have duly approved such Acquisition, (iv) subject, in the case of a Limited Condition Acquisition in accordance with Section 1.8, if the consideration for such Acquisition exceeds 10.0% of Consolidated Total Assets immediately prior to giving effect to such Acquisition, the Borrower shall have delivered to the Administrative Agent a Pro Forma Compliance Certificate demonstrating that after giving effect to such Acquisition on a Pro Forma Basis, the Loan Parties would be in compliance with the financial covenants set forth in Article VI recomputed as of the end of the period of the four Fiscal Quarters most recently ended for which the Borrower has delivered financial statements pursuant to Section 5.1(a) or (b), (v) subject, in the case of a Limited Condition Acquisition in accordance with Section 1.8, the representations and warranties made by the Loan Parties in each Loan Document shall be true and correct in all material respects at and as if made as of the date of such Acquisition (after giving effect thereto) and (vi) if such transaction involves the purchase of an interest in a partnership between any Loan Party as a general partner and entities unaffiliated with the Borrower as the other partners, such transaction shall be effected by having such equity interest acquired by a corporate holding company directly or indirectly wholly-owned by such Loan Party newly formed for the sole purpose of effecting such transaction. “Permitted Encumbrances” shall mean: (a) Liens imposed by Law for taxes not yet due or which are being contested in good faith by appropriate proceedings diligently conducted and with respect to which adequate reserves are being maintained in accordance with GAAP; (b) statutory Liens of landlords, carriers, warehousemen, mechanics, materialmen and other Liens imposed by Law in the ordinary course of business for amounts not yet due or which are being contested in good faith by appropriate proceedings and with respect to which adequate reserves are being maintained in accordance with GAAP; (c) pledges and deposits made in the ordinary course of business in compliance with workers’ compensation, unemployment insurance and other social security Laws or regulations;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29 1312474.1 (d) deposits to secure the performance of bids, trade contracts, leases, statutory obligations, surety and appeal bonds, performance bonds and other obligations of a like nature, in each case in the ordinary course of business; (e) judgment and attachment liens not giving rise to a Default or an Event of Default or Liens created by or existing from any litigation or legal proceeding that are currently being contested in good faith by appropriate proceedings and with respect to which adequate reserves are being maintained in accordance with GAAP; (f) customary rights of set-off, revocation, refund or chargeback under deposit agreements or under the Uniform Commercial Code or common law of banks or other financial institutions where Borrower or any of its Restricted Subsidiaries maintains deposits (other than deposits intended as cash collateral) in the ordinary course of business; and (g) easements,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the Borrower and its Restricted Subsidiaries taken as a whole; provided, that the term “Permitted Encumbrances” shall not include any Lien securing Indebtedness. “Permitted Investments” shall mean: (a) direct obligations of, or obligations the principal of and interest on which are unconditionally guaranteed by, the United States (or by any agency thereof to the extent such obligations are backed by the full faith and credit of the United States), in each case maturing within one year from the date of acquisition thereof; (b) commercial paper having the highest rating, at the time of acquisition thereof, of S&amp;P or Moody’s and in either case maturing within six months from the date of acquisition thereof; (c) certificates of deposit, bankers’ acceptances and time deposits maturing within 180 days of the date of acquisition thereof issued or guaranteed by or placed with, and money market deposit accounts issued or offered by, any domestic office of any commercial bank organized under the Laws of the United States or any state thereof which has a combined capital and surplus and undivided profits of not less than $500,000,000; (d) fully collateralized repurchase agreements with a term of not more than 30 days for securities described in clause (a) above and entered into with a financial institution satisfying the criteria described in clause (c) above; (e) mutual funds investing solely in any one or more of the Permitted Investments described in clauses (a) through (d) above; (f) investments by an HMO Subsidiary or Insurance Subsidiary in all cases of the types and in the amounts (i) that qualify as “Admitted Assets” (or the substantive equivalent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30 1312474.1 thereof under the laws of the relevant jurisdiction) as determined by such HMO Subsidiary or Insurance Subsidiary’s Primary Regulator, (ii) in the case of jurisdictions outside the United States, assets that are permissible investments for such HMO Subsidiary or Insurance Subsidiary pursuant to the regulatory regime administrated by the Primary Regulator and (iii) that at the time such investment was made qualified as “Admitted Assets” (or the substantive equivalent thereof under the laws of the relevant jurisdiction) as determined by such HMO Subsidiary or Insurance Subsidiary’s Primary Regulator at such time, but no longer qualify as “Admitted Assets” (or the substantive equivalent thereof under the laws of the relevant jurisdiction), provided that the aggregate value of Investments permitted to be outstanding at any one time in reliance on this clause (iii) shall not exceed an amount equal to 10% of the aggregate total fair market value of all “Admitted Assets” (or the substantive equivalent thereof under the laws of the relevant jurisdiction) as determined by such HMO Subsidiary or Insurance Subsidiary’s Primary Regulator, in each case measured as of the most recently completed fiscal quarter for which financial statements prepared in accordance with statutory accounting standards are available; and (g) investments made in accordance with the Borrower’s Investment Policy dated as of January 30, 2019, which has been disclosed to the Administrative Agent. “Permitted Subordinated Debt” shall mean any Indebtedness of the Borrower or any Restricted Subsidiary evidenced by the Subordinated Debt Documents or otherwise on terms and (including without limitation subordination provisions) acceptable to the Administrative Agent and the Required Lenders. “Person” shall mean any individual, partnership, firm, corporation, association, joint venture, limited liability company, trust or other entity, or any Governmental Authority. “Plan” shall mean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 “Primary Regulator” shall mean the state regulator having primary jurisdiction over the relevant HMO Subsidiary or Insurance Subsidiary. “Prime Rate” shall mean the rate which the Administrative Agent announces from time to time as its prime lending rate. The Prime Rate is a reference rate and does not necessarily represent the lowest or best rate actually charged to any customer. The Administrative Agent may make commercial loans or other loans at rates of interest at, above or below the Prime Rate. “Pro Forma Basis” shall mean, for purposes of calculating compliance with respect to any Asset Sale, Recovery Event, Acquisition, Restricted Payment or incurrence of Indebtedness, or any other transaction subject to calculation on a “Pro Forma Basis” as indicated herein, that such transaction shall be deemed to have occurred as of the first day of the period of four Fiscal Quarters most recently ended for which the Borrower has delivered financial statements pursuant to Section 5.1(a) or (b). For purposes of any such calculation in respect of any Acquisition, (a) any Indebtedness incurred or assumed in connection with such transaction that is not retired in connection with such transaction (i) shall be deemed to have been incurred as of the first day of the applicable period and (ii) if such Indebtedness has a floating or formula rate, shall have an implied rate of interest for the applicable period for purposes of this definition determined by utilizing the rate which is or would be in effect with respect to such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31 1312474.1 Indebtedness as at the relevant date of determination, (b) income statement items (whether positive or negative) and Capital Expenditures attributable to the Person or property acquired shall be included beginning as of the first day of the applicable period and (c) no adjustments for unrealized synergies shall be included. “Pro Forma Compliance Certificate” shall mean a certificate of a Responsible Officer of the Borrower containing reasonably detailed calculations of the financial covenants set forth in Article VI recomputed as of the end of the period of the four fiscal quarters most recently ended for which the Borrower has delivered financial statements pursuant to Section 5.1(a) or (b) after giving effect to the applicable transaction on a Pro Forma Basis. “Pro Rata Share” shall mean (a) with respect to any Commitment of any Lender at any time, a percentage, the numerator of which shall be such Lender’s Commitment (or if such Commitments have been terminated or expired or the Loans have been declared to be due and payable, such Lender’s Revolving Credit Exposure), and the denominator of which shall be the sum of such Commitments of all Lenders (or if such Commitments have been terminated or expired or the Loans have been declared to be due and payable, all Revolving Credit Exposure of all Lenders) and (b) with respect to all Commitments of any Lender at any time, the numerator of which shall be the sum of such Lender’s Revolving Commitment (or if such Revolving Commitments have been terminated or expired or the Loans have been declared to be due and payable, such Lender’s Revolving Credit Exposure) and the denominator of which shall be the sum of all Lenders’ Revolving Commitments (or if such Revolving Commitments have been terminated or expired or the Loans have been declared to be due and payable, all Revolving Credit Exposure of all Lenders funded under such Commitments). “QFC” has the meaning assigned to the term “qualified financial contract” in, and shall be interpreted in accordance with, 12 U.S.C. §–5390(c)(8)(D). “QFC Credit Support” shall have the meaning provided in Section 11.19. “Qualified Cash” shall mean cash or Permitted Investments of the Borrower, other than Specified Cash, (a) that does not appear (or would not be required to appear) as “restricted” on a consolidated balance sheet of the Borrower and (b) that is not subject to a Lien (other than Liens of the type described in Sections 7.2(a) and (i)). “Qualified ECP Guarantor” shall mean, in respect of any Swap Obligation, each Loan Party that has total assets exceeding $10,000,000 at the time the relevant Guaranty or grant of the relevant security interest becomes effective with respect to such Swap Obligation or such other Loan Party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 “Recipient” shall mean (a) the Administrative Agent, (b) any Lender and (c) any Issuing Bank as applicable. “Recovery Event” shall mean any loss of, damage to or destruction of, or any condemnation or other taking for public use of, any property of the Borrower or any Restricted Subsidiary.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32 1312474.1 “Regulation D” shall mean Regulation D of the Board of Governors of the Federal Reserve System, as the same may be in effect from time to time, and any successor regulations. “Regulation T” shall mean Regulation T of the Board of Governors of the Federal Reserve System, as the same may be in effect from time to time, and any successor regulations. “Regulation U” shall mean Regulation U of the Board of Governors of the Federal Reserve System, as the same may be in effect from time to time, and any successor regulations. “Regulation X” shall mean Regulation X of the Board of Governors of the Federal Reserve System, as the same may be in effect from time to time, and any successor regulations. “Regulation Y” shall mean Regulation Y of the Board of Governors of the Federal Reserve System, as the same may be in effect from time to time, and any successor regulations. “Related Parties” shall mean, with respect to any specified Person, such Person’s Affiliates and the respective managers, administrators, trustees, partners, directors, officers, employees, agents, advisors or other representatives of such Person and such Person’s Affiliates. “Release” shall mean any release, spill, emission, leaking, dumping, injection, pouring, deposit, disposal, discharge, dispersal, leaching or migration into the environment (including ambient air, surface water, groundwater, land surface or subsurface strata) or within any building, structure, facility or fixture. “Relevant Governmental Body” shall mean the Federal Reserve Board and/or the Federal Reserve Bank of New York, or a committee officially endorsed or convened by the Federal Reserve Board and/or the Federal Reserve Bank of New York or any successors thereto. “Required Lenders” shall mean, at any time, Lenders holding more than 50% of the aggregate outstanding Revolving Commitments at such time or, if the Lenders have no Commitments outstanding, then Lenders holding more than 50% of the aggregate Revolving Credit Exposure; provided that to the extent that any Lender is a Defaulting Lender, such Defaulting Lender and all of its Revolving Commitments and Revolving Credit Exposure shall be excluded for purposes of determining Required Lenders. “Resolution Authority” shall mean an EEA Resolution Authority, or, with respect to any UK Financial Institution, a UK Resolution Authority. “Responsible Officer” shall mean, with respect to any Person, any of the chairman of the board, chief executive officer, chief financial officer, president, chief accounting officer, chief legal officer, any executive vice president, senior vice president or vice president, the treasurer or the secretary or such other representative of such Person as may be designated in writing by any one of the foregoing with the consent of the Administrative Agent; and, with respect to the financial covenants only, the chief financial officer, the chief accounting officer or the treasurer of such Person. “Restricted Investment” shall mean any Investment other than an Investment permitted under Section 7.4.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33 1312474.1 “Restricted Payment” shall mean (a) any dividend or other distribution (whether in cash, securities or other property) with respect to any Capital Stock of any Person, or any payment (whether in cash, securities or other property), including any sinking fund or similar deposit, on account of the purchase, redemption, retirement, defeasance, acquisition, cancellation or termination of any such Capital Stock or on account of any return of capital to such Person’s stockholders, partners or members (or the equivalent Person thereof), or any option, warrant or other right to acquire any such dividend or other distribution or payment, (b) any payment on, or with respect to, the purchase, redemption, defeasance, acquisition or retirement for value of any Permitted Subordinated Debt (excluding any intercompany Indebtedness between or among the Borrower or any of its Restricted Subsidiaries), other than a payment of interest or principal to the extent permitted under Section 7.13 and (c) any Restricted Investment. “Restricted Subsidiary” shall mean any Subsidiary that is not an Unrestricted Subsidiary. “Revolving Commitment” shall mean, with respect to each Lender, the commitment of such Lender to make Revolving Loans to the Borrower and to acquire participations in Letters of Credit and Swingline Loans in an aggregate principal amount not exceeding the amount set forth with respect to such Lender on Schedule I, as such schedule may be amended pursuant to Section 2.23, or in the case of a Person becoming a Lender after the Closing Date, the amount of the assigned “Revolving Commitment” as provided in the Assignment and Acceptance executed by such Person as an assignee, or the joinder executed by such Person, in each case as such commitment may subsequently be increased or decreased pursuant to terms hereof. “Revolving Commitment Termination Date” shall mean the earliest of (i) June 8, 2025, (ii) the date on which the Revolving Commitments are terminated pursuant to Section 2.8 and (iii) the date on which all amounts outstanding under this Agreement have been declared or have automatically become due and payable (whether by acceleration or otherwise). “Revolving Credit Exposure” shall mean, with respect to any Lender at any time, the sum of the outstanding principal amount of such Lender’s Revolving Loans, LC Exposure and Swingline Exposure. “Revolving Loan” shall mean a loan made by a Lender (other than the Swingline Lender) to the Borrower under its Revolving Commitment, which may either be a Base Rate Loan or a SOFR Loan. “S&amp;P” shall mean Standard &amp; Poor’s Ratings Service, or any successor to the ratings agency business thereof. “Sanctioned Country” shall mean, at any time, a country, region or territory that is, or whose government is, the subject or target of any Sanctions. “Sanctioned Person” shall mean, at any time, (a) any Person listed in any Sanctions- related list of designated Persons maintained by OFAC, the U.S. Department of State, the United Nations Security Council, the European Union, any EU member state or Her Majesty’s Treasury of the United Kingdom, (b) any Person located, organized or resident in a Sanctioned Country or (c) any Person controlled by any such Person. “Sanctions” shall mean economic or financial sanctions or trade embargoes administered or enforced from time to time by (a) the U.S. government, including those administered by OFAC or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34 1312474.1 U.S. Department of State or (b) the United Nations Security Council, the European Union or Her Majesty’s Treasury of the United Kingdom or any other applicable governmental authority. “SEC” shall mean the Securities and Exchange Commission, or any Governmental Authority succeeding to any of its principal functions. “Social Security Act” shall mean the Social Security Act of 1965 as set forth in Title 42 of the United States Code, as amended, and any successor statute thereto, as interpreted by the rules and regulations issued thereunder, in each case as in effect from time to time. References of section of the Social Security Act shall be construed to refer to any successor sections. “SOFR” shall mean a rate per annum equal to the secured overnight financing rate as administered by the SOFR Administrator. “SOFR Administrator” shall mean the Federal Reserve Bank of New York (or a successor administrator of the secured overnight financing rate). “SOFR Borrowing” shall mean a Loan or Loans comprising a Borrowing that bears interest at a rate based on Adjusted Term SOFR, other than pursuant to clause (c) of the definition of “Base Rate”. “SOFR Loan” shall mean a Loan that bears interest at a rate based on Adjusted Term SOFR, other than pursuant to clause (c) of the definition of “Base Rate”. “Solvent” shall mean, with respect to any Person on a particular date, that on such date (a) the fair value of the property of such Person is greater than the total amount of liabilities, including subordinated and contingent liabilities, of such Person; (b) the present fair saleable value of the assets of such Person is not less than the amount that will be required to pay the probable liability of such Person on its debts and liabilities, including subordinated and contingent liabilities as they become absolute and matured; (c) such Person does not intend to, and does not believe that it will, incur debts or liabilities beyond such Person’s ability to pay as such debts and liabilities mature; (d) such Person is not engaged in a business or transaction, and is not about to engage in a business or transaction, for which such Person’s property would constitute an unreasonably small capital; (e) such Person is able to pay its debts and other liabilities, contingent obligations and other commitments as they mature in the ordinary course of business and (f) such Person does not intend, in any transaction, to hinder, delay or defraud either present or future creditors or any other person to which such Person is or will become, through such transaction, indebted. The amount of contingent liabilities (such as litigation, guaranties and pension plan liabilities) at any time shall be computed as the amount that, in light of all the facts and circumstances existing at the time, represents the amount that would reasonably be expected to become an actual or matured liability. “Specified Cash” shall mean cash of the Borrower that constitutes, and Permitted Investments of the Borrower that are made with, the net cash proceeds of Indebtedness permitted to be incurred under Section 7.1 (the “Specified Indebtedness”), that are either (a) subject to customary escrow arrangements between the Borrower and the holders of such Specified Indebtedness prior to their use for one of the following purposes: (i) refinancing, tendering for, or otherwise redeeming or repaying Indebtedness of the Borrower or its Restricted Subsidiaries or (ii) to finance any Permitted Acquisition that has been identified in writing to the Administrative Agent with a closing date that is not later than 365 days after the incurrence of such Specified Indebtedness or (b) held in a segregated account of the Borrower and subject to a covenant in the documentation for such Specified Indebtedness that restricts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35 1312474.1 use of such cash or Permitted Investments of the Borrower to the limited purpose of (i) refinancing, tendering for, or otherwise redeeming or repaying Indebtedness of the Borrower or its Restricted Subsidiaries or (ii) paying interest on the Specified Indebtedness; provided, that if such cash or Permitted Investments no longer satisfy the conditions in this clause (b), they shall cease to constitute Specified Cash hereunder. “Specified Event of Default” means any Event of Default pursuant to Section 8.1(a), (b), (h) or (i). “Specified Loan Party” shall mean each Loan Party that is, at the time on which the relevant Guarantee or grant of the relevant security interest under the Loan Documents by such Loan Party becomes effective with respect to a Swap Obligation, a corporation, partnership, proprietorship, organization, trust or other entity that would not be an “eligible contract participant” under the Commodity Exchange Act at such time but for the effect of Section 10.8. “Subordinated Debt Documents” shall mean all indentures, agreements, notes, guaranties and other material agreements governing or evidencing any Permitted Subordinated Debt and all other material documents relating thereto. “Subsidiary” shall mean, with respect to any Person (the “parent”), any corporation, partnership, joint venture, limited liability company, association or other entity the accounts of which would be consolidated with those of the parent in the parent’s consolidated financial statements if such financial statements were prepared in accordance with GAAP as of such date,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Unless otherwise indicated, all references to “Subsidiary” hereunder shall mean a Subsidiary of the Borrower. “Supported QFC” shall have the meaning provided in Section 11.19. “Swap Obligations” shall mean, with respect to any Guarantor, any obligation to pay or perform under any agreement, contract or transaction that constitutes a “swap” within the meaning of Section 1a(47) of the Commodity Exchange Act. “Swingline Commitment” shall mean the commitment of the Swingline Lender to make Swingline Loans in an aggregate principal amount at any time outstanding not to exceed $15,000,000. “Swingline Exposure” shall mean, with respect to each Lender, the principal amount of the Swingline Loans in which such Lender is legally obligated either to make a Base Rate Loan or to purchase a participation in accordance with Section 2.4, which shall equal such Lender’s Pro Rata Share of all outstanding Swingline Loans. “Swingline Lender” shall mean Truist Bank in its capacity as provider of Swingline Loans, or any successor swingline lender hereunder. “Swingline Loan” shall mean a loan made to the Borrower by the Swingline Lender under the Swingline Commitment.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36 1312474.1 “Synthetic Lease” shall mean a lease transaction under which the parties intend that (i) the lease will be treated as an “operating lease” by the lessee pursuant to Accounting Standards Codification Sections 840-10 and 840-20, as amended and (ii) the lessee will be entitled to various tax and other benefits ordinarily available to owners (as opposed to lessees) of like property. “Synthetic Lease Obligations” shall mean, with respect to any Person, the sum of (i) all remaining rental obligations of such Person as lessee under Synthetic Leases which are attributable to principal and, without duplication, (ii) all rental and purchase price payment obligations of such Person under such Synthetic Leases assuming such Person exercises the option to purchase the lease property at the end of the lease term. “Taxes” shall mean all present or future taxes, levies, imposts, duties, deductions, withholdings (including backup withholding), assessments, fees or other charges imposed by any Governmental Authority, including any interest, additions to tax, or penalties applicable thereto. “Term SOFR” shall mean, (a) for any calculation with respect to a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that if as of 5:00 p.m.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(b) for any calculation with respect to a Base Rate Loan on any day, the Term SOFR Reference Rate for a tenor of one month on the day (such day, the “Base Rate Term SOFR Determination Day”) that is two (2) U.S. Government Securities Business Days prior to such day, as such rate is published by the Term SOFR Administrator; provided that if as of 5:00 p.m.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 “Term SOFR Administrator” shall mean the CME Group Benchmark Administration Limited (CBA) (or a successor administrator of the Term SOFR Reference Rate selected by the Administrative Agent in its reasonable discretion). “Term SOFR Adjustment” shall mean a percentage equal to 0.10% per annum.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37 1312474.1 “Term SOFR Reference Rate” shall mean the rate per annum determined by the Administrative Agent as the forward-looking term rate based on SOFR. “Trading with the Enemy Act” shall mean the Trading with the Enemy Act of the United States of America (50 U.S.C. App. §§ 1 et seq.), as amended and in effect from time to time. “TRICARE” shall mean the United States Department of Defense health care programs for active duty military, active duty service families, retirees and their families and other beneficiaries, including TRICARE Prime and TRICARE Standard, and any successor or predecessor thereof. “Truist” shall mean Truist Bank and its successors. “Type”, when used in reference to a Loan or Borrowing, refers to whether the rate of interest on such Loan, or on the Loans comprising such Borrowing, is determined by reference to Adjusted Term SOFR or the Base Rate. “UK Financial Institution”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shall mean the Bank of England or any other public administrative authority having responsibility for the resolution of any UK Financial Institution. “Unadjusted Benchmark Replacement” shall mean the Benchmark Replacement excluding the Benchmark Replacement Adjustment. “United States” or “U.S.” shall mean the United States of America. “Unrestricted Subsidiary” shall mean (a) any Subsidiary that is designated by the Borrower as an Unrestricted Subsidiary pursuant to a resolution of the board of directors (or other comparable governing body) of the Borrower and (b) any Subsidiary of an Unrestricted Subsidiary, but in each case, only to the extent that such Subsidiary: (a) has no Indebtedness other than Non-Recourse Debt; (b) except as permitted by Section 7.7, is not party to any agreement, contract, arrangement or understanding with the Borrower or any Restricted Subsidiary unless the terms of any such agreement, contract, arrangement or understanding are not less favorable in any material respect to the Borrower or such Restricted Subsidiary than those that might be obtained at the time from Persons who are not Affiliates of the Borrower; (c) is a Person with respect to which neither the Borrower nor any of its Restricted Subsidiaries has any direct or indirect obligation to (x) subscribe for additional Capital Stock or (y) maintain or preserve such Person’s financial condition or cause such Person to achieve any specified levels of operating results;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38 1312474.1 (d) has not Guaranteed or otherwise directly or indirectly provided credit support for any Indebtedness of the Borrower or any of its Restricted Subsidiaries. Any Subsidiary of a Subsidiary of the Borrower designated by the board of directors of the Borrower as an Unrestricted Subsidiary shall also be an Unrestricted Subsidiary. “U.S. Government Securities Business Day” 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 “U.S. Person” shall mean any Person that is a “United States person” as defined in Section 7701(a)(30) of the Code. “U.S. Special Resolution Regime” shall have the meaning provided in Section 11.19. “U.S. Tax Compliance Certificate” shall have the meaning set forth in Section 2.20(g). “Withdrawal Liability” shall mean liability to a Multiemployer Plan as a result of a complete or partial withdrawal from such Multiemployer Plan, as such terms are defined in Part I of Subtitle E of Title IV of ERISA. “Withholding Agent” shall mean any Loan Party and the Administrative Agent. “Write-Down and Conversion Powers”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or ancillary to any of those powers. Section 1.2. Classifications of Loans and Borrowings. For purposes of this Agreement, Loans may be classified and referred to by Class (e.g. a “Revolving Loan”) or by Type (e.g. a “SOFR Loan” or “Base Rate Loan”) or by Class and Type (e.g. “Revolving SOFR Loan”). Borrowings also may be classified and referred to by Class (e.g. “Revolving Borrowing”) or by Type (e.g. “SOFR Borrowing”) or by Class and Type (e.g. “Revolving SOFR Borrowing”). Section 1.3. Accounting Terms and Determination. (a) Unless otherwise defined or specified herein, all accounting terms used herein shall be interpreted, all accounting determinations hereunder shall be made, and all financial statements required to be delivered hereunder shall be prepared, in accordance with GAAP as in effect from time to time, applied on a basis consistent with the most recent audited consolidated financial statement of the Borrower delivered pursuant to Section 5.1(a); provided, that if the Borrower notifies the Administrative Agent that the Borrower wishes to amend any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39 1312474.1 covenant in Article VI to eliminate the effect of any change in GAAP on the operation of such covenant (or if the Administrative Agent notifies the Borrower that the Required Lenders wish to amend Article VI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Borrower and the Required Lenders. (b) Notwithstanding any other provision contained herein, all terms of an accounting or financial nature used herein shall be construed, and all computations of amounts and ratios referred to herein shall be made, without giving effect to any election under Accounting Standards Codification Section 825-10 (or any other Financial Accounting Standard having a similar result or effect) to value any Indebtedness or other liabilities of any Loan Party or any Subsidiary of any Loan Party at "fair value", as defined therein.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 (c) Notwithstanding the above, the parties hereto acknowledge and agree that all calculations of the financial covenants in Article VI (including for purposes of determining the Applicable Rate and any transaction that by the terms of this Agreement requires that any financial covenant contained in Article VI be calculated on a Pro Forma Basis) shall be made on a Pro Forma Basis with respect to any Asset Sale, Recovery Event, an increase in the Revolving Commitments and/or establishment of an Incremental Term Loan, or Acquisition occurring during such period. Section 1.4. Terms Generally.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In the computation of periods of time from a specified date to a later specified date, the word “from” means “from and including” and the word “to” means “to but excluding”. Unless the context requires otherwise (i) any definition of or reference to any agreement, instrument or other document herein shall be construed as referring to such agreement, instrument or other document as it was originally executed or as it may from time to time be amended, restated, supplemented or otherwise modified (subject to any restrictions on such amendments, supplements or modifications set forth herein), (ii) any reference herein to any Person shall be construed to include such Person’s successors and permitted assigns, (iii) the words “hereof”, “herein” and “hereunder” and words of similar import shall be construed to refer to this Agreement as a whole and not to any particular provision hereof, (iv) all references to Articles, Sections, Exhibits and Schedules shall be construed to refer to Articles, Sections, Exhibits and Schedules to this Agreement, (v) all references to a specific time shall be construed to refer to the time in the city and state of the Administrative Agent’s principal office, unless otherwise indicated and (vi)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limited liability company resulting from a division shall constitute a separate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40 1312474.1 Person hereunder (and each division of any limited liability company that is a Subsidiary, joint venture or any other like term shall also constitute such a Person or entity). Section 1.5. Letter of Credit Amounts. Unless otherwise specified herein, the amount of a Letter of Credit at any time shall be deemed to be the stated amount of such Letter of Credit in effect at such time; provided, however,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Section 1.6. Times of Day. Unless otherwise specified, all references herein to times of day shall be references to Eastern time (daylight or standard, as applicable). Section 1.7. Interest Rate Disclaimer. The Administrative Agent does not warrant or accept responsibility for, and shall not have any liability with respect to (a) the continuation of, administration of, submission of, calculation of or any other matter related to the Base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Base Rate, the Term SOFR Reference Rate, Term SOFR, Adjusted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the Term SOFR Reference Rate, Term SOFR, Adjusted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Section 1.8 Limited Condition Acquisitions. Notwithstanding anything to the contrary herein, to the extent that the terms of this Agreement require (a) compliance with any basket, financial ratio or test (including any Consolidated Net Leverage Ratio test or any Consolidated Interest Coverage Ratio test), (b) the absence of a Default or an Event of Default, or (c) a determination as to whether the representations and warranties contained in this Agreement or any other Loan Document, or which are contained in any document furnished at any time under or in connection herewith or therewith, shall be true and correct in all material respects (without duplication of any materiality qualifiers), in each case in connection with the consummation of a Limited Condition Acquisition and any related incurrence of an Incremental Term Loan, the determination of whether the relevant condition is satisfied may be made, at the election of the Borrower, (A) on the date of the execution of the definitive agreement with respect 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41 1312474.1 such Limited Condition Acquisition (such date, the “LCA Test Date”), or (B) on the date on which such Limited Condition Acquisition is consummated, in either case, after giving effect to the relevant Limited Condition Acquisition and any related incurrence of an Incremental Term Loan, on a Pro Forma Basis; provided, that, notwithstanding the foregoing, in connection with any Limited Condition Acquisition: (1) the condition set forth in clause (b)(i) of the definition of “Permitted Acquisition” shall be satisfied if (x) no Default or Event of Default shall have occurred and be continuing as of the applicable LCA Test Date, and (y) no Specified Event of Default shall have occurred and be continuing at the time of consummation of such Limited Condition Acquisition; (2) if the proceeds of an Incremental Term Loan are being used to finance such Limited Condition Acquisition, then (x) the conditions set forth in clause (b)(v) of the definition “Permitted Acquisition”), Section 2.23(d) and Section 3.2(b) shall be required to be satisfied at the time of closing of the Limited Condition Acquisition and funding of such Incremental Term Loan but, if the lenders providing such Incremental Term Loan so agree, the representations and warranties which must be accurate at the time of closing of the Limited Condition Acquisition and funding of such Incremental Term Loan may be limited to customary “specified representations” and such other representations and warranties as may be required by the lenders providing such Incremental Term Loan, and (y) the conditions set forth in Section 2.23(c) shall, if and to the extent the lenders providing such Incremental Term Loan so agree, be satisfied if (I) no Default or Event of Default shall have occurred and be continuing as of the applicable LCA Test Date, and (II) no Specified Event of Default shall have occurred and be continuing at the time of the funding of such Incremental Term Loan in connection with the consummation of such Limited Condition Acquisition; and (3) such Limited Condition Acquisition and the related Incremental Term Loan to be incurred in connection therewith and the use of proceeds thereof shall be deemed incurred and/or applied at the LCA Test Date (until such time as such Incremental Term Loan is actually incurred or the applicable definitive agreement is terminated without actually consummating the applicable Limited Condition Acquisition) and outstanding thereafter for purposes of determining compliance on a Pro Forma Basis (other than for purposes of determining compliance on a Pro Forma Basis in connection with the making of any Restricted Payment or the prepayment of any Indebtedness) with any financial ratio or test (including any Consolidated Net Leverage Ratio test or any Consolidated Interest Coverage Ratio test, or any calculation of the financial covenants set forth in Article VI) (it being understood and agreed that for purposes of determining compliance on a Pro Forma Basis in connection with the making of any Restricted Payment or prepayment of any Indebtedness, the Borrower shall demonstrate compliance with the applicable test both after giving effect to the applicable Limited Condition Acquisition and assuming that such transaction had not occurred). For the avoidance of doubt, if any of such ratios or amounts for which compliance was determined or tested as of the LCA Test Date are thereafter exceeded or otherwise failed to have been complied with as a result of fluctuations in such ratio or amount (including due to fluctuations in Consolidated Adjusted EBITDA), at or prior to the consummation of the relevant Limited Condition Acquisition, such ratios or amounts will not be deemed to have been exceeded or failed to be complied with as a result of such fluctuations solely for purposes of determining whether the relevant Limited Condition Acquisition is permitted to be consummated or taken. Except as set forth in clause (2) in the proviso to the first sentence in this Section 1.8 in connection with the use of the proceeds of an Incremental Term Loan to finance a Limited Condition Acquisition (and, in the case of such clause (2), only if and to the extent the lenders providing such Incremental Term Loan so agree as provided in such clause (2)), it is understood and agreed that this Section 1.8 shall not limit the conditions set forth in Section 3.2 with respect to any proposed Borrowing, in connection with a Limited Condition Acquisition or otherwise.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42 1312474.1 ARTICLE II AMOUNT AND TERMS OF THE COMMITMENTS Section 2.1. General Description of Facilities. Subject to and upon the terms and conditions herein set forth, (i) the Lenders hereby establish in favor of the Borrower a revolving credit facility pursuant to which each Lender severally agrees (to the extent of such Lender’s Revolving Commitment) to make Revolving Loans to the Borrower in accordance with Section 2.2, (ii) the Issuing Bank may issue Letters of Credit in accordance with Section 2.22, (iii) the Swingline Lender may make Swingline Loans in accordance with Section 2.4 and (iv) each Lender agrees to purchase a participation interest in the Letters of Credit and the Swingline Loans pursuant to the terms and conditions hereof; provided, that in no event shall the aggregate principal amount of all outstanding Revolving Loans, Swingline Loans and outstanding LC Exposure exceed the Aggregate Revolving Commitments in effect from time to time. Section 2.2. Revolving Loans. Subject to the terms and conditions set forth herein, each Lender severally agrees to make Revolving Loans, ratably in proportion to its Pro Rata Share of the Revolving Commitments, to the Borrower, from time to time during the Availability Period, in an aggregate principal amount outstanding at any time that will not result in (a) such Lender’s Revolving Credit Exposure exceeding such Lender’s Revolving Commitment or (b) the aggregate Revolving Credit Exposures of all Lenders exceeding the Aggregate Revolving Commitments. During the Availability Period, the Borrower shall be entitled to borrow, prepay and reborrow Revolving Loans in accordance with the terms and conditions of this Agreement; provided, that the Borrower may not borrow or reborrow should there exist a Default or Event of Default. Section 2.3. Procedure for Revolving Borrowings. The Borrower shall give the Administrative Agent written notice (or telephonic notice promptly confirmed in writing) of each Revolving Borrowing substantially in the form of Exhibit 2.3 (a “Notice of Revolving Borrowing”) (x) prior to 11:00 a.m. on the requested date of each Base Rate Borrowing and (y) prior to 11:00 a.m. three (3) U.S. Government Securities Business Days prior to the requested date of each SOFR Borrowing. Each Notice of Revolving Borrowing shall be irrevocable and shall specify: (i) the aggregate principal amount of such Borrowing, (ii) the date of such Borrowing (which shall be a Business Day), (iii) the Type of such Revolving Loan comprising such Borrowing and (iv) in the case of a SOFR Borrowing, the duration of the initial Interest Period applicable thereto (subject to the provisions of the definition of Interest Period). Each Revolving Borrowing shall consist of Base Rate Loans or SOFR Loans or a combination thereof, as the Borrower may request. The aggregate principal amount of each SOFR Borrowing shall be not less than $5,000,000 or a larger multiple of $1,000,000, and the aggregate principal amount of each Base Rate Borrowing shall not be less than $1,000,000 or a larger multiple of $100,000; provided, that Base Rate Loans made pursuant to Section 2.4 or Section 2.22(d) may be made in lesser amounts as provided therein. At no time shall the total number of SOFR Borrowings outstanding at any time exceed six. Promptly following the receipt of a Notice of Revolving Borrowing in accordance herewith, the Administrative Agent shall advise each Lender of the details thereof and the amount of such Lender’s Revolving Loan to be made as part of the requested Revolving Borrowing. Section 2.4. Swingline Commitment. (a) Subject to the terms and conditions set forth herein, the Swingline Lender may, in its sole discretion, make Swingline Loans to the Borrower, from time to time during the Availability Period, in an aggregate principal amount outstanding at any time not to exceed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43 1312474.1 lesser of (i) the Swingline Commitment then in effect and (ii) the difference between the Aggregate Revolving Commitments and the aggregate Revolving Credit Exposures of all Lenders; provided, that the Swingline Lender shall not be required to make a Swingline Loan to refinance an outstanding Swingline Loan. The Borrower shall be entitled to borrow, repay and reborrow Swingline Loans in accordance with the terms and conditions of this Agreement. (b) The Borrower shall give the Administrative Agent written notice (or telephonic notice promptly confirmed in writing) of each Swingline Borrowing substantially in the form of Exhibit 2.4 attached hereto (“Notice of Swingline Borrowing”) prior to 10:00 a.m. on the requested date of each Swingline Borrowing. Each Notice of Swingline Borrowing shall be irrevocable and shall specify: (i) the principal amount of such Swingline Loan, (ii) the date of such Swingline Loan (which shall be a Business Day) and (iii) the account of the Borrower to which the proceeds of such Swingline Loan should be credited. The Administrative Agent will promptly advise the Swingline Lender of each Notice of Swingline Borrowing. The aggregate principal amount of each Swingline Loan shall not be less than $100,000 or a larger multiple of $50,000, or such other minimum amounts agreed to by the Swingline Lender and the Borrower. The Swingline Lender will make the proceeds of each Swingline Loan available to the Borrower in Dollars in immediately available funds at the account specified by the Borrower in the applicable Notice of Swingline Borrowing not later than 1:00 p.m. on the requested date of such Swingline Loan. (c) The Swingline Lender, at any time and from time to time in its sole discretion, may, on behalf of the Borrower (which hereby irrevocably authorizes and directs the Swingline Lender to act on its behalf), give a Notice of Revolving Borrowing to the Administrative Agent requesting the Lenders (including the Swingline Lender) to make Base Rate Loans in an amount equal to the unpaid principal amount of any Swingline Loan. Each Lender will make the proceeds of its Base Rate Loan included in such Borrowing available to the Administrative Agent for the account of the Swingline Lender in accordance with Section 2.6, and such proceeds will be used solely for the repayment of such Swingline Loan. (d) If for any reason a Base Rate Borrowing may not be (as determined in the sole discretion of the Administrative Agent), or is not, made in accordance with the foregoing provisions, then each Lender (other than the Swingline Lender) shall purchase an undivided participating interest in such Swingline Loan in an amount equal to its Pro Rata Share thereof on the date that such Base Rate Borrowing should have occurred. On the date of such required purchase, each Lender shall promptly transfer, in immediately available funds, the amount of its participating interest to the Administrative Agent for the account of the Swingline Lender. (e) Each Lender’s obligation to make a Base Rate Loan pursuant to Section 2.4(c) or to purchase the participating interests pursuant to Section 2.4(d) shall be absolute and unconditional and shall not be affected by any circumstance, including without limitation (i) any setoff, counterclaim, recoupment, defense or other right that such Lender or any other Person may have or claim against the Swingline Lender, the Borrower or any other Person for any reason whatsoever, (ii) the existence of a Default or an Event of Default or the termination of any Lender’s Revolving Commitment, (iii) the existence (or alleged existence) of any event or condition which has had or could reasonably be expected to have a Material Adverse Effect, (iv) any breach of this Agreement or any other Loan Document by any Loan Party, the Administrative Agent or any Lender or (v) any other circumstance, happening or event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44 1312474.1 whatsoever, whether or not similar to any of the foregoing. If such amount is not in fact made available to the Swingline Lender by any Lender, the Swingline Lender shall be entitled to recover such amount on demand from such Lender, together with accrued interest thereon for each day from the date of demand thereof (i) at the Federal Funds Rate until the second Business Day after such demand and (ii) at the Base Rate at all times thereafter. Until such time as such Lender makes its required payment, the Swingline Lender shall be deemed to continue to have outstanding Swingline Loans in the amount of the unpaid participation for all purposes of the Loan Documents. In addition, such Lender shall be deemed to have assigned any and all payments made of principal and interest on its Loans and any other amounts due to it hereunder, to the Swingline Lender to fund the amount of such Lender’s participation interest in such Swingline Loans that such Lender failed to fund pursuant to this Section 2.4, until such amount has been purchased in full. Section 2.5. Reserved. Section 2.6. Funding of Borrowings. (a) Each Lender will make available each Loan to be made by it hereunder on the proposed date thereof by wire transfer in immediately available funds by 2:00 p.m. to the Administrative Agent at the Payment Office; provided, that the Swingline Loans will be made as set forth in Section 2.4. The Administrative Agent will make such Loans available to the Borrower by promptly crediting the amounts that it receives, in like funds by the close of business on such proposed date, to an account maintained by the Borrower with the Administrative Agent or at the Borrower’s option, by effecting a wire transfer of such amounts to an account designated by the Borrower to the Administrative Agent. (b) Unless the Administrative Agent shall have been notified by any Lender prior to 1:00 p.m. on the date of a Borrowing in which such Lender is to participate that such Lender will not make available to the Administrative Agent such Lender’s share of such Borrowing, the Administrative Agent may assume that such Lender has made such amount available to the Administrative Agent on such date, and the Administrative Agent, in reliance on such assumption, may make available to the Borrower on such date a corresponding amount. If such corresponding amount is not in fact made available to the Administrative Agent by such Lender on the date of such Borrowing, the Administrative Agent shall be entitled to recover such corresponding amount on demand from such Lender together with interest at the Federal Funds Rate until the second Business Day after such demand and thereafter at the Base Rate. If such Lender does not pay such corresponding amount forthwith upon the Administrative Agent’s demand therefor, the Administrative Agent shall promptly notify the Borrower, and the Borrower shall immediately pay such corresponding amount to the Administrative Agent together with interest at the rate specified for such Borrowing. Nothing in this subsection shall be deemed to relieve any Lender from its obligation to fund its Pro Rata Share of any Borrowing hereunder or to prejudice any rights which the Borrower may have against any Lender as a result of any default by such Lender hereunder. (c) All Revolving Borrowings shall be made by the Lenders on the basis of their respective Pro Rata Shares. No Lender shall be responsible for any default by any other Lender in its obligations hereunder, and each Lender shall be obligated to make its Loans provided 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45 1312474.1 be made by it hereunder, regardless of the failure of any other Lender to make its Loans hereunder. Section 2.7. Interest Elections. (a) Each Borrowing initially shall be of the Type specified in the applicable Notice of Borrowing. Thereafter, the Borrower may elect to convert such Borrowing into a different Type or to continue such Borrowing, all as provided in this Section 2.7. The Borrower may elect different options with respect to different portions of the affected Borrowing, in which case each such portion shall be allocated ratably among the Lenders holding Loans comprising such Borrowing, and the Loans comprising each such portion shall be considered a separate Borrowing. (b) To make an election pursuant to this Section 2.7, the Borrower shall give the Administrative Agent prior written notice (or telephonic notice promptly confirmed in writing) of each Borrowing that is to be converted or continued, as the case may be, substantially in the form of Exhibit 2.7 attached hereto (a “Notice of Conversion/Continuation”) (x) prior to 10:00 a.m. one (1) Business Day prior to the requested date of a conversion into a Base Rate Borrowing and (y) prior to 11:00 a.m. three (3) U.S. Government Securities Business Days prior to a continuation of or conversion into a SOFR Borrowing. Each such Notice of Conversion/Continuation shall be irrevocable and shall specify (i) the Borrowing to which such Notice of Conversion/Continuation applies and if different options are being elected with respect to different portions thereof, the portions thereof that are to be allocated to each resulting Borrowing (in which case the information to be specified pursuant to clauses (iii) and (iv) shall be specified for each resulting Borrowing); (ii) the effective date of the election made pursuant to such Notice of Conversion/Continuation, which shall be a Business Day; (iii) whether the resulting Borrowing is to be a Base Rate Borrowing or a SOFR Borrowing; and (iv) if the resulting Borrowing is to be a SOFR Borrowing, the Interest Period applicable thereto after giving effect to such election, which shall be a period contemplated by the definition of “Interest Period”. If any such Notice of Conversion/Continuation requests a SOFR Borrowing but does not specify an Interest Period, the Borrower shall be deemed to have selected an Interest Period of one month. The principal amount of any resulting Borrowing shall satisfy the minimum borrowing amount for SOFR Borrowings and Base Rate Borrowings set forth in Section 2.3. (c) If, on the expiration of any Interest Period in respect of any SOFR Borrowing, the Borrower shall have failed to deliver a Notice of Conversion/Continuation, then, unless such Borrowing is repaid as provided herein, the Borrower shall be deemed to have elected to convert such Borrowing to a Base Rate Borrowing. No Borrowing may be converted into, or continued as, a SOFR Borrowing if a Default or an Event of Default exists, unless the Administrative Agent and each of the Lenders shall have otherwise consented in writing. No conversion of any SOFR Loans shall be permitted except on the last day of the Interest Period in respect thereof. (d) Upon receipt of any Notice of Conversion/Continuation, the Administrative Agent shall promptly notify each Lender of the details thereof and of such Lender’s portion of each resulting Borrowing.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46 1312474.1 Section 2.8. Optional Reduction and Termination of Commitments. (a) Unless previously terminated, all Revolving Commitments, Swingline Commitments and LC Commitments shall terminate on the Revolving Commitment Termination Date. (b) Upon at least three (3) Business Days’ prior written notice (or telephonic notice promptly confirmed in writing) to the Administrative Agent (which notice shall be irrevocable), the Borrower may reduce the Aggregate Revolving Commitments in part or in whole; provided, that (i) any partial reduction shall apply to reduce proportionately and permanently the Revolving Commitment of each Lender, (ii) any partial reduction pursuant to this Section 2.8 shall be in an amount of at least $5,000,000 and any larger multiple of $1,000,000, and (iii) no such reduction shall be permitted which would reduce the Aggregate Revolving Commitments to an amount less than the aggregate outstanding Revolving Credit Exposure of all Lenders. Any such reduction in the Aggregate Revolving Commitments below the principal amount of the Swingline Commitment and the LC Commitment shall result in a dollar-for-dollar reduction in the Swingline Commitment and the LC Commitment. Section 2.9. Repayment of Loans. The outstanding principal amount of all Revolving Loans and Swingline Loans shall be due and payable (together with accrued and unpaid interest thereon) on the Revolving Commitment Termination Date. Section 2.10. Evidence of Indebtedness. (a) Each Lender shall maintain in accordance with its usual practice appropriate records evidencing the Indebtedness of the Borrower to such Lender resulting from each Loan made by such Lender from time to time, including the amounts of principal and interest payable thereon and paid to such Lender from time to time under this Agreement. The Administrative Agent shall maintain appropriate records in which shall be recorded (i) the Commitments of each Lender, (ii) the amount of each Loan made hereunder by each Lender, the Class and Type thereof and, in the case of each SOFR Loan, the Interest Period applicable thereto, (iii) the date of each continuation thereof pursuant to Section 2.7, (iv) the date of each conversion of all or a portion thereof to another Type pursuant to Section 2.7, (v) the date and amount of any principal or interest due and payable or to become due and payable from the Borrower to each Lender hereunder in respect of such Loans and (vi) both the date and amount of any sum received by the Administrative Agent hereunder from the Borrower in respect of the Loans and each Lender’s Pro Rata Share thereof. The entries made in such records shall be prima facie evidence of the existence and amounts of the obligations of the Borrower therein recorded; provided, that the failure or delay of any Lender or the Administrative Agent in maintaining or making entries into any such record or any error therein shall not in any manner affect the obligation of the Borrower to repay the Loans (both principal and unpaid accrued interest) of such Lender in accordance with the terms of this Agreement. (b) This Agreement evidences the obligation of the Borrower to repay the Loans and is being executed as a “noteless” credit agreement. However, at the request of any Lender (including the Swingline Lender) at any time, the Borrower agrees that it will prepare, execute and deliver to such Lender a promissory note payable to the order of such Lender in the form of Exhibit 2.10 (a “Note”). Thereafter, the Loans evidenced by such promissory note and interest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47 1312474.1 thereon shall at all times (including after assignment permitted hereunder) be represented by one or more promissory notes in such form payable to the order of the payee named therein (or, if such promissory note is a registered note, to such payee and its registered assigns). Section 2.11. Optional Prepayments. The Borrower shall have the right at any time and from time to time to prepay any Borrowing, in whole or in part, without premium or penalty, by giving irrevocable written notice (or telephonic notice promptly confirmed in writing) to the Administrative Agent no later than (i) in the case of prepayment of any SOFR Borrowing, 11:00 a.m. not less than three (3) U.S. Government Securities Business Days prior to any such prepayment, (ii) in the case of any prepayment of any Base Rate Borrowing, 11:00 a.m. not less than one Business Day prior to the date of such prepayment, and (iii) in the case of Swingline Borrowings, 11:00 a.m. on the date of such prepayment. Each such notice shall be irrevocable and shall specify the proposed date of such prepayment and the principal amount of each Borrowing or portion thereof to be prepaid. Upon receipt of any such notice, the Administrative Agent shall promptly notify each affected Lender of the contents thereof and of such Lender’s Pro Rata Share of any such prepayment. If such notice is given, the aggregate amount specified in such notice shall be due and payable on the date designated in such notice, together with accrued interest to such date on the amount so prepaid in accordance with Section 2.13(d); provided, that if a SOFR Borrowing is prepaid on a date other than the last day of an Interest Period applicable thereto, the Borrower shall also pay all amounts required pursuant to Section 2.19. Each partial prepayment of any Loan (other than a Swingline Loan) shall be in an amount that would be permitted in the case of an advance of a Revolving Borrowing of the same Type pursuant to Section 2.3 or in the case of a Swingline Loan pursuant to Section 2.4. Each prepayment of a Revolving Borrowing shall be applied ratably to the Loans comprising such Revolving Borrowing. Section 2.12. Mandatory Prepayments. If at any time the Revolving Credit Exposure of all Lenders exceeds the Aggregate Revolving Commitments, as reduced pursuant to Section 2.8 or otherwise, the Borrower shall immediately repay Swingline Loans and Revolving Loans in an amount equal to such excess, together with all accrued and unpaid interest on such excess amount and any amounts due under Section 2.19. Each prepayment shall be applied first to the Swingline Loans to the full extent thereof, second to the Base Rate Loans to the full extent thereof, and finally to SOFR Loans to the full extent thereof. If after giving effect to prepayment of all Swingline Loans and Revolving Loans, the Revolving Credit Exposure of all Lenders exceeds the Aggregate Revolving Commitments, the Borrower shall Cash Collateralize its reimbursement obligations with respect to all Letters of Credit in an amount equal to such excess plus any accrued and unpaid fees thereon. Section 2.13. Interest on Loans. (a) The Borrower shall pay interest on (i) each Base Rate Loan at the Base Rate plus the Applicable Margin in effect from time to time and (ii) each SOFR Loan at Adjusted Term SOFR for the applicable Interest Period in effect for such Loan plus the Applicable Margin in effect from time to time. (b) The Borrower shall pay interest on each Swingline Loan at the Base Rate plus the Applicable Margin in effect from time to time. (i) Notwithstanding clauses (a) and (b) above, if an Event of Default has occurred and is continuing, at the option of the Required Lenders, or automatically in the case of an Event of Default under Sections 8.1(a), (h) or (i), the Borrower shall pay interest (“Default Interest”) with respect to all SOFR Loans at the rate per annum equal 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48 1312474.1 two percent (2.00%) above the otherwise applicable interest rate for such SOFR Loans for the then-current Interest Period until the last day of such Interest Period, and thereafter, and with respect to all Base Rate Loans and all other Obligations hereunder (other than Loans), at the rate per annum equal to two percent (2.00%) above the otherwise applicable interest rate for Base Rate Loans. (ii) Interest on the principal amount of all Loans shall accrue from and including the date such Loans are made to but excluding the date of any repayment thereof. Interest on all outstanding Base Rate Loans and Swingline Loans shall be payable quarterly in arrears on the last day of each March, June, September and December and on the Revolving Commitment Termination Date. Interest on all outstanding SOFR Loans shall be payable on the last day of each Interest Period applicable thereto, and, in the case of any SOFR Loans having an Interest Period in excess of three months, on each day which occurs every three months after the initial date of such Interest Period, and on the Revolving Commitment Termination Date. Interest on any Loan which is converted into a Loan of another Type or which is repaid or prepaid shall be payable on the date of such conversion or on the date of any such repayment or prepayment (on the amount repaid or prepaid) thereof. All Default Interest shall be payable on demand. (iii) The Administrative Agent shall determine each interest rate applicable to the Loans hereunder and shall promptly notify the Borrower and the Lenders of such rate in writing (or by telephone, promptly confirmed in writing). Any such determination shall be conclusive and binding for all purposes, absent manifest error. (c)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 Section 2.14. Fees. (a) The Borrower shall pay to the Administrative Agent for its own account fees in the amounts and at the times previously agreed upon in writing by the Borrower and the Administrative Agent. (b) The Borrower agrees to pay to the Administrative Agent for the account of each Lender a commitment fee (the “Commitment Fee”), which shall accrue at the Applicable Margin on the daily amount of the unused Revolving Commitment of such Lender during the Availability Period. For purposes of computing the Commitment Fee with respect to the Revolving Commitments, the Revolving Commitment of each Lender shall be deemed used to the extent of the outstanding Revolving Loans and LC Exposure, but not Swingline Exposure, of such Lender. (c) The Borrower agrees to pay (i) to the Administrative Agent, for the account of each Lender, a letter of credit fee with respect to its participation in each Letter of Credit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49 1312474.1 “Letter of Credit Fee”), which shall accrue at a rate per annum equal to the Applicable Margin then in effect on the average daily amount of such Lender’s LC Exposure attributable to such Letter of Credit during the period from and including the date of issuance of such Letter of Credit to but excluding the date on which such Letter of Credit expires or is drawn in full (such Letter of Credit Fee shall continue to accrue on any LC Exposure that remains outstanding after the Revolving Commitment Termination Date) and (ii) to the Issuing Bank for its own account a fronting fee, which shall accrue at the rate set forth in the Fee Letter on the average daily amount of the LC Exposure during the Availability Period (or until the date that such Letter of Credit is irrevocably cancelled, whichever is later), as well as the Issuing Bank’s standard fees with respect to issuance, amendment, renewal or extension of any Letter of Credit or processing of drawings thereunder. Notwithstanding the foregoing, if the Default Interest has been imposed pursuant to Section 2.13(c), the rate per annum used to calculate the letter of credit fee pursuant to clause (i) above shall automatically be increased by two percent (2.00%). (d) The Borrower shall pay on the Closing Date to the Administrative Agent and its affiliates all fees in the Fee Letter that are due and payable on the Closing Date. The Borrower shall pay on the Closing Date to the Lenders all upfront fees previously agreed in writing. (e) Accrued fees under paragraphs (b) and (c) above shall be payable quarterly in arrears on the last day of each March, June, September and December, commencing on the first such date to occur after the Closing Date and on the Revolving Commitment Termination Date (and if later, the date the Loans and LC Exposure shall be repaid in their entirety); provided further, that any such fees accruing after the Revolving Commitment Termination Date shall be payable on demand. (f) Anything herein to the contrary notwithstanding, during such period as a Lender is a Defaulting Lender, such Defaulting Lender will not be entitled to Commitment Fees during such period pursuant to Section 2.14(b) or Letter of Credit Fees accruing during such period pursuant to Section 2.14(c) (without prejudice to the rights of the Lenders other than Defaulting Lenders in respect of such fees), provided that (a) to the extent that a portion of the LC Exposure of such Defaulting Lender is reallocated to the Non-Defaulting Lenders pursuant to Section 2.26, such fees that would have accrued for the benefit of such Defaulting Lender will instead accrue for the benefit of and be payable to such Non-Defaulting Lenders, pro rata in accordance with their respective Revolving Commitments and (b) to the extent any portion of such LC Exposure cannot be so reallocated, such fees will instead accrue for the benefit of and be payable to the Issuing Bank. The pro rata payment provisions of Section 2.21 shall automatically be deemed adjusted to reflect the provisions of this subsection (f). Section 2.15. Computation of Interest and Fees. All computations of interest and fees hereunder shall be computed on the basis of a year of 360 days and paid for the actual number of days elapsed (including the first day but excluding the last day). Each determination by the Administrative Agent of an interest rate or fee hereunder shall be made in good faith and, except for manifest error, shall be final, conclusive and binding for all purposes. Section 2.16. Inability to Determine Interest Rates; Benchmark Replacement Setting. (a) Inability to Determine SOFR. Subject to paragraphs (b) through (f) below, if, prior to the commencement of any Interest Period for any SOFR Borrowing: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50 1312474.1 (i) the Administrative Agent shall have determined (which determination shall be conclusive absent manifest error) that “Adjusted Term SOFR” cannot be determined pursuant to the definition thereof, or (ii) the Administrative Agent shall have received notice from the Required Lenders that Adjusted Term SOFR for such Interest Period will not adequately and fairly reflect the cost to such Lenders of making, funding or maintaining their SOFR Loans for such Interest Period, then the Administrative Agent shall give written notice thereof (or telephonic notice, promptly confirmed in writing) to the Borrower and to the Lenders as soon as practicable thereafter. Upon notice thereof by the Administrative Agent to the Borrower, any obligation of the Lenders to make SOFR Loans, and any right of the Borrower to continue SOFR Loans or to convert Base Rate Loans to SOFR Loans, shall be suspended (to the extent of the affected SOFR Loans or affected Interest Periods) until the Administrative Agent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Base Rate Loans in the amount specified therein and (ii) any outstanding affected SOFR Loans will be deemed to have been converted into Base Rate Loans at the end of the applicable Interest Period. Upon any such conversion, the Borrower shall also pay accrued interest on the amount so converted, together with any additional amounts required pursuant to Section 2.19. Subject to paragraphs (b) through (f) below, if the Administrative Agent determines (which determination shall be conclusive and binding absent manifest error) that “Adjusted Term SOFR” cannot be determined pursuant to the definition thereof on any given day, the interest rate on Base Rate Loans shall be determined by the Administrative Agent without reference to clause (c) of the definition of “Base Rate” until the Administrative Agent revokes such determination. (b) Benchmark Replacement. (i)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51 1312474.1 time, written notice of objection to such Benchmark Replacement from Lenders comprising the Required Lenders. If the Benchmark Replacement is Daily Simple SOFR, all interest payments will be payable on a quarterly basis. (ii) No swap agreement shall be deemed to be a “Loan Document” for purposes of this Section 2.16. (c) Benchmark Replacement Conforming Changes.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(d) Notices; Standards for Decisions and Determinations.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2.16(e) and (y) the commencement of any Benchmark Unavailability Period. Any determination, decision or election that may be made by the Administrative Agent or, if applicable, any Lender (or group of Lenders) pursuant to this Section 2.16,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2.16. (e) Unavailability of Tenor of Benchmark.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(f) Benchmark Unavailability Period. Upon the Borrower’s receipt of notice of the commencement of a Benchmark Unavailability Period, the Borrower may revoke any pending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52 1312474.1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 Section 2.17. Illegality. If any Change in Law shall make it unlawful or impossible for any Lender to perform any of its obligations hereunder, to make, maintain or fund any SOFR Loan or to determine or charge interest rates based upon SOFR, the Term SOFR Reference Rate, Adjusted Term SOFR or Term SOFR and such Lender shall so notify the Administrative Agent, the Administrative Agent shall promptly give notice thereof to the Borrower and the other Lenders, whereupon until such Lender notifies the Administrative Agent and the Borrower that the circumstances giving rise to such suspension no longer exist, (i) the obligation of such Lender to make SOFR Revolving Loans, or to continue or convert outstanding Loans as or into SOFR Loans, shall be suspended and (ii) the Base Rate shall, if necessary to avoid such illegality, be determined by the Administrative Agent without reference to clause (c) thereof. In the case of the making of a SOFR Borrowing, such Lender’s Revolving Loan shall be made as a Base Rate Loan as part of the same Revolving Borrowing for the same Interest Period and, if the affected SOFR Loan is then outstanding, such Loan shall be converted to a Base Rate Loan either (i) on the last day of the then current Interest Period applicable to such SOFR Loan if such Lender may lawfully continue to maintain such Loan to such date or (ii) immediately if such Lender shall determine that it may not lawfully continue to maintain such SOFR Loan to such date (and in each instance the Base Rate shall, if necessary to avoid such illegality, be determined by the Administrative Agent without reference to clause (c) thereof). Notwithstanding the foregoing, the affected Lender shall, prior to giving such notice to the Administrative Agent, use reasonable efforts to designate a different Applicable Lending Office if such designation would avoid the need for giving such notice and if such designation would not otherwise be disadvantageous to such Lender in the good faith exercise of its discretion. Upon any such prepayment or conversion, the Borrower shall also pay accrued interest on the amount so prepaid or converted, together with any additional amounts required pursuant to Section 2.19. Section 2.18. Increased Costs. (a) If any Change in Law shall: (i) 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 or any Issuing Bank; (ii)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53 1312474.1 (iii) impose on any Lender or on the Issuing Bank any other condition, cost or expense affecting this Agreement or any Loans made by such Lender or any Letter of Credit or any participation therein; and the result of either of the foregoing is to increase the cost to such Lender of making, converting into, continuing or maintaining a SOFR Loan or of maintaining its obligation to make any such Loan or to increase the cost to such Lender or the Issuing Bank of participating in or issuing any Letter of Credit (or of maintaining its obligation to participate in any Letter of Credit) or to reduce the amount received or receivable by such Lender or the Issuing Bank hereunder (whether of principal, interest or any other amount), then the Borrower shall promptly pay, upon written notice from and demand by such Lender on the Borrower (with a copy of such notice and demand to the Administrative Agent), to the Administrative Agent for the account of such Lender, within five (5) Business Days after the date of such notice and demand, additional amount or amounts sufficient to compensate such Lender or the Issuing Bank, as the case may be, for such additional costs incurred or reduction suffered. (b) If any Lender or the Issuing Bank shall have determined that on or after the date of this Agreement any Change in Law regarding capital or liquidity requirements has or would have the effect of reducing the rate of return on such Lender’s or the Issuing Bank’s capital (or on the capital of the Parent Company of such Lender or Issuing Bank) as a consequence of its obligations hereunder or under or in respect of any Letter of Credit to a level below that which such Lender, the Issuing Bank or the Parent Company of such Lender or Issuing Bank could have achieved but for such Change in Law (taking into consideration such Lender’s or the Issuing Bank’s policies or the policies of the Parent Company of such Lender or Issuing Bank with respect to capital adequacy or liquidity) then, from time to time, within five (5) Business Days after receipt by the Borrower of written demand by such Lender (with a copy thereof to the Administrative Agent), the Borrower shall pay to such Lender such additional amounts as will compensate such Lender, the Issuing Bank or the Parent Company of such Lender or the Issuing Bank for any such reduction suffered. (c) A certificate of a Lender or the Issuing Bank setting forth the amount or amounts necessary to compensate such Lender, the Issuing Bank or the Parent Company of such Lender or the Issuing Bank, as the case may be, specified in paragraph (a) or (b) of this Section 2.18 shall be delivered to the Borrower (with a copy to the Administrative Agent) and shall be conclusive, absent manifest error. The Borrower shall pay any such Lender or the Issuing Bank, as the case may be, such amount or amounts within five (5) Business Days after receipt thereof. (d) Failure or delay on the part of any Lender or the Issuing Bank to demand compensation pursuant to this Section 2.18 shall not constitute a waiver of such Lender’s or the Issuing Bank’s right to demand such compensation. Section 2.19. Funding Indemnity. In the event of (a) the payment of any principal of a SOFR Loan other than on the last day of the Interest Period applicable thereto (including as a result of an Event of Default), (b) the conversion or continuation of a SOFR Loan other than on the last day of the Interest Period applicable thereto, or (c) the failure by the Borrower to borrow, prepay, convert or continue any SOFR Loan on the date specified in any applicable notice (regardless of whether such notice is withdrawn or revoked), then, in any such event, the Borrower shall compensate each Lender, within five (5) Business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54 1312474.1 Days after written demand from such Lender, for any loss, cost or expense attributable to such event. In the case of a SOFR Loan, such loss, cost or expense shall be deemed to include an amount determined by such Lender to be the excess, if any, of (A) the amount of interest that would have accrued on the principal amount of such SOFR Loan if such event had not occurred at Adjusted Term SOFR applicable to such SOFR Loan for the period from the date of such event to the last day of the then current Interest Period therefor (or in the case of a failure to borrow, convert or continue, for the period that would have been the Interest Period for such SOFR Loan) over (B) the amount of interest that would accrue on the principal amount of such SOFR Loan for the same period if Adjusted Term SOFR were set on the date such SOFR Loan was prepaid or converted or the date on which the Borrower failed to borrow, convert or continue such SOFR Loan. A certificate as to any additional amount payable under this Section 2.19 submitted to the Borrower by any Lender (with a copy to the Administrative Agent) shall be conclusive, absent manifest error. Section 2.20. Taxes. (a) For purposes of this Section 2.20, the term “Lender” includes any Issuing Bank and the term “applicable Law” includes FATCA. (b)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making such deduction or withholding (including such deductions and withholdings applicable to additional sums payable under this Section 2.20) the applicable Recipient shall receive an amount equal to the sum it would have received had no such deduction or withholding been made. (c) In addition, the Loan Parties shall timely pay to the relevant Governmental Authority in accordance with applicable Law, or at the option of the Administrative Agent timely reimburse it for the payment of, any Other Taxes. (d) The Loan Parties shall jointly and severally indemnify each Recipient, within ten (10) Business Days after demand therefor, for the full amount of any Indemnified Taxes (including Indemnified Taxes imposed or asserted on or attributable to amounts payable under this Section 2.20)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(e) Each Lender shall severally indemnify the Administrative Agent, within ten (10) Business Days after demand therefor, for (i) any Indemnified Taxes attributable to such Lender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55 1312474.1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11.4(e)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clause (e). (f) As soon as practicable after any payment of Taxes by any Loan Party to a Governmental Authority pursuant to this Section 2.20(f),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(g)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2.20(g)(ii)(A), (ii)(B) and (ii)(D) below) shall not be required if in the Lender’s reasonable judgment such completion, execution or submission would subject such Lender to any material unreimbursed cost or expense or would materially prejudice the legal or commercial position of such Lender. (ii) Without limiting the generality of the foregoing, in the event that the Borrower is a U.S. Person, (A)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56 1312474.1 (B)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 (1) in the case of a Foreign Lender claiming the benefits of an income tax treaty to which the United States is a party (x) with respect to payments of interest under any Loan Document, executed originals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 (2) executed originals of IRS Form W-8ECI, (3) in the case of a Foreign Lender claiming the benefits of the exemption for portfolio interest under Section 881(c) of the Code, (x) a certificate substantially in the form of Exhibit 2.20-1 to the effect that such Foreign Lender is not a “bank” within the meaning of Section 881(c)(3)(A) of the Code, a “10 percent shareholder” of the Borrower within the meaning of Section 881(c)(3)(B) of the Code, or a “controlled foreign corporation” described in Section 881(c)(3)(C) of the Code (a “U.S. Tax Compliance Certificate”) and (y) executed originals of IRS Form W-8BEN or W-8BEN-E; or (4) to the extent a Foreign Lender is not the beneficial owner, executed originals of IRS Form W-8IMY, accompanied by IRS Form W-8ECI, IRS Form W-8BEN or W-8BEN-E, a U.S. Tax Compliance Certificate substantially in the form of Exhibit 2.20-2 or Exhibit 2.20-3,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2.20-4 on behalf of each such direct and indirect partner; (C)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57 1312474.1 prescribed by applicable Law to permit the Borrower or the Administrative Agent to determine the withholding or deduction required to be made; and (D)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(h) If any Recipient determines, in its sole discretion, that it has received a refund of any Taxes as to which it has been indemnified pursuant to this Section 2.20 (including by the payment of additional amounts pursuant to this Section 2.20),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 (i) Each party’s obligations under this Section 2.20 shall survive the resignation or replacement of the Administrative Agent or any assignment of rights by, or the replacement of, a Lender, the termination of the Commitments and the repayment, satisfaction or discharge of all obligations under any Loan Document.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58 1312474.1 Section 2.21. Payments Generally; Pro Rata Treatment; Sharing of Set-offs. (a) The Borrower shall make each payment required to be made by it hereunder (whether of principal, interest, fees or reimbursement of LC Disbursements, or of amounts payable under Sections 2.18, 2.19 or 2.20, or otherwise) prior to 12:00 noon on the date when due, in immediately available funds, free and clear of any defenses, rights of set-off, counterclaim, or withholding or deduction of taxes.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Payment Office, except payments to be made directly to the Issuing Bank or Swingline Lender as expressly provided herein and except that payments pursuant to Sections 2.18, 2.19 and 2.20 and 11.3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made payable for the period of such extension. All payments hereunder shall be made in Dollars. (b) If at any time insufficient funds are received by and available to the Administrative Agent to pay fully all amounts of principal, unreimbursed LC Disbursements, interest and fees then due hereunder, such funds shall be applied: first, to Administrative Agent’s fees and reimbursable expenses then due and payable pursuant to any of the Loan Documents; second, to all reimbursable expenses of the Lenders and all fees and reimbursable expenses of the Issuing Bank then due and payable pursuant to any of the Loan Documents, pro rata to the Lenders and the Issuing Bank based on their respective pro rata shares of such fees and expenses; third, to interest and fees then due and payable hereunder, pro rata to the Lenders based on their respective pro rata shares of such interest and fees; and fourth, to the payment of principal of the Loans and unreimbursed LC Disbursements then due hereunder, ratably among the parties entitled thereto in accordance with the amounts of principal and unreimbursed LC Disbursements then due to such parties. (c) If any Lender shall, by exercising any right of set-off or counterclaim or otherwise, obtain payment in respect of any principal of or interest on any of its Loans or participations in LC Disbursements or Swingline Loans that would result in such Lender receiving payment of a greater proportion of the aggregate amount of its Revolving Credit Exposure and accrued interest and fees thereon than the proportion received by any other Lender with respect to its Revolving Credit Exposure, then the Lender receiving such greater proportion shall purchase (for cash at face value) participations in the Revolving Credit Exposure of other Lenders to the extent necessary so that the benefit of all such payments shall be shared by the Lenders ratably in accordance with the aggregate amount of principal of and accrued interest on their respective Revolving Credit Exposure; provided,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Revolving Credit Exposure to any assignee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59 1312474.1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(d) Unless the Administrative Agent shall have received notice from the Borrower prior to the date on which any payment is due to the Administrative Agent for the account of the Lenders or the Issuing Bank hereunder that the Borrower will not make such payment, the Administrative Agent may assume that the Borrower has made such payment on such date in accordance herewith and may, in reliance upon such assumption, distribute to the Lenders or the Issuing Bank, as the case may be, the amount or amounts due. In such event, if the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 (e) Notwithstanding anything herein to the contrary, any amount paid by the Borrower for the account of a Defaulting Lender under this Agreement (whether on account of principal, interest, fees, reimbursement of LC Disbursements, indemnity payments or other amounts) will be retained by the Administrative Agent in a segregated non-interest bearing account until the Revolving Commitment Termination Date, at which time the funds in such account will be applied by the Administrative Agent, to the fullest extent permitted by Law, in the following order of priority: first to the payment of any amounts owing by such Defaulting Lender to the Administrative Agent under this Agreement, second to the payment of any amounts owing by such Defaulting Lender to the Issuing Bank and the Swingline Lender under this Agreement, third to the payment of interest due and payable to the Lenders hereunder that are not Defaulting Lenders, ratably among them in accordance with the amounts of such interest then due and payable to them, fourth to the payment of fees then due and payable to the Lenders hereunder that are not Defaulting Lenders, ratably among them in accordance with the amounts of such fees then due and payable to them, fifth to pay principal and unreimbursed LC Disbursements then due and payable to the Lenders hereunder that are not Defaulting Lenders, ratably in accordance with the amounts thereof then due and payable to them, sixth to the ratable payment of other amounts then due and payable to the Lenders hereunder that are not Defaulting Lenders, and seventh to pay amounts owing under this Agreement to such Defaulting Lender or as a court of competent jurisdiction may otherwise direct. Section 2.22. Letters of Credit. (a) During the Availability Period, the Issuing Bank, in reliance upon the agreements of the other Lenders pursuant to Section 2.22(d) and 2.22(e), may, in its sole discretion, issue, at the request of the Borrower, Letters of Credit for the account of the Borrower or any Subsidiary on the terms and conditions hereinafter set forth; provided, that (i) each Letter of Credit shall expire on the earlier of (A) the date one year after the date of issuance of such Letter of Credit (or in the case of any renewal or extension thereof, one year after such renewal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60 1312474.1 or extension) and (B) the date that is twelve months after the Revolving Commitment Termination Date; (ii) each Letter of Credit shall be in a stated amount of at least $25,000; and (iii) the Borrower may not request any Letter of Credit, if, after giving effect to such issuance (A) the aggregate LC Exposure would exceed the LC Commitment, (B) the aggregate Revolving Credit Exposure of all Lenders would exceed the Aggregate Revolving Commitments or (C) the Revolving Credit Exposure of each Lender would exceed its Revolving Commitment. Each Lender shall be deemed to, and hereby irrevocably and unconditionally agrees to, purchase from the Issuing Bank without recourse a participation in each Letter of Credit equal to such Lender’s Pro Rata Share of the aggregate amount available to be drawn under such Letter of Credit (i) on the Closing Date with respect to all Existing Letters of Credit and (ii) on the date of issuance with respect to all other Letters of Credit. Each issuance of a Letter of Credit shall be deemed to utilize the Revolving Commitment of each Lender by an amount equal to the amount of such participation. (b) To request the issuance of a Letter of Credit (or any amendment, renewal or extension of an outstanding Letter of Credit), the Borrower shall give the Issuing Bank and the Administrative Agent irrevocable written notice (which may be in the form of a duly completed Letter of Credit Application) at least three (3) Business Days prior to the requested date of such issuance specifying the date (which shall be a Business Day) such Letter of Credit is to be issued (or amended, extended or renewed, as the case may be), the expiration date of such Letter of Credit, the amount of such Letter of Credit, the name and address of the beneficiary thereof and such other information as shall be necessary to prepare, amend, renew or extend such Letter of Credit. In addition to the satisfaction of the conditions in Article III, the issuance of such Letter of Credit (or any amendment which increases the amount of such Letter of Credit) will be subject to the further conditions that such Letter of Credit shall be in such form and contain such terms as the Issuing Bank shall approve and that the Borrower shall have executed and delivered any Issuer Documents as the Issuing Bank shall require; provided, that in the event of any conflict between such applications, agreements or instruments and this Agreement, the terms of this Agreement shall control. (c) At least two (2) Business Days prior to the issuance of any Letter of Credit, the Issuing Bank will confirm with the Administrative Agent (by telephone or in writing) that the Administrative Agent has received such notice and if not, the Issuing Bank will provide the Administrative Agent with a copy thereof. Unless the Issuing Bank has received notice from the Administrative Agent on or before 5:00 p.m. the Business Day immediately preceding the date the Issuing Bank is to issue the requested Letter of Credit (1) directing the Issuing Bank not to issue the Letter of Credit because such issuance is not then permitted hereunder because of the limitations set forth in Section 2.22(a) or that one or more conditions specified in Article III are not then satisfied, then, subject to the terms and conditions hereof, the Issuing Bank shall, on the requested date, issue such Letter of Credit in accordance with the Issuing Bank’s usual and customary business practices. (d) The Issuing Bank shall examine all documents purporting to represent a demand for payment under a Letter of Credit promptly following its receipt thereof. The Issuing Bank shall notify the Borrower and the Administrative Agent of such demand for payment and whether the Issuing Bank has made or will make a LC Disbursement thereunder; provided, that any failure to give or delay in giving such notice shall not relieve the Borrower of its obligation to reimburse the Issuing Bank and the Lenders with respect to such LC Disbursement.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61 1312474.1 Borrower shall be irrevocably and unconditionally obligated to reimburse the Issuing Bank for any LC Disbursements paid by the Issuing Bank in respect of such drawing, without presentment, demand or other formalities of any kind. Unless the Borrower shall have notified the Issuing Bank and the Administrative Agent prior to 11:00 a.m. on the Business Day immediately prior to the date on which such drawing is honored that the Borrower intends to reimburse the Issuing Bank for the amount of such drawing in funds other than from the proceeds of Revolving Loans, the Borrower shall be deemed to have timely given a Notice of Revolving Borrowing to the Administrative Agent requesting the Lenders to make a Base Rate Borrowing on the date on which such drawing is honored in an exact amount due to the Issuing Bank; provided, that for purposes solely of such Borrowing, the conditions precedent set forth in Section 3.2 hereof shall not be applicable. The Administrative Agent shall notify the Lenders of such Borrowing in accordance with Section 2.3, and each Lender shall make the proceeds of its Base Rate Loan included in such Borrowing available to the Administrative Agent for the account of the Issuing Bank in accordance with Section 2.6. The proceeds of such Borrowing shall be applied directly by the Administrative Agent to reimburse the Issuing Bank for such LC Disbursement. (e) If for any reason a Base Rate Borrowing may not be (as determined in the sole discretion of the Administrative Agent), or is not, made in accordance with the foregoing provisions, then each Lender (other than the Issuing Bank) shall be obligated to fund the participation that such Lender purchased pursuant to subsection (a) in an amount equal to its Pro Rata Share of such LC Disbursement on and as of the date which such Base Rate Borrowing should have occurred. Each Lender’s obligation to fund its participation shall be absolute and unconditional and shall not be affected by any circumstance, including without limitation (i) any setoff, counterclaim, recoupment, defense or other right that such Lender or any other Person may have against the Issuing Bank or any other Person for any reason whatsoever, (ii) the existence of a Default or an Event of Default or the termination of the Aggregate Revolving Commitments, (iii) any adverse change in the condition (financial or otherwise) of the Borrower or any of its Subsidiaries, (iv) any breach of this Agreement by the Borrower or any other Lender, (v) any amendment, renewal or extension of any Letter of Credit or (vi) any other circumstance, happening or event whatsoever, whether or not similar to any of the foregoing. On the date that such participation is required to be funded, each Lender shall promptly transfer, in immediately available funds, the amount of its participation to the Administrative Agent for the account of the Issuing Bank. Whenever, at any time after the Issuing Bank has received from any such Lender the funds for its participation in a LC Disbursement, the Issuing Bank (or the Administrative Agent on its behalf) receives any payment on account thereof, the Administrative Agent or the Issuing Bank, as the case may be, will distribute to such Lender its Pro Rata Share of such payment; provided, that if such payment is required to be returned for any reason to the Borrower or to a trustee, receiver, liquidator, custodian or similar official in any bankruptcy proceeding, such Lender will return to the Administrative Agent or the Issuing Bank any portion thereof previously distributed by the Administrative Agent or the Issuing Bank to it. (f) To the extent that any Lender shall fail to pay any amount required to be paid pursuant to paragraphs (d) or (e) of this Section on the due date therefor, such Lender shall pay interest to the Issuing Bank (through the Administrative Agent) on such amount from such due date to the date such payment is made at a rate per annum equal to the Federal Funds Rate; provided, that if such Lender shall fail to make such payment to the Issuing Bank within three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62 1312474.1 (3) Business Days of such due date, then, retroactively to the due date, such Lender shall be obligated to pay interest on such amount at the rate set forth in Section 2.13(c). (g) If (i) any Event of Default shall occur and be continuing on the Business Day that the Borrower receives notice from the Administrative Agent or the Required Lenders demanding that its reimbursement obligations with respect to the Letters of Credit be Cash Collateralized pursuant to this paragraph, (ii) as of the Revolving Commitment Termination Date, any LC Exposure remains outstanding for any reason or (iii) the Borrower shall be required to provide Cash Collateral pursuant to any other section of this Agreement, then, the Borrower shall deposit in an account with the Administrative Agent, in the name of the Administrative Agent and for the benefit of the Issuing Bank and the Lenders, an amount in cash equal to 105% of the aggregate LC Exposure of all Lenders as of such date plus any accrued and unpaid fees thereon; provided, that such obligation to Cash Collateralize the reimbursement obligations of the Borrower with respect to the Letters of Credit shall become effective immediately, and such deposit shall become immediately due and payable, without demand or notice of any kind, upon the occurrence of any Event of Default with respect to the Borrower described in clause (h) or (i) of Section 8.1. Such deposit shall be held by the Administrative Agent as Cash Collateral for the payment and performance of the obligations of the Borrower under this Agreement. The Administrative Agent shall have exclusive dominion and control, including the exclusive right of withdrawal, over such account. The Borrower agrees to execute any documents and/or certificates to effectuate the intent of this paragraph. Other than any interest earned on the investment of such deposits, which investments shall be made at the option and sole discretion of the Administrative Agent and at the Borrower’s risk and expense, such deposits shall not bear interest. Interest and profits, if any, on such investments shall accumulate in such account. Moneys in such account shall be applied by the Administrative Agent to reimburse the Issuing Bank for LC Disbursements for which it had not been reimbursed and to the extent so applied, shall be held for the satisfaction of the reimbursement obligations of the Borrower for the LC Exposure at such time or, if the maturity of the Loans has been accelerated, with the consent of the Required Lenders, be applied to satisfy other obligations of the Borrower under this Agreement and the other Loan Documents. If the Borrower is required to Cash Collateralize its reimbursement obligations with respect to the Letters of Credit as a result of the occurrence of an Event of Default, such cash collateral so posted (to the extent not so applied as aforesaid) shall be returned to the Borrower within three (3) Business Days after all Events of Default have been cured or waived. (h) Upon the request of any Lender, but no more frequently than quarterly, the Issuing Bank shall deliver (through the Administrative Agent) to each Lender and the Borrower a report describing the aggregate Letters of Credit then outstanding. Upon the request of any Lender from time to time, the Issuing Bank shall deliver to such Lender any other information reasonably requested by such Lender with respect to each Letter of Credit then outstanding. (i) The Borrower’s obligation to reimburse LC Disbursements hereunder shall be absolute, unconditional and irrevocable and shall be performed strictly in accordance with the terms of this Agreement under all circumstances whatsoever and irrespective of any of the following circumstances: (i) Any lack of validity or enforceability of any Letter of Credit or this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63 1312474.1 (ii) The existence of any claim, set-off, defense or other right which the Borrower or any Subsidiary or Affiliate of the Borrower may have at any time against a beneficiary or any transferee of any Letter of Credit (or any Persons or entities for whom any such beneficiary or transferee may be acting), any Lender (including the Issuing Bank) or any other Person, whether in connection with this Agreement or the Letter of Credit or any document related hereto or thereto or any unrelated transaction; (iii) Any draft or other document presented under a Letter of Credit proving to be forged, fraudulent or invalid in any respect or any statement therein being untrue or inaccurate in any respect; (iv) Payment by the Issuing Bank under a Letter of Credit against presentation of a draft or other document to the Issuing Bank that does not comply with the terms of such Letter of Credit; (v) Any other event or circumstance whatsoever, whether or not similar to any of the foregoing, that might, but for the provisions of this Section 2.22, constitute a legal or equitable discharge of, or provide a right of setoff against, the Borrower’s obligations hereunder; or (vi) The existence of a Default or an Event of Default. Neither the Administrative Agent, the Issuing Bank, the Lenders nor any Related Party of any of the foregoing shall have any liability or responsibility by reason of or in connection with the issuance or transfer of any Letter of Credit or any payment or failure to make any payment thereunder (irrespective of any of the circumstances referred to above),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provided, that the foregoing shall not be construed to excuse the Issuing Bank from liability to the Borrower to the extent of any actual direct damages (as opposed to special, indirect (including claims for lost profits or other consequential damages), or punitive damages, claims in respect of which are hereby waived by the Borrower to the extent permitted by applicable Law) suffered by the Borrower that are caused by the Issuing Bank’s failure to exercise due care when determining whether drafts or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due care in each such determination. In furtherance of the foregoing and without limiting the generality thereof, the parties agree that, with respect to documents presented that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(j) Unless otherwise expressly agreed by the Issuing Bank and the Borrower when a Letter of Credit is issued and subject to applicable Laws, (i) each standby Letter of Credit shall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0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64 1312474.1 be governed by the “International Standby Practices 1998” (ISP98) (or such later revision as may be published by the Institute of International Banking Law &amp; Practice on any date any Letter of Credit may be issued), (ii) each documentary Letter of Credit shall be governed by the Uniform Customs and Practices for Documentary Credits (2007 Revision), International Chamber of Commerce Publication No. 600 (or such later revision as may be published by the International Chamber of Commerce on any date any Letter of Credit may be issued) and (iii) the Borrower shall specify the foregoing in each Letter of Credit Application submitted for the issuance of a Letter of Credit. (k) Conflict with Issuer Documents. In the event of any conflict between the terms hereof and the terms of any Issuer Document, the terms hereof shall control. (l) Letters of Credit Issued for Subsidiaries. Notwithstanding that a Letter of Credit issued or outstanding hereunder is in support of any obligations of, or is for the account of, a Subsidiary, the Borrower shall be obligated to reimburse the Issuing Bank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 Section 2.23. Increase of Commitments; Additional Lenders. The Borrower may from time to time, upon at least five days’ prior written notice to the Administrative Agent (who shall promptly provide a copy of such notice to each Lender), propose to increase the Aggregate Revolving Commitments or to establish one or more new term loans (each, an “Incremental Term Loan”); provided, that: (a) subject, in the case of an Incremental Term Loan being used to finance a Limited Condition Acquisition, to Section 1.8, the aggregate amount of all increases in the Aggregate Revolving Commitments plus the aggregate initial principal amount of all Incremental Term Loans after the Closing Date shall not exceed $500,000,000 plus an unlimited amount so long as the Consolidated Net Leverage Ratio is not greater than 3.00:1.00, recomputed as of the end of the period of the four Fiscal Quarters most recently ended for which the Borrower has delivered financial statements pursuant to Section 5.1(a) or (b), after giving effect to such increase or Incremental Term Loan on a Pro Forma Basis (assuming the full amount of such increase in the Aggregate Revolving Commitments is fully drawn and without “netting” the cash proceeds thereof); (b) any increase in the Aggregate Revolving Commitments or establishment of an Incremental Term Loan shall be in a minimum principal amount of $15,000,000 and in integral multiples of $1,000,000 in excess thereof; (c) subject, in the case of an Incremental Term Loan being used to finance a Limited Condition Acquisition, to Section 1.8, no Default or Event of Default shall exist and be continuing at the time of any increase in the Aggregate Revolving Commitments or establishment of an Incremental Term Loan; (d) subject, in the case of an Incremental Term Loan being used to finance a Limited Condition Acquisition, to Section 1.8, the conditions set forth in Section 3.2 shall be satisfied as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65 1312474.1 of the date of any increase in the Aggregate Revolving Commitments or establishment of any Incremental Term Loan; (e) subject, in the case of an Incremental Term Loan being used to finance a Limited Condition Acquisition, to Section 1.8, the Borrower shall have provided to the Administrative Agent a Pro Forma Compliance Certificate, in form an detail reasonably acceptable to the Administrative Agent, demonstrating compliance with the financial covenants in Article VI recomputed as of the end of the period of the four Fiscal Quarters most recently ended for which the Borrower has delivered financial statements pursuant to Section 5.1(a) or (b), after giving effect to such increase or Incremental Term Loan on a Pro Forma Basis; (f) the Administrative Agent shall have received all documents (including resolutions of the board of directors of the Loan Parties and opinions of counsel to the Loan Parties) it may reasonably request relating to such increase in the Aggregate Revolving Commitments or such establishment of such Incremental Term Loan, all in form and substance satisfactory to the Administrative Agent; (g) with respect to any Incremental Term Loan, (i) the final maturity date shall be no earlier than (x) the Latest Maturity Date or (y) the maturity date for any then-existing Incremental Term Loan and (ii) the weighted average life to maturity of such Incremental Term Loan shall not be shorter than the weighted average life to maturity of any then-existing Incremental Term Loan; (h) any increase in the Aggregate Revolving Commitments under this Section 2.23 shall have terms identical to those for the Revolving Loans under this Agreement, except for (i) upfront fees payable to the Lenders providing commitments for such increase and (ii) arrangement fees payable to the Arrangers or their Affiliates in connection with the establishment of such increase in the Aggregate Revolving Commitments; (i) no Lender shall have any obligation to increase its Revolving Commitment or provide any Incremental Term Loan Commitment, and any decision by a Lender to increase its Revolving Commitment or provide any Incremental Term Loan Commitment shall be made in its sole discretion independently from any other Lender; (j) the Borrower may designate a bank or other financial institution that is not already a Lender to provide all or any portion of any increase in the Aggregate Revolving Commitments or an Incremental Term Loan Commitment, so long as (i) such Person (an “Additional Lender”) becomes a party to this Agreement pursuant to a lender joinder agreement or other document in form and substance satisfactory to the Administrative Agent that has been executed by the Borrower and such Additional Lender, (ii) any such Person proposed by the Borrower to become an Additional Lender must be reasonably acceptable to the Administrative Agent and, if such Additional Lender is to provide a Revolving Commitment, each of the Issuing Bank and the Swingline Lender; (k) any increase in the Aggregate Revolving Commitments or establishment of an Incremental Term Loan shall be pursuant to a commitment agreement, joinder agreement or other document in form and substance reasonably acceptable to the Administrative Agent, and upon the effectiveness of such commitment agreement, joinder agreement or other document pursuant to the terms thereof, the Commitments, as applicable, shall automatically be increased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66 1312474.1 by the amount of the Commitments added through such commitment agreement, joinder agreement or other document and Schedule I shall automatically be deemed amended to reflect the Commitments of all Lenders after giving effect to the addition of such Commitments; and (l) with respect to any increase in the Aggregate Revolving Commitments, (i) each Lender providing a portion of the increase shall make Revolving Loans, the proceeds of which shall be applied by the Administrative Agent to prepay Revolving Loans of the existing Lenders, in an amount necessary such that after giving effect thereto each Lender will hold its Pro Rata Share of outstanding Revolving Loans (such payments to existing Lenders shall be subject to Section 2.19), and (ii) effective upon such increase, the amount of the participations held by each Lender in each Letter of Credit and each Swingline Loan then outstanding shall be adjusted automatically such that, after giving effect to such adjustments, the Lenders shall hold participations in each such Letter of Credit or such Swingline Loan in proportion to their respective Revolving Commitments. Section 2.24. Mitigation of Obligations. If any Lender requests compensation under Section 2.18, or if the Borrower is required to pay any additional amount to any Lender or any Governmental Authority for the account of any Lender pursuant to Section 2.20, then such Lender shall use reasonable efforts to designate a different lending office for funding or booking its Loans hereunder or to assign its rights and obligations hereunder to another of its offices, branches or affiliates, if, in the sole judgment of such Lender, such designation or assignment (i) would eliminate or reduce amounts payable under Section 2.18 or Section 2.20, as the case may be, in the future and (ii) would not subject such Lender to any unreimbursed cost or expense and would not otherwise be disadvantageous to such Lender. The Borrower hereby agrees to pay all costs and expenses incurred by any Lender in connection with such designation or assignment. Section 2.25. Replacement of Lenders. If (a) any Lender requests compensation under Section 2.18, (b) the Borrower is required to pay any additional amount to any Lender or any Governmental Authority of the account of any Lender pursuant to Section 2.20, (c) any Lender notifies the Borrower and Administrative Agent that it is unable to fund SOFR Loans pursuant to Sections 2.16 or 2.17, (d) a Lender (a “Non-Consenting Lender”) does not consent to a proposed change, waiver, discharge or termination with respect to any Loan Document that has been approved by the Required Lenders as provided in Section 11.2(b) but requires unanimous consent of all Lender or all the Lenders directly affected thereby (as applicable) or (e) if any Lender is a Defaulting Lender, then the Borrower may, at its sole expense and effort, upon notice to such Lender and the Administrative Agent, require such Lender to assign and delegate, without recourse (in accordance with and subject to the restrictions set forth in Section 11.4(b) all its interests, rights and obligations under this Agreement and the related Loan Documents to an assignee that shall assume such obligations (which assignee may be another Lender); provided, that (i) the Borrower shall have received the prior written consent of the Administrative Agent, which consent shall not be unreasonably withheld, (ii) such Lender shall have received payment of an amount equal to the outstanding principal amount of all Loans owed to it, accrued interest thereon, accrued fees and all other amounts payable to it hereunder, from the assignee (in the case of such outstanding principal and accrued interest) and from the Borrower (in the case of all other amounts), (iii) in the case of a claim for compensation under Section 2.18 or payments required to be made pursuant to Section 2.20, such assignment will result in a reduction in such compensation or payments, (iv) such assignment does not conflict with applicable Law and (v) in the case of any such assignment resulting from a Non-Consenting Lender’s failure to consent to a proposed change, waiver, discharge or termination with respect to any Loan Document, the applicable assignee consents to the proposed change, waiver, discharge or termination; provided that the failure by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67 1312474.1 such Non-Consenting Lender to execute and deliver an Assignment and Acceptance shall not impair the validity of the removal of such Non-Consenting Lender and the mandatory assignment of such Non- Consenting Lender’s Commitments and outstanding Loans pursuant to this Section 2.25 shall nevertheless be effective without the execution by such Non-Consenting Lender of an Assignment and Acceptance. A Lender shall not be required to make any such assignment and delegation if, prior thereto, as a result of a waiver by such Lender or otherwise, the circumstances entitling the Borrower to require such assignment and delegation cease to apply. Section 2.26. Reallocation and Cash Collateralization of Defaulting Lender Commitment. (a) If a Revolving Lender becomes, and during the period it remains, a Defaulting Lender, the following provisions shall apply, notwithstanding anything to the contrary in this Agreement: (i) the LC Exposure and Swingline Exposure of such Defaulting Lender will, subject to the limitation in the first proviso below, automatically be reallocated (effective on the day such Revolving Lender becomes a Defaulting Lender) among the Non-Defaulting Lenders pro rata in accordance with their respective Revolving Commitments (calculated as if the Defaulting Lender’s Revolving Commitment was reduced to zero and each Non-Defaulting Lender’s Revolving Commitment had been increased proportionately); provided that (A) the sum of each Non-Defaulting Lender’s total Revolving Credit Exposure may not in any event exceed the Revolving Commitment of such Non-Defaulting Lender as in effect at the time of such reallocation and (B) neither such reallocation nor any payment by a Non-Defaulting Lender pursuant thereto will constitute a waiver or release of any claim the Borrower, the Administrative Agent, the Issuing Bank, the Swingline Lender or any other Lender may have against such Defaulting Lender or cause such Defaulting Lender to be a Non-Defaulting Lender; and (ii) to the extent that any portion (the “unreallocated portion”) of the LC Exposure and Swingline Exposure of any Defaulting Lender cannot be reallocated pursuant to clause (i) because of the limitation described in clause (a)(i)(A), the Borrower will, not later than ten (10) Business Days after demand by the Administrative Agent (at the direction of the Issuing Bank and/or the Swingline Lender), (A) Cash Collateralize the obligations of the Defaulting Lender to the Issuing Bank or Swingline Lender in respect of such LC Exposure or Swingline Exposure, as the case may be, in an amount at least equal to the aggregate amount of the unreallocated portion of the LC Exposure and Swingline Exposure of such Defaulting Lender, (B) in the case of such Swingline Exposure, prepay and/or Cash Collateralize in full the unreallocated portion thereof, or (C) make other arrangements satisfactory to the Administrative Agent, the Issuing Bank and the Swingline Lender in their sole discretion to protect them against the risk of non- payment by such Defaulting Lender. (b) If the Borrower, the Administrative Agent, the Issuing Bank and the Swingline Lender agree in writing in their discretion that any Defaulting Lender has ceased to be a Defaulting Lender, the Administrative Agent will so notify the parties hereto, whereupon as of the effective date specified in such notice and subject to any conditions set forth therein, the LC Exposure and the Swingline Exposure of the other Lenders shall be readjusted to reflect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68 1312474.1 inclusion of such Lender’s Commitment, and such Lender will purchase at par such portion of outstanding Revolving Loans of the other Lenders and/or make such other adjustments as the Administrative Agent may determine to be necessary to cause the Revolving Credit Exposure of the Lenders to be on a pro rata basis in accordance with their respective Revolving Commitments, whereupon such Lender will cease to be a Defaulting Lender and will be a Non- Defaulting Lender (and such Revolving Credit Exposure of each Lender will automatically be adjusted on a prospective basis to reflect the foregoing). If any cash collateral has been posted with respect to the LC Exposure or Swingline Exposure of such Defaulting Lender, the Administrative Agent will promptly return such cash collateral to the Borrower; provided that no adjustments will be made retroactively with respect to fees accrued or payments made by or on behalf of the Borrower while such Lender was a Defaulting Lender; and provided, further, that except to the extent otherwise expressly agreed by the affected parties, no change hereunder from Defaulting Lender to Non-Defaulting Lender will constitute a waiver or release of any claim of any party hereunder arising from such Lender’s having been a Defaulting Lender. Section 2.27. Extension. (a) The Borrower may on one or more occasions after the Closing Date, by written notice to the Administrative Agent, make one or more offers (each, an “Extension Offer”) to all the Lenders of one or more Class of Loans (each class subject to such an Extension Offer, an “Extension Request Class”) to enter into one or more Extension Permitted Amendments pursuant to procedures reasonably specified by the Administrative Agent and reasonably acceptable to the Borrower. Such notice shall set forth (i) the terms and conditions of the requested Extension Permitted Amendment(s) and (ii) the date on which such Extension Permitted Amendment(s) are requested to become effective (which shall not be less than five (5) Business Days nor more than thirty (30) Business Days after the date of such notice, unless otherwise agreed to by the Administrative Agent). Extension Permitted Amendments shall become effective only with respect to the Loans and Commitments of the Lenders of the Extension Request Class that accept the applicable Extension Offer (such Lenders, the “Extending Lenders”) and, in the case of any Extending Lender, only with respect to such Lender’s Loans and Commitments of such Extension Request Class as to which such Lender’s acceptance has been made. The Borrower shall have the right to withdraw any Extension Offer upon written notice to the Administrative Agent in the event that the aggregate amount of Loans and Commitments of the Extending Lenders is less than the aggregate amount specified by the Borrower in the Extension Offer to be extended. (b) An Extension Permitted Amendment shall be effected pursuant to an Extension Agreement executed and delivered by the Borrower, each applicable Extending Lender and the Administrative Agent; provided that no Extension Permitted Amendment shall become effective unless (i) no Default or Event of Default shall have occurred and be continuing on the date of effectiveness thereof, (ii) on the date of effectiveness thereof, the representations and warranties of each Loan Party set forth in the Loan Documents shall be true and correct (A) in the case of the representations and warranties qualified as to materiality, in all respects, and (B) otherwise, in all material respects, in each case on and as of such date, except in the case of any such representation and warranty that specifically relates to an earlier date, in which case such representation and warranty shall be so true and correct on and as of such earlier date, and (iii) the Borrower shall have delivered to the Administrative Agent such customary legal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69 1312474.1 opinions, board resolutions, secretary’s certificates, officer’s certificates and other customary documents as shall reasonably be requested by the Administrative Agent in connection therewith. The Administrative Agent shall promptly notify each Lender as to the effectiveness of each Extension Agreement. Each Extension Agreement may, without the consent of any Lender other than the applicable Extending Lenders, effect such amendments to this Agreement and the other Loan Documents as may be necessary or appropriate, in the opinion of the Administrative Agent, to give effect to the provisions of this Section 2.27, including any amendments necessary to treat the applicable Loans and/or Commitments of the accepting Lenders as a new “Class” of loans and/or commitments hereunder; provided that, except as otherwise agreed to by the Issuing Lender and the Swingline Lender, (i) the allocation of the participation exposure with respect to any then-existing or subsequently issued or made Letter of Credit or Swingline Loan as between the commitments of such new “Class” and the remaining Commitments shall be made on a ratable basis as between the commitments of such new “Class” and the remaining Commitments and (ii) the Revolving Commitment Termination Date, as such term is used in reference to Letters of Credit or Swingline Loans, may not be extended without the prior written consent of the Issuing Lender and the Swingline Lender, as applicable. ARTICLE III CONDITIONS PRECEDENT TO LOANS AND LETTERS OF CREDIT Section 3.1. Conditions to Effectiveness. This Agreement and the obligations of the Lenders (including the Swingline Lender) to make Loans and the obligation of the Issuing Bank to issue any Letter of Credit hereunder shall be effective upon satisfaction of the following conditions precedent in each case in form and substance satisfactory to the Administrative Agent and each Lender: (a) Loan Documents. Receipt by the Administrative Agent of a counterpart of this Agreement and the other Loan Documents signed by or on behalf of each party hereto or thereto or written evidence satisfactory to the Administrative Agent (which may include telecopy transmission of such signed signature page) that such party has signed a counterpart of this Agreement and the other Loan Documents to which such party is a party. (b) Organization Documents; Resolutions and Certificates. Receipt by the Administrative Agent of: (i) a certificate of the secretary or assistant secretary of each Loan Party, attaching and certifying copies of such Loan Party’s Organization Documents and resolutions of its board of directors (or equivalent governing body), authorizing the execution, delivery and performance of the Loan Documents to which it is a party and certifying the name, title and true signature of each officer of such Loan Party executing the Loan Documents to which it is a party; and (ii) certified copies of the articles or certificate of incorporation, certificate of organization or limited partnership, or other registered organizational documents of each Loan Party, together with certificates of good standing or existence, as may be available from the secretary of state of the jurisdiction of organization of such Loan Party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70 1312474.1 and each other jurisdiction where such Loan Party is required to be qualified to do business as a foreign corporation. (c) Opinions of Counsel. Favorable written opinions of counsel to the Loan Parties addressed to the Administrative Agent, the Issuing Bank and each of the Lenders, and covering such matters relating to the Loan Parties, the Loan Documents and the transactions contemplated therein in form and substance satisfactory to the Administrative Agent. (d) Officer’s Closing Certificate. A certificate, dated the Closing Date and signed by a Responsible Officer of the Borrower, certifying that after giving effect to the funding of any Revolving Loans on the Closing Date, the conditions specified in Sections 3.2(a) and (b) are satisfied as of the Closing Date. (e) Required Consents and Approvals. The Administrative Agent shall have received evidence that all approvals, consents, exemptions, authorizations, or other actions by, or notices to, or filings with, any Governmental Authority in connection with the execution, delivery or performance by, or enforcement against, any Loan Party of this Agreement or any other Loan Document have been obtained. (f) Patriot Act; Anti-Money Laundering Laws; Beneficial Ownership. The provision by the Loan Parties of all documentation and other information that the Administrative Agent or such Lender requests in order to comply with its ongoing obligations under applicable “know your customer” and anti-money laundering rules and regulations, including the Patriot Act and, if Borrower qualifies as a “legal entity customer” under the Beneficial Ownership Regulation, a Beneficial Ownership Certification in relation to Borrower. (g) Fees and Expenses. The Administrative Agent shall have received payment of all fees, expenses and other amounts due and payable on or prior to the Closing Date, including without limitation reimbursement or payment of all out-of-pocket expenses of the Administrative Agent and the Arrangers (including reasonable fees, charges and disbursements of counsel to the Administrative Agent) required to be reimbursed or paid by the Borrower hereunder, under any other Loan Document and under any agreement with the Administrative Agent or the Arrangers. (h) Without limiting the generality of the provisions of Section 3.1, for purposes of determining compliance with the conditions specified in this Section 3.1, each Lender that has signed this Credit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Closing Date specifying its objection thereto. Section 3.2. Each Credit Event. The obligation of each Lender to make a Loan on the occasion of any Borrowing and of the Issuing Bank to issue, amend, renew or extend any Letter of Credit is subject to the satisfaction of the following conditions and in the case of an Incremental Term Loan being used to finance a Limited Condition Acquisition, to Section 1.8: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71 1312474.1 (a) at the time of and immediately after giving effect to such Borrowing or the issuance, amendment, renewal or extension of such Letter of Credit, as applicable, no Default or Event of Default shall exist; (b) at the time of and immediately after giving effect to such Borrowing or the issuance, amendment, renewal or extension of such Letter of Credit, as applicable, all representations and warranties of each Loan Party set forth in the Loan Documents shall be true and correct in all material respects (other than those representations and warranties that are expressly qualified by a Material Adverse Effect or other materiality, in which case such representations and warranties shall be true and correct in all respects), except to the extent that such representations and warranties specifically refer to an earlier date, in which case they shall be true and correct in all material respects (other than those representations and warranties that are expressly qualified by a Material Adverse Effect or other materiality, in which case such representations and warranties shall be true and correct in all respects) as of such earlier date; (c) the Borrower shall have delivered the required Notice of Borrowing; (d) to the extent any 364 Day Bridge Senior Unsecured Indebtedness is outstanding, after giving effect to such Borrowing, the Borrower is in compliance with clause (b) of the definition of 364 Day Bridge Senior Unsecured Indebtedness; and (e) if any Revolving Lender is a Defaulting Lender at the time of any request by the Borrower of a Borrowing of a Swingline Loan or the issuance, amendment, renewal or extension of a Letter of Credit, as applicable, set forth in this Section 3.2, the Issuing Bank will not be required to issue, amend or increase any Letter of Credit and the Swingline Lender will not be required to make any Swingline Loans, unless they are satisfied that 100% of the related LC Exposure and Swingline Exposure is fully covered or eliminated pursuant to Section 2.26. Each Borrowing and each issuance, amendment, extension or renewal of any Letter of Credit shall be deemed to constitute a representation and warranty by the Borrower on the date thereof as to the matters specified in paragraphs (a) and (b) of this Section 3.2. Section 3.3. Delivery of Documents. All of the Loan Documents, certificates, legal opinions and other documents and papers referred to in this Article III, unless otherwise specified, shall be delivered to the Administrative Agent for the account of each of the Lenders and in sufficient counterparts or copies for each of the Lenders and shall be in form and substance satisfactory in all respects to the Administrative Agent. Section 3.4. Termination of Existing Credit Facility. Upon this Agreement becoming effective, the Existing Credit Agreement shall automatically terminate (other than those provisions that by their terms survive termination of the Existing Credit Agreement), all commitments of the lenders thereunder to fund additional advances shall terminate automatically, and all amounts outstanding thereunder, together with all accrued and unpaid interest, fees and other amounts shall be automatically paid in full by the initial Borrowing hereunder.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72 1312474.1 ARTICLE IV REPRESENTATIONS AND WARRANTIES The Borrower represents and warrants to the Administrative Agent and each Lender as follows: Section 4.1. Existence; Power. The Borrower and each of its Restricted Subsidiaries (a) is duly organized, validly existing and in good standing as a corporation, partnership or limited liability company under the Laws of the jurisdiction of its organization, (b) has all requisite power and authority to carry on its business as now conducted, (c) is duly qualified to do business, and is in good standing, in each jurisdiction where such qualification is required, except where a failure to be so qualified could not reasonably be expected to result in a Material Adverse Effect, (d) have obtained and maintain in good standing without restriction all required licenses, permits, authorizations, registrations, approvals and certificates of authority of each Governmental Authority necessary to the conduct of their business, (e) to the extent prudent and customary in the industry in which it is engaged, have obtained and maintain in good standing without restriction, accreditation from all applicable recognized accrediting agencies, (f) have implemented and maintain a compliance program designed to provide effective internal controls to promote adherence to and to prevent and detect material violations of Laws applicable to the Borrower and any of its Restricted Subsidiaries, including any applicable HMO Regulations, Medicaid Regulations and Medicare Regulations and (g) have implemented and maintain policies consistent with HIPAA and the HITECH Act on or before the date that any provision thereof becomes applicable to the Borrower or any Restricted Subsidiary; except in each case referred to in clauses (d) – (g) hereof to the extent that failure to do so could not reasonably be expected to have a Material Adverse Effect. Section 4.2. Organizational Power; Authorization. The execution, delivery and performance by each Loan Party of the Loan Documents to which it is a party are within such Loan Party’s organizational powers and have been duly authorized by all necessary organizational, and if required, shareholder, partner or member, action. This Agreement has been duly executed and delivered by each Loan Party, and constitutes, and each other Loan Document to which any Loan Party is party, when executed and delivered by such Loan Party, will constitute a legal, valid and binding obligation of each Loan Party, enforceable against such Loan Party, in accordance with their respective terms, except as may be limited by applicable bankruptcy, insolvency, reorganization, moratorium, or similar laws affecting the enforcement of creditors’ rights generally and by general principles of equity. Section 4.3. Governmental Approvals; No Conflicts. The execution, delivery and performance by each Loan Party of this Agreement, and by each Loan Party of the other Loan Documents to which it is a party (a) do not require any consent or approval of, registration or filing with, or any action by, any Governmental Authority, except those as have been obtained or made and are in full force and effect, (b) will not violate the Organization Documents of any Loan Party or any Law applicable to the Borrower or any of its Restricted Subsidiaries or any judgment, order or ruling of any Governmental Authority, (c) will not violate or result in a default under any indenture, agreement or other instrument binding on the Borrower or any of its Restricted Subsidiaries or any of its assets or give rise to a right thereunder to require any payment to be made by the Borrower or any of its Restricted Subsidiaries, (d) will not result in the creation or imposition of any Lien on any asset of the Borrower or any of its Restricted Subsidiaries, except Liens (if any) created under the Loan Documents, (e) will not result in a suspension or revocation of, or limitation on, any material certificate of authority, license, permit, authorization or other approval applicable to the business, operations or properties of the Borrower or any Restricted Subsidiary 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73 1312474.1 the extent such suspension, revocation or limitation is material to the business of the Borrower and its Restricted Subsidiaries, taken as a whole, or material adversely affect the ability of the Borrower and its Restricted Subsidiaries, taken as a whole, to participate in, or contract with, any material Medical Reimbursement Program. Section 4.4. Financial Statements. The Borrower has furnished to each Lender (a) the Audited Financial Statements and (b) the Interim Financial Statements. Such financial statements fairly present the consolidated financial condition of the Borrower and its Subsidiaries as of such dates and the consolidated results of operations for such periods in conformity with GAAP consistently applied, subject to year end audit adjustments and the absence of footnotes in the case of the statements referred to in clause (b). The financial statements delivered pursuant to Section 5.1(a) and (b) have been prepared in accordance with GAAP and present fairly (on the basis disclosed in the footnotes to such financial statements) the consolidated financial condition, results of operations and cash flows of the Borrower and its Subsidiaries as of the dates thereof and for the periods covered thereby. Since the date of the Audited Financial Statements, there have been no changes with respect to the Borrower and its Subsidiaries which have had or could reasonably be expected to have, singly or in the aggregate, a Material Adverse Effect. Section 4.5. Litigation and Environmental Matters. (a) No litigation, investigation or proceeding of or before any arbitrators or Governmental Authorities is pending against or, to the knowledge of any Responsible Officer of the Loan Parties, threatened against or affecting the Borrower or any of its Restricted Subsidiaries (i) as to which there is a reasonable possibility of an adverse determination that could reasonably be expected to have, either individually or in the aggregate, a Material Adverse Effect or (ii) which in any manner draws into question the validity or enforceability of this Agreement or any other Loan Document. (b) Neither the Borrower nor any of its Restricted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 except, in each case, for such failures or Environmental Liabilities that could not reasonably be expected to have, either individually or in the aggregate, a Material Adverse Effect. (c) To the knowledge of the Responsible Officers of the Borrower, none of the Borrower or any Restricted Subsidiary, nor any of their current respective officers, directors, or employees, have engaged (and no Responsible Officer of a Loan Party has received written notice from a Contract Provider that such Contract Provider has engaged) in any activities that constitute prohibited acts of fraud under Medicare Regulations or Medicaid Regulations where such activities have resulted, or the Borrower has reasonably determined in good faith it could reasonably be expected to result, in a Material Adverse Effect and the Borrower has not taken action within a reasonable period of time after discovery of such activities, to suspend or remove such persons from responsibilities relating to such activities or to ensure that such activities are no longer reasonably expected to result in a Material Adverse Effect. Section 4.6. Compliance with Laws and Agreements. The Borrower and each Restricted Subsidiary is in compliance (and no Responsible Officer of any Loan Party has received notice from a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74 1312474.1 Contract Provider that such Contract Provider is not in compliance) with (a) all material Laws and all judgments, decrees and orders of any Governmental Authority and (b) all indentures, agreements or other instruments binding upon it or its properties, except where non-compliance, either individually or in the aggregate, could not reasonably be expected to result in a Material Adverse Effect. Without limiting the foregoing, current billing policies, arrangements, protocols and instructions of each of the Borrower and its Restricted Subsidiaries comply in all material respects with requirements of the Medical Reimbursement Programs and are currently administered by properly trained personnel. Section 4.7. No Default. (a) Neither the Borrower nor any Restricted Subsidiary is in default under or with respect to any Contractual Obligation that could reasonably be expected to have a Material Adverse Effect. (b) No Default has occurred and is continuing. Section 4.8. Investment Company Act, Etc. (a) Neither the Borrower nor any of its Restricted Subsidiaries is an “investment company” or is “controlled” by an “investment company”, as such terms are defined in, or subject to regulation under, the Investment Company Act of 1940, as amended. (b) Neither the Borrower nor any of its Restricted Subsidiaries (other than any HMO Subsidiary or Insurance Subsidiary) is subject to any other regulatory scheme limiting its ability to incur debt or requiring any approval or consent from or registration or filing with, any Governmental Authority in connection therewith. Section 4.9. Taxes. The Borrower and its Restricted Subsidiaries and each other Person for whose taxes the Borrower or any Restricted Subsidiary could become liable have timely filed or caused to be filed all federal, state and other material tax returns required to be filed by them, and have paid all federal, state and other material taxes, assessments made against it or its property and all other taxes, fees or other charges imposed on it or any of its property by any Governmental Authority, except where the same are currently being contested in good faith by appropriate proceedings and for which the Borrower or such Restricted Subsidiary, as the case may be, has set aside on its books adequate reserves in accordance with GAAP. The charges, accruals and reserves on the books of the Borrower and its Restricted Subsidiaries in respect of such taxes are adequate, and no tax liabilities that could be materially in excess of the amount so provided are anticipated. Section 4.10. Margin Regulations. None of the proceeds of any of the Loans or Letters of Credit will be used, directly or indirectly, for “purchasing” or “carrying” any “margin stock” with the respective meanings of each of such terms under Regulation U or for any purpose that violates the provisions of the Regulation T, U or X. Neither the Borrower nor its Restricted Subsidiaries is engaged principally, or as one of its important activities, in the business of extending credit for the purpose of purchasing or carrying “margin stock.” Section 4.11. ERISA. No ERISA Event has occurred or is reasonably expected to occur that, when taken together with all other such ERISA Events for which liability is reasonably expected to occur, could reasonably be expected to result in a Material Adverse Effect. The present value of all accumulated benefit obligations under each Plan (based on the assumptions used for purposes of Statement of Financial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75 1312474.1 Standards No. 87) did not, as of the date of the most recent financial statements reflecting such amounts, exceed the fair market value of the assets of such Plan, and the present value of all accumulated benefit obligations of all underfunded Plans (based on the assumptions used for purposes of Statement of Financial Standards No. 87) did not, as of the date of the most recent financial statements reflecting such amounts, exceed the fair market value of the assets of all such underfunded Plans. Section 4.12. Ownership of Property. (a) Each of the Borrower and its Restricted Subsidiaries has good title to, or valid leasehold interests in, all of its real and personal property material to the operation of its business, including all such properties reflected in the Audited Financial Statements or the most recent audited consolidated balance sheet of the Borrower delivered pursuant to Section 5.1(a) or purported to have been acquired by the Borrower or any Restricted Subsidiary after said date (except as sold or otherwise disposed of in the ordinary course of business), in each case free and clear of Liens not permitted by this Agreement. All leases that individually or in the aggregate are material to the business or operations of the Borrower and its Restricted Subsidiaries are valid and subsisting and are in full force. (b) Each of the Borrower and its Restricted Subsidiaries owns, or is licensed, or otherwise has the right, to use, all patents, trademarks, service marks, trade names, copyrights and other intellectual property material to its business, and the use thereof by the Borrower and its Restricted Subsidiaries does not infringe in any material respect on the rights of any other Person. (c) The properties of the Borrower and its Restricted Subsidiaries are insured with financially sound and reputable insurance companies which are not Affiliates of the Borrower, in such amounts with such deductibles and covering such risks as are customarily carried by companies engaged in similar businesses and owning similar properties in localities where the Borrower or any applicable Restricted Subsidiary operates. Section 4.13. Disclosure. (a) Each Loan Party has disclosed to the Lenders all agreements, instruments, and corporate or other restrictions to which it or any of its Restricted Subsidiaries is subject, and all other matters known to any of them, that, individually or in the aggregate, could reasonably be expected to result in a Material Adverse Effect. None of the reports (including without limitation all reports that any Loan Party is required to file with the SEC), financial statements, certificates or other information furnished by or on behalf of any Loan Party to the Administrative Agent or any Lender in connection with the negotiation or syndication of this Agreement or any other Loan Document or delivered hereunder or thereunder (as modified or supplemented by any other information so furnished) contains any material misstatement of fact or omits to state any material fact necessary to make the statements therein, taken as a whole, in light of the circumstances under which they were made, not misleading; provided, that, with respect to projected financial information, the Borrower represents only that such information was prepared in good faith based upon assumptions believed to be reasonable at the time. (b) As of the Closing Date, the information included in the Beneficial Ownership Certification, to the extent any has been delivered, is true and correct in all respects.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76 1312474.1 Section 4.14. Labor Relations. All payments due from the Borrower or any of its Restricted Subsidiaries pursuant to the provisions of any collective bargaining agreement have been paid or accrued as a liability on the books of the Borrower or any such Restricted Subsidiary, except where the failure to do so could not reasonably be expected to have a Material Adverse Effect. Section 4.15. Subsidiaries. Schedule 4.15 sets forth (i) the name of, the ownership interest of each Loan Party in, the jurisdiction of incorporation or organization of, and the type of, each Subsidiary and identifies each Subsidiary that is a Loan Party, in each case as of the Closing Date and (ii) whether such Subsidiary is an Insurance Subsidiary, HMO Subsidiary or Unrestricted Subsidiary. All issued and outstanding Capital Stock of the Borrower and each of its Restricted Subsidiaries is duly authorized and validly issued, fully paid, non-assessable, as applicable, and free and clear of all Liens other than those in favor of the Administrative Agent, for the benefit of the holders of the Obligations. All such securities were issued in compliance with all applicable state and federal Laws concerning the issuance of securities. As of the Closing Date, all of the issued and outstanding Capital Stock of each of the Subsidiaries was owned by the Persons and in the amounts set forth on Schedule 4.15. Except as set forth on Schedule 4.15, as of the Closing Date, there were no pre-emptive or other outstanding rights, options, warrants, conversion rights or other similar agreements or understandings for the purchase or acquisition of any Capital Stock of the Borrower or any of its Restricted Subsidiaries. Section 4.16. Solvency. After giving effect to the execution and delivery of the Loan Documents, the making of the Loans under this Agreement, the Borrower is Solvent and the Loan Parties are Solvent on a consolidated basis. Section 4.17. Licensing and Accreditation. Except where the failure to do so could not reasonably be expected to have a Material Adverse Effect, each of the Borrower and the Restricted Subsidiaries, and to the knowledge of the Responsible Officers of the Loan Parties, each Contract Provider (i) has obtained (or been duly assigned) all required certificates of need or determinations of need as required by the relevant state Governmental Authority for the acquisition, construction, expansion of, investment in or operation of its businesses as currently operated; (ii) has obtained and maintains accreditation from one or more generally recognized accreditation agencies where such accreditation is customary in the industry in which it is engaged; (iii) in the case of each HMO Subsidiary, has entered into and maintains in good standing its contract with CMS or such other agreement to be able to provide managed health care services to Medicare or Medicaid; and (iv) has taken all necessary action to obtain, preserve and maintain each certificate of authority, license, permit, authorization and other approval of any Governmental Authority required for the conduct of its business and material to the business of the Borrower and its Restricted Subsidiaries taken as a whole, and all of such certificates, licenses, permits, authorizations or approvals are in full force and effect and have not been revoked or suspended or otherwise limited, including action to obtain, preserve and maintain with respect to each HMO Subsidiary all certificates of authority, licenses, permits, authorizations and other approvals required under the HMO Regulations or other regulations issued by the applicable Governmental Authority, including approvals required to ensure that such HMO Subsidiary and Insurance Subsidiary is eligible for all reimbursements available under the HMO Regulations or other regulations issued by the applicable Governmental Authority, and all of such certificates, licenses, permits, authorizations or approvals are in full force and effect and have not been revoked or suspended or otherwise limited. To the knowledge of the Responsible Officers of the Loan Parties, each Contract Provider is duly licensed (where license is required) by each state or state agency or commission, or any other Governmental Authority having jurisdiction over the provisions of such services by such Person in the locations in which the Loan Parties conduct business, required to enable such Person to provide the professional services provided by such Person and otherwise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77 1312474.1 as is necessary to enable the Loan Parties to operate as currently operated and as presently contemplated to be operated except to the extent that the failure to do so could not reasonably be expected to have a Material Adverse Effect. To the knowledge of the Responsible Officers of the Loan Parties, all such required licenses are in full force and effect on the date hereof and have not been revoked or suspended or otherwise limited except to the extent that the failure to do so could not reasonably be expected to have a Material Adverse Effect. Section 4.18. Anti-Corruption Laws and Sanctions. The Borrower has implemented and maintains in effect policies and procedures designed to ensure compliance in all material respects by the Borrower, its Subsidiaries and their respective directors, officers, employees and agents with Anti- Corruption Laws, and the Borrower, its Subsidiaries and their respective directors, officers and employees and to the knowledge of the Borrower its agents, are in compliance with Anti-Corruption Laws. None of (a) the Borrower, any Subsidiary or any of their respective directors, officers or employees, or (b) to the knowledge of the Borrower, any agent of the Borrower or any Subsidiary that will act in any capacity in connection with or benefit from the credit facilities established hereby, is a Sanctioned Person. No Borrowing or Letter of Credit, use of proceeds or other Transactions will violate Anti-Corruption Laws or applicable Sanctions. Section 4.19. Subordination of Subordinated Debt. This Agreement, and all amendments, modifications, extensions, renewals, refinancings and refundings hereof, constitute the “Senior Credit Agreement” within the meaning of the applicable Subordinated Debt Document; this Agreement, together with each of the other Loan Documents and all amendments, modifications, extensions, renewals, refinancings and refundings hereof and thereof, constitute “Senior Loan Documents” within the meaning of the applicable Subordinated Debt Document; and the Loans and all other Obligations of the Borrower to the Lenders and the Administrative Agent under this Agreement and all other Loan Documents, and all amendments, modifications, extensions, renewals, refinancings or refundings of any of the foregoing, constitute “Senior Indebtedness” of the Borrower within the meaning of the applicable Subordinated Debt Document, and the holders thereof from time to time shall be entitled to all of the rights of a holder of “Senior Indebtedness” pursuant to the applicable Subordinated Debt Document. Section 4.20. Medicare and Medicaid Notices and Filings Related to Business. Except where the failure to do so could not reasonably be expected to have a Material Adverse Effect, each of the Borrower and the HMO Subsidiaries has timely filed (a) all reports and other filings required to be filed in connection with the Medicare and Medicaid programs in which they participate, and all such reports and filings are true and complete in all material respects, and (b) all material reports, data and other information required by any other Governmental Authority with authority to regulate it or its business or operations in any manner. Except to the extent any such action could not reasonably be expected to result in a Material Adverse Effect, (i) there are no claims, actions, proceedings or appeals pending (and none of the Borrower or any Restricted Subsidiary has made any filing that would result in any claims, actions, proceedings or appeals) before any Governmental Authority with respect to any Medicare or Medicaid reports or claims filed by the Borrower or any Restricted Subsidiary on or before the date hereof, or with respect to any adjustments, denials, recoupments or disallowances by any intermediary, carrier, other insurer, commission, board or agency in connection with any cost reports or claims, and (ii) no validation review, survey, inspection, audit, investigation or program integrity review related to the Borrower or any Restricted Subsidiary has been conducted by any Governmental Authority or government contractor in connection with Medicare or Medicaid, and no such reviews are scheduled, pending or, to the knowledge of the Borrower, threatened against or affecting the Borrower or any Restricted Subsidiary.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78 1312474.1 Section 4.21. No Affected Financial Institutions. No Loan Party is an Affected Financial Institution. ARTICLE V AFFIRMATIVE COVENANTS Each Loan Party covenants and agrees that so long as any Lender has a Commitment hereunder, any Obligation remains unpaid or outstanding, or any Letter of Credit shall remain outstanding, such Loan Party shall and shall cause each Restricted Subsidiary to: Section 5.1. Financial Statements and Other Information. Deliver to the Administrative Agent and each Lender: (a) as soon as available and in any event within 90 days after the end of each Fiscal Year, a copy of the annual audited report for such Fiscal Year for the Borrower and its Subsidiaries, containing a consolidated balance sheet of the Borrower and its Subsidiaries as of the end of such Fiscal Year and the related consolidated statements of income or operations, changes in stockholders’ equity and cash flows (together with all footnotes thereto) of the Borrower and its Subsidiaries for such Fiscal Year, setting forth in each case in comparative form the figures for the previous Fiscal Year, all in reasonable detail and reported on by independent public accountants of nationally recognized standing (without a “going concern” or like qualification, exception or explanation and without any qualification or exception as to scope of such audit) to the effect that such financial statements present fairly in all material respects the financial condition and the results of operations of the Borrower and its Subsidiaries for such Fiscal Year on a consolidated basis in accordance with GAAP and that the examination by such accountants in connection with such consolidated financial statements has been made in accordance with generally accepted auditing standards; (b) as soon as available and in any event within 45 days after the end of each Fiscal Quarter, an unaudited consolidated balance sheet of the Borrower and its Subsidiaries as of the end of such Fiscal Quarter and the related unaudited consolidated statements of income or operations, changes in stockholders’ equity and cash flows of the Borrower and its Subsidiaries for such Fiscal Quarter and the then elapsed portion of such Fiscal Year, setting forth in each case in comparative form the figures for the corresponding quarter and the corresponding portion of Borrower’s previous Fiscal Year, all in reasonable detail and prepared in accordance with GAAP, such consolidated statements to be certified by the chief executive officer, chief financial officer, treasurer or controller of the Borrower as presenting fairly the financial condition, results of operations, stockholders’ equity and cash flows of the Borrower and its Subsidiaries in accordance with GAAP, subject only to normal year-end audit adjustments and the absence of footnotes; (c) concurrently with the delivery of the financial statements referred to in clauses (a) and (b) above, a Compliance Certificate signed by the principal executive officer or the principal financial officer of the Borrower (i) certifying as to whether there exists a Default or Event of Default on the date of such certificate, and if a Default or an Event of Default then exists, (ii) setting forth in reasonable detail calculations demonstrating compliance with the financial covenants set forth in Article VI, (iii) certifying that as of the date thereof, all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79 1312474.1 representations and warranties of each Loan Party set forth in the Loan Documents are true and correct in all material respects (other than those representations and warranties that are expressly qualified by a Material Adverse Effect or other materiality, in which case such representations and warranties are true and correct in all respects), except to the extent that such representations and warranties specifically refer to an earlier date, in which case they are true and correct in all material respects (other than those representations and warranties that are expressly qualified by a Material Adverse Effect or other materiality, in which case such representations and warranties shall be true and correct in all respects) as of such earlier date, (iv) stating whether any change in GAAP or the application thereof has occurred since the date of the Audited Financial Statements (or, if later, the date of the most recent audited financial statements delivered pursuant to Section 5.1(a)), and if any change has occurred, specifying the effect of such change on the financial statements accompanying such Compliance Certificate, (v) specifying any change in the identity of the Subsidiaries as of the end of such Fiscal Year or Fiscal Quarter from the Subsidiaries identified to the Lenders on the Closing Date or as of the most recent Fiscal Year or Fiscal Quarter, as the case may be and (vi) if the Borrower has designated any of its Subsidiaries as Unrestricted Subsidiaries, then the quarterly and annual financial information required by clauses (a) and (b) of this Section 5.1 shall include a reasonably detailed presentation, either on the face of the financial statements or in the footnotes thereto, of the financial condition and results of operations of the Borrower and its Restricted Subsidiaries separate from the financial condition and results of operations of the Unrestricted Subsidiaries of the Borrower. (d) as soon as available and in any event within 60 days after the end of the Fiscal Year, a pro forma budget for the succeeding Fiscal Year, containing (i) an income statement, balance sheet and statement of cash flow of the Borrower and its Restricted Subsidiaries and (ii) a statement of cash flow of the Borrower only; (e) promptly after the same become publicly available, copies of all periodic and other reports, proxy statements and other materials filed with the SEC, or with any national securities exchange, or distributed by the Borrower to its stockholders generally, as the case may be; (f) as soon as available and in any event within 15 days of the required date for delivery to the applicable state after the end of each fiscal year of the Borrower, annual financial statements of each HMO Subsidiary and Insurance Subsidiary as filed with the applicable HMO Regulator; (g) as soon as available and in any event within 15 days of the required date for delivery to the applicable state after the end of each fiscal quarter of the Borrower, quarterly financial statements of each HMO Subsidiary and Insurance Subsidiary as filed with the applicable HMO Regulator; and (h) promptly following any request therefor, such other information regarding the results of operations, business affairs and financial condition of the Borrower or any Subsidiary as the Administrative Agent or any Lender may reasonably request. If at any time the Borrower is required to file periodic reports under Section 13(a) or Section 15(d) of the Securities Exchange Act of 1934, as amended, Borrower may satisfy its obligation 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80 1312474.1 deliver the financial statements referred to in clauses (a) and (b) above by delivering such financial statements by electronic mail to such e-mail addresses as the Administrative Agent and Lenders shall have provided to Borrower from time to time. Section 5.2. Notices of Material Events. Furnish to the Administrative Agent and each Lender prompt written notice of the following: (a) the occurrence of any Default or Event of Default; (b) the filing or commencement of, or any material development in, any action, suit, investigation or proceeding by or before any arbitrator or Governmental Authority against or, to the knowledge of the Borrower, affecting the Borrower or any Restricted Subsidiary which, if adversely determined, could reasonably be expected to result in a Material Adverse Effect; (c) the occurrence of any event or any other development by which the Borrower or any of its Restricted Subsidiaries (i) fails to comply with any Environmental Law or to obtain, maintain or comply with any permit, license or other approval required under any Environmental Law, (ii) becomes subject to any Environmental Liability, (iii) receives notice of any claim with respect to any Environmental Liability, or (iv) becomes aware of any basis for any Environmental Liability and in each of the preceding clauses, which individually or in the aggregate, could reasonably be expected to result in a Material Adverse Effect; (d) the occurrence of any ERISA Event that alone, or together with any other ERISA Events that have occurred, could reasonably be expected to result in liability of the Borrower and its Restricted Subsidiaries in an aggregate amount exceeding $100,000,000; (e) any other development that results in, or could reasonably be expected to result in, a Material Adverse Effect; (f) not later than five (5) Business Days after receipt of official written notice, any development that has resulted in, or could reasonably be expected to result in, an Exclusion Event, including any notice by the OIG of exclusion or proposed exclusion of the Borrower or any Restricted Subsidiary from any Medical Reimbursement Program in which it participates, and any other development that has resulted in, or could reasonably be expected to result in, a Material Adverse Effect; (g) not later than five (5) Business Days after receipt of official written notice, commencement of any material non-routine audit or investigation of the Borrower or any Restricted Subsidiary by any regulatory authority, including any Governmental Authority or HMO Regulator, and commencement of any proceeding or other action against the Borrower or any Restricted Subsidiary, in each case, that could reasonably be expected to result in a suspension, revocation or termination of any contract of the Borrower or any Restricted Subsidiary with respect to a Medical Reimbursement Program to the extent such suspension, revocation or termination is material to the Borrower and its Restricted Subsidiaries taken as a whole; (h) receipt by the Borrower or any Restricted Subsidiary of (i) any notice of suspension or forfeiture of any material certificate of authority or similar license of any HMO Subsidiary to the extent such suspension or forfeiture is material to the Borrower and its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81 1312474.1 Restricted Subsidiaries, taken as a whole and (ii) to the extent permitted by law, rule or regulation, any other material notice of deficiency, compliance order or adverse report issued by any regulatory authority, including any HMO Regulator, or private insurance company pursuant to a provider agreement that, if not promptly complied with or cured, could reasonably be expected to result in the suspension or forfeiture of any certification, license, permit, authorization or other approval necessary for such HMO Subsidiary to carry on its business as then conducted or in the termination of any insurance or reimbursement program then available to any HMO Subsidiary, in each case to the extent such suspension, termination or forfeiture is material to the Borrower and its Restricted Subsidiaries, taken as a whole; and (i) following any request therefor, provide information and documentation reasonably requested by the Administrative Agent or any Lender for purposes of compliance with applicable “know your customer” and anti-money-laundering rules and regulations, including, without limitation, the Patriot Act and the Beneficial Ownership Regulation. Each notice delivered under this Section 5.2 shall be accompanied by a written statement of a Responsible Officer setting forth the details of the event or development requiring such notice and any action taken or proposed to be taken with respect thereto. Section 5.3. Existence; Conduct of Business. (a) Do or cause to be done all things necessary to preserve, renew and maintain in full force and effect its legal existence and its respective rights, licenses, permits, privileges, franchises, patents, copyrights, trademarks and trade names material to the conduct of its business; provided, that nothing in this Section 5.3 shall prohibit any merger, consolidation, liquidation or dissolution permitted under Section 7.3; and (b) Engage in the business of the type conducted by the Borrower and its Restricted Subsidiaries on the date hereof and businesses reasonably related thereto. Section 5.4. Compliance with Laws, Etc. Comply with all Laws applicable to its business and properties, including without limitation, all Environmental Laws, ERISA, Titles XVIII and XIX of the Social Security Act, Medicare Regulations, Medicaid Regulations, the Anti-Kickback Statute, self-referral law requirements, including the requirements of the Stark Law, HMO Regulations, HIPAA, the HITECH Act, and OSHA, except where the failure to do so, either individually or in the aggregate, could not reasonably be expected to result in a Material Adverse Effect. Section 5.5. Payment of Obligations. Pay and discharge at or before maturity, all of its obligations and liabilities (including without limitation all taxes, assessments and other governmental charges, levies and all other claims that could result in a statutory Lien) before the same shall become delinquent or in default, except where (a) the validity or amount thereof is being contested in good faith by appropriate proceedings, (b) the Borrower or such Restricted Subsidiary has set aside on its books adequate reserves with respect thereto in accordance with GAAP and (c) the failure to make payment pending such contest could not reasonably be expected to result in a Material Adverse Effect. Section 5.6. Books and Records. Keep proper books of record and account in which full, true and correct entries shall be made of all dealings and transactions in relation to its business and activities to the extent necessary to prepare the consolidated financial statements of the Borrower and its Subsidiaries in conformity with GAAP.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82 1312474.1 Section 5.7. Visitation, Inspection, Etc. Permit any representative of the Administrative Agent or any Lender, to visit and inspect its properties, to examine its books and records and to make copies and take extracts therefrom, and to discuss its affairs, finances and accounts with any of its officers and with its independent certified public accountants, all at such reasonable times and as often as the Administrative Agent or any Lender may reasonably request after reasonable prior notice to the Borrower; provided, if a Default or an Event of Default has occurred and is continuing, no prior notice shall be required. Section 5.8. Maintenance of Properties; Insurance. (a) Keep and maintain all property material to the conduct of its business in good working order and condition, ordinary wear and tear excepted; and (b) Maintain with financially sound and reputable insurance companies not Affiliates of the Borrower, insurance with respect to its properties and business, and the properties and business of its Restricted Subsidiaries, against loss, damage and risk of the kinds customarily insured against by companies in the same or similar businesses operating in the same or similar locations. Section 5.9. Use of Proceeds; Margin Regulations. Use the proceeds of all Revolving Loans to refinance Indebtedness under the Existing Credit Agreement, finance working capital needs, Permitted Acquisitions, capital expenditures and for other general corporate purposes of the Borrower and its Subsidiaries. No part of the proceeds of any Loan will be used, whether directly or indirectly, for any purpose that would violate any rule or regulation of the Board of Governors of the Federal Reserve System, including Regulations T, U or X. All Letters of Credit will be used for general corporate purposes. The Borrower will not request any Borrowing or Letter of Credit, and the Borrower shall not use, and the Borrower shall ensure that its Subsidiaries and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 Section 5.10. Guarantees by Material Domestic Subsidiaries. The Borrower shall notify the Administrative Agent and the Lenders of any Material Domestic Subsidiary that exists as of the date for which the Borrower delivers financial statements pursuant to Section 5.1(a) or (b) and, within thirty (30) Business Days (or such longer period approved by the Administrative Agent in its sole discretion) after delivery of such financial statements, cause such Material Domestic Subsidiary to become a Guarantor. A Material Domestic Subsidiary shall become a Guarantor by executing and delivering to the Administrative Agent a Guarantor Joinder Agreement in form and substance reasonably satisfactory to the Administrative Agent, accompanied by (a) all other Loan Documents related thereto, (b) certified copies of Organization Documents, appropriate authorizing resolutions of the board of directors of such Subsidiaries, and opinions of counsel comparable to those delivered pursuant to Section 3.1(c), and (c) such other documents as the Administrative Agent may reasonably request. Notwithstanding the foregoing, upon the guarantee by any Subsidiary of any Indebtedness incurred pursuant to Section 7.1(k), concurrently with the provision of such guarantee, to the extent such Subsidiary is not a Guarantor hereunder, cause such Subsidiary to become a Guarantor by complying with this Section 5.10.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83 1312474.1 Section 5.11. Material Licenses. Obtain and maintain all Material Licenses for each Restricted Subsidiary. Section 5.12. Unrestricted Subsidiaries. (a) The Borrower may designate any of its Restricted Subsidiaries to be an Unrestricted Subsidiary if that designation would not cause a Default and if that designation otherwise is consistent with this definition of an Unrestricted Subsidiary. If a Restricted Subsidiary is designated as an Unrestricted Subsidiary, the Fair Market Value of all outstanding Investments owned by the Borrower and its Restricted Subsidiaries in the Subsidiary properly designated shall be deemed to be an Investment made as of the time of the designation and will either reduce the amount available for Restricted Payments under Section 7.5 or be an Investment permitted under Section 7.4, as determined by the Borrower; provided that no designation of an Unrestricted Subsidiary may be made in reliance on Section 7.5(c). Such designation will only be permitted if the Investment would be permitted at that time and if the Restricted Subsidiary otherwise meets the definition of an Unrestricted Subsidiary. (b) Any designation of a Subsidiary of the Borrower as an Unrestricted Subsidiary shall be evidenced by the Borrower’s delivery to the Administrative Agent a certified copy of a resolution of the board of directors of the Borrower giving effect to such designation and a certificate of a Responsible Officer certifying that such designation complied with the preceding conditions and was permitted by Section 7.5. If, at any time, any Unrestricted Subsidiary would fail to meet the requirements of an Unrestricted Subsidiary, it will thereafter cease to be an Unrestricted Subsidiary for purposes of this Agreement, and any Indebtedness of such Subsidiary will be deemed to be incurred by a Restricted Subsidiary of the Borrower as of such date and, if such Indebtedness is not permitted to be incurred as of such date under Section 7.1, the Borrower will be in default of Section 7.1 unless such Unrestricted Subsidiary is made to meet such requirements. (c) The Borrower may at any time designate any Unrestricted Subsidiary to be a Restricted Subsidiary of the Borrower; provided that such designation will be deemed to be an incurrence of Indebtedness and Liens by a Restricted Subsidiary of the Borrower of any outstanding Indebtedness and Liens of such Unrestricted Subsidiary, and such designation will only be permitted if (x) such Indebtedness and Liens are permitted under Sections 7.1 and 7.2, (y) the Borrower shall have delivered to the Administrative Agent a Pro Forma Compliance Certificate demonstrating that after giving effect to such designation on a Pro Forma Basis, the Loan Parties would be in compliance with the financial covenants set forth in Article VI recomputed as of the end of the period of the four Fiscal Quarters most recently ended for which the Borrower has delivered financial statements pursuant to Section 5.1(a) or (b); and (z) no Default or Event of Default would be in existence following such designation. ARTICLE VI FINANCIAL COVENANTS Each Loan Party covenants and agrees that so long as any Lender has a Commitment hereunder, any Obligation remains unpaid or outstanding, or any Letter of Credit shall remain outstanding, no Loan Party shall, nor shall it permit any Restricted Subsidiary to, directly or indirectly: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84 1312474.1 Section 6.1. Consolidated Net Leverage Ratio. Permit the Consolidated Net Leverage Ratio as of the end of each Fiscal Quarter, commencing with the Fiscal Quarter ending June 30, 2020, to be greater than 4.00:1.0. Section 6.2. Consolidated Interest Coverage Ratio. Permit the Consolidated Interest Coverage Ratio as of the end of each Fiscal Quarter, commencing with the Fiscal Quarter ending June 30, 2020, to be less than 3.50:1.00. ARTICLE VII NEGATIVE COVENANTS Each Loan Party covenants and agrees that so long as any Lender has a Commitment hereunder, any Obligation remains unpaid or outstanding, or any Letter of Credit shall remain outstanding, no Loan Party shall, nor shall it permit any Restricted Subsidiary to, directly or indirectly: Section 7.1. Indebtedness and Preferred Equity. Create, incur, assume or suffer to exist any Indebtedness, except: (a) Indebtedness created pursuant to the Loan Documents; (b) Indebtedness of the Borrower or any Restricted Subsidiary existing on the date hereof and set forth on Schedule 7.1 and extensions, renewals and replacements of any such Indebtedness that do not increase the outstanding principal amount thereof (immediately prior to giving effect to such extension, renewal or replacement) or shorten the maturity or the weighted average life thereof; (c) Indebtedness of the Borrower or any Restricted Subsidiary incurred to finance the acquisition, construction or improvement of any fixed or capital assets, including Finance Lease Liabilities; provided, that such Indebtedness is incurred prior to or within 90 days after such acquisition or the completion of such construction or improvements or extensions, renewals, and replacements of any such Indebtedness that do not increase the outstanding principal amount thereof (immediately prior to giving effect to such extension, renewal or replacement) or shorten the maturity or the weighted average life thereof; provided further, that the aggregate principal amount of such Indebtedness does not exceed at any time outstanding, the greater of (i) $150,000,000 and (ii) 3.0% of the value of Consolidated Total Assets; (d) Indebtedness of the Borrower owing to any Restricted Subsidiary and of any Restricted Subsidiary owing to the Borrower or any other Restricted Subsidiary; provided, that any such Indebtedness that is owed by the Borrower or a Restricted Subsidiary that is not a Loan Party shall be subject to Section 7.4; (e) Guarantees by the Borrower of Indebtedness of any Restricted Subsidiary and by any Restricted Subsidiary of Indebtedness of the Borrower or any other Restricted Subsidiary; provided, that Guarantees by any Loan Party of Indebtedness of any Restricted Subsidiary that is not a Loan Party shall be subject to Section 7.4; (f) Hedging Obligations permitted by Section 7.10;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85 1312474.1 (g) Indebtedness under letters of credit not issued under this Agreement in an aggregate amount not to exceed, at the time of incurrence of any such Indebtedness, $150,000,000 (the “Additional Letters of Credit”); (h) the Existing Notes; (i) Indebtedness of Persons acquired in Permitted Acquisitions (the “Acquired Indebtedness”) in an aggregate amount not to exceed, at the time of incurrence of any such Acquired Indebtedness, the greater of (A) $75,000,000 and (B) 1.5% of Consolidated Total Assets, provided that such Acquired Indebtedness (i) shall exist prior to the applicable Permitted Acquisition and shall not have been incurred in anticipation of the applicable Permitted Acquisition, (ii) neither the Borrower nor any of its Restricted Subsidiaries that was not an obligor with respect to such Indebtedness prior to such Person becoming a Restricted Subsidiary of the Borrower shall become an obligor for such Indebtedness and (iii) such Indebtedness shall not be secured by a Lien on any Property of the Borrower or any Restricted Subsidiary that did not secure such Indebtedness prior to such Person becoming a Restricted Subsidiary of the Borrower; (j) other secured Indebtedness of the Borrower and its Restricted Subsidiaries, provided that, (i) no Default or Event of Default shall have occurred and be continuing or result from the incurrence of such Indebtedness, (ii) the documents governing such secured Indebtedness shall not contain covenants (including quantitative covenants and financial covenants) which are more restrictive than the covenants contained in this agreement, (iii) the final maturity date, any mandatory prepayment or mandatory redemption of such secured Indebtedness shall be no earlier than ninety-one (91) days after the Latest Maturity Date or the latest maturity date applicable to any Incremental Term Loan, (iv) the weighted average life to maturity of such secured Indebtedness shall not be shorter than the weighted average life to maturity of any Incremental Term Loan outstanding as of the time of the issuance thereof and (v) the aggregate principal amount of such Indebtedness shall not exceed, at the time of incurrence of any such Indebtedness, the greater of (A) $75,000,000 and (B) 2.5% of the value of Consolidated Total Assets; (k) Permitted Subordinated Debt and unsecured Indebtedness of the Borrower and its Restricted Subsidiaries, provided that (i) after giving effect thereto on a Pro Forma Basis the Borrower and its Restricted Subsidiaries are in compliance with the financial covenants as set forth in Article VI recomputed as of the end of the period of the four Fiscal Quarters most recently ended for which the Borrower has delivered financial statements pursuant to Section 5.1(a) or (b), (ii) no Default or Event of Default shall have occurred and be continuing or result from the incurrence of such Indebtedness, (iii) the documents governing such unsecured Indebtedness shall not contain covenants (including quantitative covenants and financial covenants) which are more restricted than the covenants contained in this Agreement, (iv) the final maturity date, any mandatory prepayment or mandatory redemption of such unsecured Indebtedness shall be no earlier than ninety-one (91) days after the Latest Maturity Date or the latest maturity date applicable to any Incremental Term Loan and (v) the weighted average life to maturity of such unsecured Indebtedness shall not be shorter than the weighted average life to maturity of any Incremental Term Loan outstanding as of the time of the issuance thereof; provided, that clauses (iv) and (v) shall not apply to Bridge Senior Unsecured Indebtedness;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86 1312474.1 (l) the 364 Day Bridge Senior Unsecured Indebtedness. Section 7.2. Negative Pledge. Create, incur, assume or suffer to exist any Lien on any of its assets or property now owned or hereafter acquired or, except: (a) Liens securing the Obligations pursuant to the Loan Documents (if any); (b) Permitted Encumbrances; (c) any Liens on any property or assets of the Borrower or its Restricted Subsidiaries existing on the Closing Date set forth on Schedule 7.2; provided, that such Lien shall not apply to any other property or asset of the Borrower or any Restricted Subsidiary; (d) purchase money Liens upon or in any fixed or capital assets to secure the purchase price or the cost of construction or improvement of such fixed or capital assets or to secure Indebtedness incurred solely for the purpose of financing the acquisition, construction or improvement of such fixed or capital assets (including Liens securing any Finance Lease Liabilities); provided, that (i) such Lien secured Indebtedness permitted by Section 7.1(c), (ii) such Lien attaches to such asset concurrently or within 90 days after the acquisition, improvement or completion of the construction thereof, (iii) such Lien does not extend to any other asset; and (iv) the Indebtedness secured thereby does not exceed the cost of acquiring, constructing or improving such fixed or capital assets; (e) extensions, renewals, or replacements of any Lien referred to in paragraphs (a) through (d) of this Section 7.2; provided, that the principal amount of the Indebtedness secured thereby is not increased and that any such extension, renewal or replacement is limited to the assets originally encumbered thereby; (f) Liens securing Acquired Indebtedness permitted under Section 7.1(i), provided that (i) such Liens do not at any time encumber any property other than property of the Person acquired in the applicable Permitted Acquisition at the time of such Permitted Acquisition and (ii) such Liens shall exist prior to the applicable Permitted Acquisition and shall not be incurred in anticipation of the applicable Permitted Acquisition; (g) Liens securing Indebtedness permitted by Section 7.1(j); (h) Liens in cash and Permitted Investments securing the reimbursement and related obligations under Additional Letters of Credit; (i) normal and customary rights of setoff upon deposits of cash in favor of banks or other depository institutions; and (j) customary escrow arrangements and segregated accounts (to the extent such segregated account is deemed to have incurred an encumbrance in connection with any covenants applicable to the proceeds contained in such segregated account), in each case, permitted by the definition of Specified Cash.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87 1312474.1 Section 7.3. Fundamental Changes. (a) Merge into or consolidate into any other Person, or permit any other Person to merge into or consolidate with it, or sell, lease, transfer or otherwise dispose of (in a single transaction or a series of transactions) all or substantially all of its assets (in each case, whether now owned or hereafter acquired) or any line of business or all or substantially all of the stock of any of its Restricted Subsidiaries (in each case, whether now owned or hereafter acquired) or liquidate or dissolve; provided, that if at the time thereof and immediately after giving effect thereto, no Default or Event of Default shall have occurred and be continuing, (i) the Borrower or any Restricted Subsidiary may merge with a Person pursuant to a Permitted Acquisition if the Borrower (or such Restricted Subsidiary if the Borrower is not a party to such merger) is the surviving Person, (ii) any Restricted Subsidiary may merge into another Restricted Subsidiary, provided, that if any party to such merger is a Guarantor, the Guarantor shall be the surviving Person, (iii) any Restricted Subsidiary may sell, transfer, lease or otherwise dispose of all or substantially all of its assets to any Loan Party, (iv) any Restricted Subsidiary (other than a Guarantor) may liquidate or dissolve if the Borrower determines in good faith that such liquidation or dissolution is in the best interests of the Borrower and is not materially disadvantageous to the Lenders and (v) any HMO Subsidiary and Insurance Subsidiary may merge with any other HMO Subsidiary, Insurance Subsidiary or Subsidiary of an HMO Subsidiary or Insurance Subsidiary; provided that (x) its assets are all disposed of pursuant to Section 2.12(a) and (y) any such merger involving a Person that is not a wholly-owned Restricted Subsidiary immediately prior to such merger shall not be permitted unless also permitted by Section 7.4. (b) Engage in any business other than businesses of the type conducted by the Borrower and its Restricted Subsidiaries on the date hereof and businesses reasonably related thereto. Section 7.4. Investments, Loans, Etc. Make any Investment, except: (a) Investments (other than Permitted Investments) existing on the date hereof and set forth on Schedule 7.4 (including Investments in Subsidiaries); (b) Permitted Investments; (c) Investments in any Person that is a Loan Party prior to giving effect to such Investment; (d) Investments by any Restricted Subsidiary that is not a Loan Party in any other Restricted Subsidiary that is not a Loan Party; (e) Guarantees by Borrower or any Restricted Subsidiary constituting Indebtedness permitted by Section 7.1; (f) Hedging Transactions permitted by Section 7.10; (g) Permitted Acquisitions;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88 1312474.1 (h) Investments in any HMO Subsidiary or Insurance Subsidiary (i) reasonably related to causing such HMO Subsidiary or Insurance Subsidiary to comply with (A) minimum statutory capital requirements applicable to such HMO Subsidiary or Insurance Subsidiary or (B) the minimum amount of capital required to be maintained under Material Contracts applicable to such HMO Subsidiary or Insurance Subsidiary or (ii) in connection with a Permitted Acquisition, but solely to extent necessary for such HMO Subsidiary or Insurance Subsidiary to consummate such Permitted Acquisition; (i) Guarantees of Contractual Obligations of any HMO Subsidiary or Excluded Subsidiary entered into in the ordinary course of business; and (j) other Investments which in the aggregate do not exceed the greater of (i) $60,000,000 or (ii) 2.0% of Consolidated Total Assets at any time outstanding. Section 7.5. Restricted Payments. Declare or make, or agree to pay or make, directly or indirectly, any Restricted Payment, except for: (a) dividends payable by the Borrower solely in shares of any class of its common stock; (b) Restricted Payments, of the type referred to in clause (a) of such definition, made by any Restricted Subsidiary to Persons that own Capital Stock in such Restricted Subsidiary, on a pro rata basis according to their respective holdings of the type of Capital Stock in respect of which such Restricted Payment is being made with any other shareholders if such Restricted Subsidiary is not wholly owned by the Borrower and other wholly owned Restricted Subsidiaries; (c) any Restricted Payment (other than Restricted Investments in Unrestricted Subsidiaries), so long as, at the time of such Restricted Payment (i) no Default or Event of Default has occurred and is continuing and (ii) after giving effect to such Restricted Payment on a Pro Forma Basis (x) the Loan Parties would be in compliance with the financial covenants set forth in Article VI recomputed as of the end of the period of the four Fiscal Quarters most recently ended for which the Borrower has delivered financial statements pursuant to Section 5.1(a) or (b) and (y) the Consolidated Net Leverage Ratio recomputed as of the end of the period of the four Fiscal Quarters most recently ended for which the Borrower has delivered financial statements pursuant to Section 5.1(a) or (b) shall be less than 2.50:1.00; (d) any Restricted Payment, so long as, at the time of such Restricted Payment (i) no Default or Event of Default has occurred and is continuing and (ii) the aggregate amount of all Restricted Payments made pursuant to this clause (d) shall not to exceed $250,000,000 in the aggregate during the term of this Agreement; and (e) any other Restricted Payment, unless, at the time of and after giving effect to such Restricted Payment on a Pro Forma Basis: (x) no Default or Event of Default has occurred and is continuing, (y) after giving effect to such Restricted Payment on a Pro Forma Basis the Consolidated Fixed Charge Coverage Ratio recomputed as of the end of the period of the four Fiscal Quarters most recently ended for which the Borrower has delivered financial statements pursuant to Section 5.1(a) or (b) shall be greater than 2.00:1.0; and (z) such Restricted Payment, together with the aggregate amount of all Restricted Payments made by the Borrower and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89 1312474.1 Restricted Subsidiaries after the Closing Date pursuant to clause (c) and (d), is less than the sum, without duplication, of: (i) $500,000,000, plus (ii) 50% of Consolidated Net Income for the period (taken as one accounting period) from January 1, 2020 through and including the date of the most recent balance sheet included in the financial statements delivered by the Borrower pursuant to Section 5.1(a) or (b) at the time of such Restricted Payment (or, if such Consolidated Net Income for such period is a deficit, less 100% of such deficit), plus (iii) 100% of the aggregate net cash proceeds (or the Fair Market Value of property other than cash) received by the Borrower since the Closing Date as a contribution to its common equity capital or from the issuance or sale of Capital Stock of the Borrower (other than the issuance of Disqualified Stock) or from the issuance or sale of convertible or exchangeable Disqualified Stock or convertible or exchangeable debt securities of the Borrower, in either case, that have been converted into or exchanged for such Capital Stock of the Borrower (other than Capital Stock or Disqualified Stock or debt securities sold to a Subsidiary of the Borrower), plus (iv) to the extent that any Restricted Investment that was made after the Closing Date is (A) sold for cash or otherwise cancelled, liquidated or repaid for cash, the cash proceeds received with respect to such Restricted Investment (less the cost of disposition, if any) or (B) made in an entity that subsequently becomes a Restricted Subsidiary, an amount equal to the Fair Market Value of the Restricted Investments owned by the Borrower and its Restricted Subsidiaries in such entity at the time such entity becomes a Restricted Subsidiary, plus (v) 100% of the aggregate net cash proceeds (or the Fair Market Value of property other than cash) received by the Borrower since the Closing Date by means of (A) the sale (other than to the Borrower or a Restricted Subsidiary) of the Capital Stock of an Unrestricted Subsidiary or (B) a distribution or dividend from an Unrestricted Subsidiary (other than in each case to the extent such Investment constituted an Investment permitted under Section 7.4), in each case to the extent that such amounts were not otherwise included in the Consolidated Net Income for such period, plus (vi) in case, after the Closing Date, any Unrestricted Subsidiary has been redesignated as a Restricted Subsidiary under the terms of this Agreement or has been merged, consolidated or amalgamated with or into, or transfers or conveys assets to, or is liquidated into the Borrower or a Restricted Subsidiary, an amount equal to the Fair Market Value of the Restricted Investments owned by the Borrower and its Restricted Subsidiaries in such Unrestricted Subsidiary at the time of the redesignation, combination or transfer (or of the assets transferred or conveyed, as applicable). Section 7.6. Sale of Assets. Make any Asset Sale, except the sale or other disposition of such assets that (i) have consideration of at least 75% of which is cash or Permitted Investments; provided, that, any Designated Non-cash Consideration received by the Borrower or any of its Restricted Subsidiaries in such Asset Sale having an aggregate Fair Market Value, taken together with all other Designated Non-cash Consideration received pursuant to this clause (i) that is at that time outstanding not in excess of the greater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90 1312474.1 of (x) $200,000,000 and (y) 3.5% of Consolidated Total Assets at the time of the receipt of such Designated Non-cash Consideration (determined based on the most recently ended fiscal quarter for which internal financial statements are available and with the Fair Market Value of each item of Designated Non- cash Consideration being measured at the time received and without giving effect to subsequent changes in value) shall be deemed to be cash for purposes of this Section 7.6 but for no other purpose and (ii) such consideration, at the time such Asset Sale is agreed to, is at least equal to the Fair Market Value of the assets being sold, transferred, leased or disposed of. Section 7.7. Transactions with Affiliates. Sell, lease or otherwise transfer any property or assets to, or purchase, lease or otherwise acquire any property or assets from, or otherwise engage in any other transactions with, any of its Affiliates, except (a) in the ordinary course of business at prices and on terms and conditions not less favorable to the Borrower or such Restricted Subsidiary than could be obtained on an arm’s-length basis from unrelated third parties, (b) transactions between or among the Loan Parties and (c) any Restricted Payment permitted by Section 7.5. Section 7.8. Restrictive Agreements. Enter into, incur or permit to exist any agreement (other than any Contractual Obligation binding on any HMO Subsidiary or Insurance Subsidiary) that prohibits, restricts or imposes any condition upon (a) the ability of the Borrower or any Restricted Subsidiary to create, incur or permit any Lien upon any of its assets or properties, whether now owned or hereafter acquired, or (b) the ability of any Restricted Subsidiary to pay dividends or other distributions with respect to its Capital Stock, to make or repay loans or advances to the Borrower or any other Restricted Subsidiary, to Guarantee Indebtedness of the Borrower or any other Restricted Subsidiary or to transfer any of its property or assets to the Borrower or any Restricted Subsidiary of the Borrower; provided, that (i) the foregoing shall not apply to restrictions or conditions imposed by Law or by this Agreement or any other Loan Document, (ii) the foregoing shall not apply to customary restrictions and conditions contained in agreements relating to the sale of a Restricted Subsidiary pending such sale, provided such restrictions and conditions apply only to the Restricted Subsidiary that is sold and such sale is permitted hereunder, (iii) clause (a) shall not apply to restrictions or conditions imposed by any agreement relating to secured Indebtedness or Finance Lease Liabilities permitted by this Agreement so long as such restrictions and conditions apply only to the property or assets securing such Indebtedness and (iv) clause (a) shall not apply to customary provision in leases restricting the assignment thereof. Section 7.9. Reserved. Section 7.10. Hedging Transactions. Enter into any Hedging Transaction, other than Hedging Transactions entered into in the ordinary course of business to hedge or mitigate risks to which the Borrower or any Restricted Subsidiary is exposed in the conduct of its business or the management of its liabilities. Solely for the avoidance of doubt, the Borrower acknowledges that a Hedging Transaction entered into for speculative purposes or of a speculative nature (which shall be deemed to include any Hedging Transaction under which the Borrower or any of the Restricted Subsidiaries is or may become obliged to make any payment (i) in connection with the purchase by any third party of any Capital Stock or any Indebtedness or (ii) as a result of changes in the market value of any Capital Stock or any Indebtedness) is not a Hedging Transaction entered into in the ordinary course of business to hedge or mitigate risks. Section 7.11. Reserved. Section 7.12. Amendment to Organization Documents. Amend, modify or waive any of its rights in a manner materially adverse to the Lenders or any Loan Party under its Organization Documents.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91 1312474.1 Section 7.13. Amendments and Prepayment of Other Indebtedness. (a) The Borrower will not, and will not permit any of its Restricted Subsidiaries to, prepay, redeem, repurchase or otherwise acquire for value any Permitted Subordinated Debt other than payments of principal, interest or other payments on any Permitted Subordinated Debt to the extent permitted by the subordination provisions of the Subordinated Debt Documents. (b) The Borrower will not, and will not permit any of its Restricted Subsidiaries to, make any prepayment of the Existing Notes, unless before and after giving effect to any prepayment, no Default or Event of Default shall have occurred and be continuing. (c) The Borrower will not, and will not permit any of its Restricted Subsidiaries to, agree to or permit any amendment, modification or waiver of any provision of any Indebtedness if as amended, modified or waived, such Indebtedness would not be permitted under Section 7.01. (d) The Borrower will not, and will not permit any of its Restricted Subsidiaries to, agree to or permit any amendment, modification or waiver of any provision of any Subordinated Debt Document if the effect of such amendment, modification or waiver is to (i) increase the yield on such Permitted Subordinated Debt or change (to earlier dates) the dates upon which principal and interest are due thereon, (ii) alter the redemption, prepayment or subordination provisions thereof, (iii) alter the covenants and events of default in a manner that would make such provisions more onerous or restrictive to the Borrower or any such Restricted Subsidiary or (iv) otherwise increase the obligations of the Borrower or any Restricted Subsidiary in respect of such Permitted Subordinated Debt or confer additional rights upon the holders thereof which individually or in the aggregate would be adverse to the Borrower or any of its Restricted Subsidiaries or to the Administrative Agent or the Lenders. Section 7.14. Accounting Changes. Make any significant change in accounting treatment or reporting practices, except as required or permitted by GAAP, or change the Fiscal Year of the Borrower or of any of its Restricted Subsidiaries, except to change the fiscal year of a Restricted Subsidiary to conform its fiscal year to that of the Borrower. Section 7.15. Government Regulation. The Borrower will not, and will not permit any of its Subsidiaries to, (a) be or become subject at any time to any law, regulation or list of any Governmental Authority of the United States (including, without limitation, the OFAC list) that prohibits or limits the Lenders or the Administrative Agent from making any advance or extension of credit to the Borrower or from otherwise conducting business with the Loan Parties, or (b) fail to provide documentary and other evidence of the identity of the Loan Parties as may be requested by the Lenders or the Administrative Agent at any time to enable the Lenders or the Administrative Agent to verify the identity of the Loan Parties or to comply with any applicable law or regulation, including, without limitation, Section 326 of the Patriot Act at 31 U.S.C. Section 5318. Section 7.16. Ownership of Subsidiaries. Notwithstanding any other provisions of this Agreement to the contrary, the Borrower will not, and will not permit any of the Restricted Subsidiaries to permit any Person (other than the Borrower or any wholly owned Restricted Subsidiary) to own any Capital Stock of any Restricted Subsidiary, except to qualify directors if required by applicable Law.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92 1312474.1 Section 7.17. Use of Proceeds. (a) Use any part of the proceeds of any Loan, whether directly or indirectly, for any purpose that would violate any rule or regulation of the Board of Governors of the Federal Reserve System, including Regulations T, U or X. (b) Request any Borrowing or Letter of Credit, or use or allow its respective directors, officers, employees and agents to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ARTICLE VIII EVENTS OF DEFAULT Section 8.1. Events of Default. If any of the following events (each an “Event of Default”) shall occur: (a) any Loan Party shall fail to pay any principal of any Loan or of any reimbursement obligation in respect of any LC Disbursement when and as the same shall become due and payable, whether at the due date thereof or at a date fixed for prepayment or otherwise; or (b) any Loan Party shall fail to pay any interest on any Loan or any fee or any other amount (other than an amount payable under clause (a) of this Section 8.1 or an amount related to a Bank Product Obligation) payable under this Agreement or any other Loan Document, when and as the same shall become due and payable, and such failure shall continue unremedied for a period of three (3) Business Days; or (c) any representation or warranty made or deemed made by or on behalf of the Borrower or any Restricted Subsidiary in or in connection with this Agreement or any other Loan Document (including the Schedules attached thereto) and any amendments or modifications hereof or waivers hereunder, or in any certificate, report, financial statement or other document submitted to the Administrative Agent or the Lenders by any Loan Party or any representative of any Loan Party pursuant to or in connection with this Agreement or any other Loan Document shall prove to be incorrect in any material respect (other than a representation or warranty that is expressly qualified by a Material Adverse Effect or materiality, in which case such representation or warranty shall prove to be incorrect in all respects) when made or deemed made or submitted; or (d) any Loan Party shall fail to observe or perform any covenant or agreement contained in Section 5.1, 5.2, 5.3, 5.7, 5.8, 5.9 or 5.10 or Articles VI or VII; provided that, solely with respect to compliance with Section 6.3 as of the end of any Fiscal Year, if, in connection with the filing by a Restricted Subsidiary of a statutory financial statement with any Governmental Authority as required by Law, the Borrower or any Restricted Subsidiary discovers that such Restricted Subsidiary was not in compliance with Section 6.3 as of the end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93 1312474.1 of such Fiscal Year, then the Borrower will not be in default of Section 6.3 if the Borrower demonstrates to the Administrative Agent’s reasonable satisfaction that the Borrower has cured all such violations within 5 days after the date on which the Borrower or such Restricted Subsidiary has filed its statutory financial statements with such Governmental Authority; or (e) any Loan Party shall fail to observe or perform any covenant or agreement contained in this Agreement (other than those referred to in clauses (a), (b) and (d) above) or any other Loan Document, and such failure shall remain unremedied for 30 days after the earlier of (i) any officer of any Loan Party becomes aware of such failure, or (ii) notice thereof shall have been given to any Loan Party by the Administrative Agent or any Lender; or (f) the subordination provisions of the documents evidencing or governing any subordinated Indebtedness shall, in whole or in part, terminate, cease to be effective or cease to be legally valid, binding and enforceable against any holder of the applicable subordinated Indebtedness; or (g) the Borrower or any Restricted Subsidiary (whether as primary obligor or as guarantor or other surety) shall fail to pay any principal of, or premium or interest on, any Material Indebtedness that is outstanding, when and as the same shall become due and payable (whether at scheduled maturity, required prepayment, acceleration, demand or otherwise), and such failure shall continue after the applicable grace period, if any, specified in the agreement or instrument evidencing or governing such Indebtedness; or any other event shall occur or condition shall exist under any agreement or instrument relating to such Indebtedness and shall continue after the applicable grace period, if any, specified in such agreement or instrument, if the effect of such event or condition is to accelerate, or permit the acceleration of, the maturity of such Indebtedness; or any such Indebtedness shall be declared to be due and payable, or required to be prepaid or redeemed (other than by a regularly scheduled required prepayment or redemption), purchased or defeased, or any offer to prepay, redeem, purchase or defease such Indebtedness shall be required to be made, in each case prior to the stated maturity thereof; or (h) the Borrower or any Restricted Subsidiary shall (i) commence a voluntary case or other proceeding or file any petition seeking liquidation, reorganization or other relief under any federal, state or foreign bankruptcy, insolvency or other similar Law now or hereafter in effect or seeking the appointment of a custodian, trustee, receiver, liquidator or other similar official of it or any substantial part of its property, (ii) consent to the institution of, or fail to contest in a timely and appropriate manner, any proceeding or petition described in clause (i) of this Section 8.1, (iii) apply for or consent to the appointment of a custodian, trustee, receiver, liquidator or other similar official for the Borrower or any such Restricted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or (i) an involuntary proceeding shall be commenced or an involuntary petition shall be filed seeking (i) liquidation, reorganization or other relief in respect of the Borrower or any Restricted Subsidiary or its debts, or any substantial part of its assets, under any federal, state or foreign bankruptcy, insolvency or other similar Law now or hereafter in effect or (ii) the appointment of a custodian, trustee, receiver, liquidator or other similar official for the Borrower or any Restricted Subsidiary or for a substantial part of its assets, and in any such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94 1312474.1 case, such proceeding or petition shall remain undismissed for a period of 60 days or an order or decree approving or ordering any of the foregoing shall be entered; or (j) the Borrower or any Restricted Subsidiary shall become unable to pay or shall admit in writing its inability to pay its debts as they become due; or (k) an ERISA Event shall have occurred that, in the opinion of the Required Lenders, when taken together with other ERISA Events that have occurred, could reasonably be expected to result in liability to the Borrower and the Restricted Subsidiaries in an aggregate amount exceeding $100,000,000; or (l) any judgment or order for the payment of money in excess of $100,000,000, individually or in the aggregate, shall be rendered against the Borrower or any Restricted Subsidiary, and either (i) enforcement proceedings shall have been commenced by any creditor upon such judgment or order or (ii) there shall be a period of 30 consecutive days during which a stay of enforcement of such judgment or order, by reason of a pending appeal or otherwise, shall not be in effect; or (m) any non-monetary judgment or order shall be rendered against the Borrower or any Restricted Subsidiary that could reasonably be expected to have a Material Adverse Effect, and there shall be a period of 30 consecutive days during which a stay of enforcement of such judgment or order, by reason of a pending appeal or otherwise, shall not be in effect; or (n) a Change in Control shall occur or exist; or (o) any default or event of default (after giving effect to any grace period) shall have occurred and be continuing under the Subordinated Debt Documents or any Subordinated Debt Document shall cease to be in full force and effect or the validity or enforceability thereof is disaffirmed by or on behalf of any subordinated lender party thereto, or any Obligations fail to constitute “Senior Indebtedness” for purposes of the applicable Subordinated Debt Document, or all or any part of the Permitted Subordinated Debt is accelerated, is declared to be due and payable is required to be prepaid or redeemed, in each case prior to the stated maturity thereof; or (p) any Loan Document, at any time after its execution and delivery and for any reason other than as expressly permitted hereunder or thereunder or satisfaction in full of all the Obligations, ceases to be in full force and effect or ceases to give the Administrative Agent any material part of the Liens purported to be created thereby; or any Loan Party or any other Person contests in any manner the validity or enforceability of any Loan Document; or any Loan Party denies that it has any or further liability or obligation under any Loan Document, or purports to revoke, terminate or rescind any Loan Document; (q) any HMO Event has occurred and has remain unremedied for a period of 60 days following the occurrence thereof (or such shorter period of time, if any, as the HMO Regulator shall have imposed for the cure of such HMO Event); or (r) an Exclusion Event shall have occurred and could reasonably be expected to result in a Material Adverse Effect.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95 1312474.1 then, and in every such event (other than an event with respect to the Borrower described in clause (h) or (i) of this Section 8.1) and at any time thereafter during the continuance of such event, the Administrative Agent may, and upon the written request of the Required Lenders shall, by notice to the Borrower, take any or all of the following actions, at the same or different times: (i) terminate the Commitments, whereupon the Commitment of each Lender shall terminate immediately, (ii) declare the principal of and any accrued interest on the Loans, and all other Obligations owing hereunder, to be, whereupon the same shall become, due and payable immediately, without presentment, demand, protest or other notice of any kind, all of which are hereby waived by the Borrower, (iii) exercise all remedies contained in any other Loan Document, and (iv) exercise any other remedies available at Law or in equity; and that, if an Event of Default specified in either clause (h) or (i) shall occur, the Commitments shall automatically terminate and the principal of the Loans then outstanding, together with accrued interest thereon, and all fees, and all other Obligations shall automatically become due and payable, without presentment, demand, protest or other notice of any kind, all of which are hereby waived by the Borrower. Section 8.2. Application of Funds. After the exercise of remedies provided for in Section 8.1 (or immediately after an Event of Default specified in either clause (h) or (i) of Section 8.1), any amounts received on account of the Obligations shall be applied by the Administrative Agent in the following order: (a) first, to the fees and other reimbursable expenses of the Administrative Agent and the Issuing Bank then due and payable pursuant to any of the Loan Documents, until the same shall have been paid in full; (b) second, to all reimbursable expenses, if any, of the Lenders then due and payable pursuant to any of the Loan Documents, until the same shall have been paid in full; (c) third, to the fees due and payable under Sections 2.14(b) and (c) of this Agreement and interest then due and payable under the terms of this Agreement, until the same shall have been paid in full; (d) fourth, to the aggregate outstanding principal amount of the Loans, the LC Exposure, the Bank Product Obligations and the Hedging Obligations that constitute Obligations, until the same shall have been paid in full, allocated pro rata among any Lender, any Lender-Related Hedge Provider and any Bank Product Provider, based on their respective Pro Rata Shares of the aggregate amount of such Revolving Loans, LC Exposure, Bank Product Obligations and Hedging Obligations; (e) fifth, to additional cash collateral for the aggregate amount of all outstanding Letters of Credit until the aggregate amount of all cash collateral held by the Administrative Agent pursuant to this Agreement is equal to 102% of the LC Exposure after giving effect to the foregoing clause fifth; and (f) to the extent any proceeds remain, to the Borrower or other parties lawfully entitled thereto. All amounts allocated to the Lenders pursuant to the foregoing clauses second through fourth as a result of amounts owed to the Lenders under the Loan Documents shall be allocated among, and distributed to, the Lenders pro rata based on their respective Pro Rata Shares; provided, that all amounts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96 1312474.1 allocated to that portion of the LC Exposure comprised of the aggregate undrawn amount of all outstanding Letters of Credit pursuant to clause fourth and fifth shall be distributed to the Administrative Agent, rather than to the Lenders, and held by the Administrative Agent in an account in the name of the Administrative Agent for the benefit of the Issuing Bank and the Revolving Loan Lenders as cash collateral for the LC Exposure, such account to be administered in accordance with Section 2.22(g). Excluded Swap Obligations with respect to any Guarantor shall not be paid with amounts received from such Guarantor or its assets, but appropriate adjustments shall be made with respect to payments from other Loan Parties to preserve the allocation to Obligations otherwise set forth above in this Section. Notwithstanding the foregoing, Hedging Obligations and Bank Product Obligations may be excluded from the application described above without any liability to the Administrative Agent, if the Administrative Agent has not received written notice, together with such supporting documentation as the Administrative Agent may request, from the applicable Lender-Related Hedge Provider or Bank Product Provider. Each Lender-Related Hedge Provider and Bank Product Provider not a party to this Agreement that has given the notice contemplated by the preceding sentence shall, by such notice, be deemed to have acknowledged and accepted the appointment of the Administrative Agent pursuant to the terms of Article IX for itself and its Affiliates as if a “Lender” party hereto. ARTICLE IX THE ADMINISTRATIVE AGENT Section 9.1. Appointment of Administrative Agent. (a) Each Lender irrevocably appoints Truist Bank as the Administrative Agent and authorizes it to take such actions on its behalf and to exercise such powers as are delegated to the Administrative Agent under this Agreement and the other Loan Documents, together with all such actions and powers that are reasonably incidental thereto. The Administrative Agent may perform any of its duties hereunder or under the other Loan Documents by or through any one or more sub-agents or attorneys-in-fact appointed by the Administrative Agent. The Administrative Agent and any such sub-agent or attorney-in-fact may perform any and all of its duties and exercise its rights and powers through their respective Related Parties. The exculpatory provisions set forth in this Article shall apply to any such sub-agent, attorney-in- fact or Related Party and shall apply to their respective activities in connection with the syndication of the credit facilities provided for herein as well as activities as the Administrative Agent. (b) The Issuing Bank shall act on behalf of the Lenders with respect to any Letters of Credit issued by it and the documents associated therewith until such time and except for so long as the Administrative Agent may agree at the request of the Required Lenders to act for the Issuing Bank with respect thereto; provided that the Issuing Bank shall have all the benefits and immunities (i) provided to the Administrative Agent in this Article with respect to any acts taken or omissions suffered by the Issuing Bank in connection with Letters of Credit issued by it or proposed to be issued by it and the application and agreements for letters of credit pertaining to the Letters of Credit as fully as if the term “Administrative Agent” as used in this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97 1312474.1 Article included the Issuing Bank with respect to such acts or omissions and (ii) as additionally provided in this Agreement with respect to the Issuing Bank. (c) It is understood and agreed that the use of the term “agent” herein or in any other Loan Document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Section 9.2. Nature of Duties of Administrative Agent. The Administrative Agent shall not have any duties or obligations except those expressly set forth in this Agreement and the other Loan Documents. Without limiting the generality of the foregoing, (a) the Administrative Agent shall not be subject to any fiduciary or other implied duties, regardless of whether a Default or an Event of Default has occurred and is continuing, (b) the Administrative Agent shall not have any duty to take any discretionary action or exercise any discretionary powers, except those discretionary rights and powers expressly contemplated by the Loan Documents that the Administrative Agent is required to exercise in writing by the Required Lenders (or such other number or percentage of the Lenders as shall be necessary under the circumstances as provided in Section 11.2), provided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(c) except as expressly set forth in the Loan Documents, the Administrative Agent shall not have any duty to disclose, and shall not be liable for the failure to disclose, any information relating to the Borrower or any of its Subsidiaries that is communicated to or obtained by the Administrative Agent or any of its Affiliates in any capacity. The Administrative Agent shall not be liable for any action taken or not taken by it, its sub-agents or its attorneys-in-fact with the consent or at the request of the Required Lenders (or such other number or percentage of the Lenders as shall be necessary under the circumstances as provided in Section 11.2) or in the absence of its own gross negligence or willful misconduct. The Administrative Agent shall not be responsible for the negligence or misconduct of any sub-agents or attorneys-in-fact selected by it with reasonable care. The Administrative Agent shall not be deemed to have knowledge of any Default or Event of Default unless and until written notice thereof (which notice shall include an express reference to such event being a “Default” or “Event of Default” hereunder) is given to the Administrative Agent by the Borrower or any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thereunder or in connection herewith or therewith, (iii) the performance or observance of any of the covenants, agreements, or other terms and conditions set forth in any Loan Document, (iv) the validity, enforceability, effectiveness or genuineness of any Loan Document or any other agreement, instrument or document, or (v) the satisfaction of any condition set forth in Article III or elsewhere in any Loan Document, other than to confirm receipt of items expressly required to be delivered to the Administrative Agent. The Administrative Agent may consult with legal counsel (including counsel for the Borrower) concerning all matters pertaining to such duties. Section 9.3. Lack of Reliance on the Administrative Agent. Each of the Lenders, the Swingline Lender and the Issuing Bank acknowledges that it has, independently and without reliance upon the Administrative Agent, the Issuing Bank or any other Lender and based on such documents and information as it has deemed appropriate, made its own credit analysis and decision to enter into this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98 1312474.1 Agreement. Each of the Lenders, the Swingline Lender and the Issuing Bank also acknowledges that it will, independently and without reliance upon the Administrative Agent, the Issuing Bank or any other Lender and based on such documents and information as it has deemed appropriate, continue to make its own credit analysis and decisions in taking or not taking any action under or based on this Agreement, any related agreement or any document furnished hereunder or thereunder, and to make such investigations as it deems necessary to inform itself as to the business, prospects, operations, property, financial and other condition and creditworthiness of the Loan Parties.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Section 9.4. Certain Rights of the Administrative Agent. If the Administrative Agent shall request instructions from the Required Lenders with respect to any action or actions (including the failure to act) in connection with this Agreement, the Administrative Agent shall be entitled to refrain from such act or taking such act unless and until it shall have received instructions from such Lenders, and the Administrative Agent shall not incur liability to any Person by reason of so refraining. Without limiting the foregoing, no Lender shall have any right of action whatsoever against the Administrative Agent as a result of the Administrative Agent acting or refraining from acting hereunder in accordance with the instructions of the Required Lenders where required by the terms of this Agreement. Section 9.5. Reliance by Administrative Agent. The Administrative Agent shall be entitled to rely upon, and shall not incur any liability for relying upon, any notice, request, certificate, consent, statement, instrument, document or other writing (including any electronic message, posting or other distribution) believed by it to be genuine and to have been signed, sent or made by the proper Person. The Administrative Agent may also rely upon any statement made to it orally or by telephone and believed by it to be made by the proper Person and shall not incur any liability for relying thereon. The Administrative Agent may consult with legal counsel (including counsel for the Borrower), independent public accountants and other experts selected by it and shall not be liable for any action taken or not taken by it in accordance with the advice of such counsel, accountants or experts. Section 9.6. The Administrative Agent in its Individual Capacity. The bank serving as the Administrative Agent shall have the same rights and powers under this Agreement and any other Loan Document in its capacity as a Lender as any other Lender and may exercise or refrain from exercising the same as though it were not the Administrative Agent; and the terms “Lenders”, “Required Lenders”, or any similar terms shall, unless the context clearly otherwise indicates, include the Administrative Agent in its individual capacity. The bank acting as the Administrative Agent and its Affiliates may accept deposits from, lend money to, and generally engage in any kind of business with the Borrower or any Subsidiary or Affiliate of the Borrower as if it were not the Administrative Agent hereunder.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99 1312474.1 Section 9.7. Successor Administrative Agent. (a) The Administrative Agent may resign at any time by giving notice thereof to the Lenders and the Borrower. Upon any such resignation, the Required Lenders shall have the right to appoint a successor Administrative Agent, subject to approval by the Borrower provided that no Default or Event of Default shall exist at such time. If no successor Administrative Agent shall have been so appointed, and shall have accepted such appointment within 30 days after the retiring Administrative Agent gives notice of resignation, then the retiring Administrative Agent may, on behalf of the Lenders, appoint a successor Administrative Agent which shall be a commercial bank organized under the laws of the United States or any state thereof or a bank which maintains an office in the United States. Any resignation by the Administrative Agent pursuant to this Section shall also constitute its resignation as an Issuing Bank and Swingline Lender. Upon the acceptance of a successor’s appointment as Administrative Agent hereunder: (i) such successor shall succeed to and become vested with all of the rights, powers, privileges and duties of the retiring Issuing Bank and Swingline Lender; (ii) the retiring Issuing Bank and Swingline Lender shall be discharged from all of their respective duties and obligations hereunder or under the other Loan Documents; and (iii) the successor Issuing Lender shall issue letters of credit in substitution for the Letters of Credit, if any, outstanding at the time of such succession or make other arrangement satisfactory to the retiring Issuing Bank to effectively assume the obligations of the retiring Issuing Bank with respect to such Letters of Credit. (b) Upon the acceptance of its appointment as the Administrative Agent hereunder by a successor,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and the other Loan Documents. If, within 45 days after written notice is given of the retiring Administrative Agent’s resignation under this Section, no successor Administrative Agent shall have been appointed and shall have accepted such appointment, then on such 45th day (i) the retiring Administrative Agent’s resignation shall become effective, (ii) the retiring Administrative Agent shall thereupon be discharged from its duties and obligations under the Loan Documents and (iii) the Required Lenders shall thereafter perform all duties of the retiring Administrative Agent under the Loan Documents until such time as the Required Lenders appoint a successor Administrative Agent as provided above. After any retiring Administrative Agent’s resignation hereunder, the provisions of this Article shall continue in effect for the benefit of such retiring Administrative Agent and its representatives and agents in respect of any actions taken or not taken by any of them while it was serving as the Administrative Agent. (c) In addition to the foregoing, if a Lender becomes, and during the period it remains, a Defaulting Lender, and if any Default has arisen from a failure of the Borrower to comply with Section 2.26(b), then the Issuing Bank and the Swingline Lender may, upon prior written notice to the Borrower and the Administrative Agent, resign as Issuing Bank or as Swingline Lender, as the case may be, effective at the close of business Charlotte, North Carolina time on a date specified in such notice (which date may not be less than five (5) Business Days after the date of such notice).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100 1312474.1 Section 9.8. Withholding Tax. To the extent required by any applicable law, the Administrative Agent may withhold from any interest payment to any Lender an amount equivalent to any applicable withholding tax. If the Internal Revenue Service or any authority of the United States or any other jurisdiction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the Borrower and without limiting the obligation of the Borrower to do so) fully for all amounts paid, directly or indirectly, by the Administrative Agent as tax or otherwise, including penalties and interest, together with all expenses incurred, including legal expenses, allocated staff costs and any out of pocket expenses. Section 9.9. Administrative Agent May File Proofs of Claim. (a) In case of the pendency of any receivership, insolvency, liquidation, bankruptcy, reorganization, arrangement, adjustment, composition or other judicial proceeding relative to any Loan Party, the Administrative Agent (irrespective of whether the principal of any Loan or any Revolving Credit Exposure shall then be due and payable as herein expressed or by declaration or otherwise and irrespective of whether the Administrative Agent shall have made any demand on the Borrower) shall be entitled and empowered, by intervention in such proceeding or otherwise: (i) to file and prove a claim for the whole amount of the principal and interest owing and unpaid in respect of the Loans or Revolving Credit Exposure and all other Obligations that are owing and unpaid and to file such other documents as may be necessary or advisable in order to have the claims of the Lenders, the Issuing Bank and the Administrative Agent (including any claim for the reasonable compensation, expenses, disbursements and advances of the Lenders, the Issuing Bank and the Administrative Agent and its agents and counsel and all other amounts due the Lenders, the Issuing Bank and the Administrative Agent under Section 10.3) allowed in such judicial proceeding; and (ii) to collect and receive any monies or other property payable or deliverable on any such claims and to distribute the same; (b) Any custodian, receiver, assignee, trustee, liquidator, sequestrator or other similar official in any such judicial proceeding is hereby authorized by each Lender and the Issuing Bank to make such payments to the Administrative Agent and, if the Administrative Agent shall consent to the making of such payments directly to the Lenders and the Issuing Bank, to pay to the Administrative Agent any amount due for the reasonable compensation, expenses, disbursements and advances of the Administrative Agent and its agents and counsel, and any other amounts due the Administrative Agent under Section 11.3. Nothing contained herein shall be deemed to authorize the Administrative Agent to authorize or consent to or accept or adopt on behalf of any Lender or the Issuing Bank any plan of reorganization, arrangement, adjustment or composition affecting the Obligations or the rights of any Lender or to authorize the Administrative Agent to vote in respect of the claim of any Lender in any such proceeding.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101 1312474.1 Section 9.10. Authorization to Execute Other Loan Documents. Each Lender hereby authorizes the Administrative Agent to execute on behalf of all Lenders all Loan Documents (including, without limitation, any subordination agreements) other than this Agreement. Section 9.11. Guaranty Matters. The Lenders irrevocably authorize the Administrative Agent, at its option and in its discretion to release any Loan Party from its obligations under the applicable Loan Documents if such Person ceases to be a Restricted Subsidiary as a result of a transaction permitted hereunder or as otherwise consented to by the Lenders pursuant to Section 11.2. Upon request by the Administrative Agent at any time, the Required Lenders will confirm in writing the Administrative Agent’s authority to release any Loan Party from its obligations under the applicable Loan Documents pursuant to this Section. In each case as specified in this Section, the Administrative Agent is authorized, at the Borrower’s expense, to execute and deliver to the applicable Loan Party such documents as such Loan Party may reasonably request to release such Loan Party from its obligations under the applicable Loan Documents, in accordance with the terms of the Loan Documents and this Section. Section 9.12. Documentation Agent; Syndication Agent. Each party hereto hereby agrees that any Person designated as a Documentation Agent, Syndication Agent, Arranger or Bookrunner shall have no duties or obligations under any Loan Documents to any Lender or any Loan Party, except in its capacity, as applicable, as the Administrative Agent, a Lender, the Swingline Lender or the Issuing Bank. Section 9.13. Right to Enforce Guarantee. Anything contained in any of the Loan Documents to the contrary notwithstanding, the Borrower, the Administrative Agent and each Lender hereby agree that no Lender shall have any right individually to enforce the Guaranty, it being understood and agreed that all powers, rights and remedies hereunder may be exercised solely by the Administrative Agent. Section 9.14. Hedging Obligations and Bank Product Obligations. No Bank Product Provider or Lender-Related Hedge Provider that obtains the benefits of Section 8.2 by virtue of the provisions hereof or of any other Loan Document shall have any right to notice of any action or to consent to, direct or object to any action hereunder or under any other Loan Document other than in its capacity as a Lender and, in such case, only to the extent expressly provided in the Loan Documents. Notwithstanding any other provision of this Article to the contrary, the Administrative Agent shall not be required to verify the payment of, or that other satisfactory arrangements have been made with respect to, Bank Product Obligations and Hedging Obligations unless the Administrative Agent has received written notice of such Obligations, together with such supporting documentation as the Administrative Agent may request, from the applicable Bank Product Provider or Lender-Related Hedge Provider, as the case may be. ARTICLE X THE GUARANTY Section 10.1. The Guaranty. Each Person that becomes a Guarantor pursuant to the provisions of this Agreement agrees to jointly and severally guaranty to the Administrative Agent, each Lender, each Affiliate of a Lender that enters into Bank Products or a Hedging Transaction with the Borrower or any Subsidiary, and each other holder of the Obligations as hereinafter provided, as primary obligor and not as surety, the prompt payment of the Obligations in full when due (whether at stated maturity, as a mandatory prepayment, by acceleration, as a mandatory cash collateralization or otherwise) strictly in accordance with the terms thereof. Each such Guarantor hereby further agrees that if any of the Obligations is not paid in full when due (whether at stated maturity, as a mandatory prepayment, by acceleration, as a mandatory cash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102 1312474.1 collateralization or otherwise), such Guarantor will, jointly and severally, promptly pay the same, without any demand or notice whatsoever,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 Notwithstanding any provision to the contrary contained herein or in any other of the Loan Documents or the other documents relating to the Obligations, the obligations of each Guarantor under this Agreement and the other Loan Documents shall not exceed an aggregate amount equal to the largest amount that would not render such obligations subject to avoidance under applicable Debtor Relief Laws. Section 10.2. Obligations Unconditional. The obligations of the Guarantors under Section 10.1 are joint and several, absolute and unconditional, irrespective of the value, genuineness, validity, regularity or enforceability of any of the Loan Documents or other documents relating to the Obligations, or any substitution, release, impairment or exchange of any other guarantee of or security for any of the Obligations, and, to the fullest extent permitted by applicable Law, irrespective of any other circumstance whatsoever which might otherwise constitute a legal or equitable discharge or defense of a surety or guarantor, it being the intent of this Section 10.2 that the obligations of the Guarantors hereunder shall be absolute and unconditional under any and all circumstances. Each Guarantor agrees that such Guarantor shall have no right of subrogation, indemnity, reimbursement or contribution against the Borrower or any other Guarantor for amounts paid under this Article X until such time as the Obligations have been paid in full and the Commitments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 (a) at any time or from time to time, without notice to any Guarantor, the time for any performance of or compliance with any of the Obligations shall be extended, or such performance or compliance shall be waived; (b) any of the acts mentioned in any of the provisions of any of the Loan Documents or any other document relating to the Obligations shall be done or omitted; (c) the maturity of any of the Obligations shall be accelerated, or any of the Obligations shall be modified, supplemented or amended in any respect, or any right under any of the Loan Documents or any other document relating to the Obligations shall be waived or any other guarantee of any of the Obligations or any security therefor shall be released, impaired or exchanged in whole or in part or otherwise dealt with; (d) any Lien granted to, or in favor of, the Administrative Agent or any other holder of the Obligations as security for any of the Obligations shall fail to attach or be perfected; or (e) any of the Obligations shall be determined to be void or voidable (including for the benefit of any creditor of any Guarantor) or shall be subordinated to the claims of any Person (including any creditor of any Guarantor). With respect to its obligations hereunder, each Guarantor hereby expressly waives diligence, presentment, demand of payment, protest and all notices whatsoever and any requirement that the Administrative Agent or any other holder of the Obligations exhaust any right, power or remedy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103 1312474.1 proceed against any Person under any of the Loan Documents or any other document relating to the Obligations or against any other Person under any other guarantee of, or security for, any of the Obligations. Section 10.3. Reinstatement. The obligations of each Guarantor under this Article X shall be automatically reinstated if and to the extent that for any reason any payment by or on behalf of any Person in respect of the Obligations is rescinded or must be otherwise restored by any holder of any of the Obligations, whether as a result of any Debtor Relief Law or otherwise, and each Guarantor agrees that it will indemnify the Administrative Agent and each other holder of the Obligations on demand for all reasonable costs and expenses (including the fees, charges and disbursements of counsel) incurred by the Administrative Agent or such holder of the Obligations in connection with such rescission or restoration, including any such costs and expenses incurred in defending against any claim alleging that such payment constituted a preference, fraudulent transfer or similar payment under any Debtor Relief Law. Section 10.4. Certain Additional Waivers. Each Guarantor agrees that such Guarantor shall have no right of recourse to security for the Obligations, except through the exercise of rights of subrogation pursuant to Section 10.2 and through the exercise of rights of contribution pursuant to Section 10.6. Section 10.5. Remedies. The Guarantors agree that, to the fullest extent permitted by Law, as between the Guarantors, on the one hand, and the Administrative Agent and the other holders of the Obligations, on the other hand, the Obligations may be declared to be forthwith due and payable as specified in Section 9.02 (and shall be deemed to have become automatically due and payable in the circumstances specified in Section 9.02) for purposes of Section 10.1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Guarantors for purposes of Section 10.1. Section 10.6. Rights of Contribution. The Guarantors agree among themselves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the Obligations have been paid in full and the Commitments have terminated. Section 10.7. Guarantee of Payment; Continuing Guarantee. The guarantee in this Article X is a guaranty of payment and not of collection, is a continuing guarantee, and shall apply to the Obligations whenever arising. Section 10.8. Keepwell. Each Qualified ECP Guarantor hereby jointly and severally absolutely, unconditionally and irrevocably undertakes to provide such funds or other support as may be needed from time to time by each Specified Loan Party to honor all of such Specified Loan Party’s obligations under this Agreement and the other Loan Documents in respect of Swap Obligations (provided, however, that each Qualified ECP Guarantor shall only be liable under this Section 10.8 for the maximum amount of such liability that can be hereby incurred without rendering its obligations under this Section 10.8 or otherwise under this Agreement voidable under applicable law relating to fraudulent conveyance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104 1312474.1 fraudulent transfer, and not for any greater amount). The obligations of each Qualified ECP Guarantor under this Section 10.8 shall remain in full force and effect until the Obligations have been indefeasibly paid and performed in full. Each Qualified ECP Guarantor intends that this Section 10.8 constitute, and this Section 10.8 shall be deemed to constitute, a “keepwell, support, or other agreement” for the benefit of each Specified Loan Party for all purposes of Section la(18)(A)(v)(II) of the Commodity Exchange Act. ARTICLE XI MISCELLANEOUS Section 11.1. Notices. (a) Written Notices. Except in the case of notices and other communications expressly permitted to be given by telephone, all notices and other communications to any party herein to be effective shall be in writing and shall be delivered by hand or overnight courier service, mailed by certified or registered mail or sent by telecopy, as follows: To any Loan Party: Molina Healthcare, Inc. 200 Oceangate, Suite 100 Long Beach, CA 90802-4137 Attention: Thomas L. Tran, Chief Financial Officer Facsimile: (562) 437-7235 Email: thomas.tran@molinahealthcare.com To the Administrative Agent: Truist Bank 3333 Peachtree Road, NE Atlanta, Georgia 30326 Attention: Katie Lundin Facsimile: (404) 926-5173 Email: katie.lundin@suntrust.com With copies (for information purposes only) to: Truist Bank Agency Services 303 Peachtree Street, N.E./25th Floor Atlanta, Georgia 30308 Attention: Mr. Doug Weltz Facsimile: (404) 495-2170 Email:agency.services@suntrust.com To the Issuing Bank: Truist Bank 25 Park Place, N.E./Mail Code 3706 Atlanta, Georgia 30303 Attention: Standby Letter of Credit Dept. Facsimile: (404) 588-8129 To the Swingline Lender: Truist Bank Agency Services 303 Peachtree Street, N.E./25th Floor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105 1312474.1 Atlanta, Georgia 30308 Attention: Mr. Doug Weltz Facsimile: (404) 495-2170 To any other Lender: To the address or facsimile number, set forth in the Administrative Questionnaire or the Assignment and Acceptance executed by such Lender. Any party hereto may change its address or telecopy number for notices and other communications hereunder by notice to the other parties hereto. All such notices and other communications shall be effective upon actual receipt by the relevant Person or, if delivered by overnight courier service, upon the first Business Day after the date deposited with such courier service for overnight (next-day) delivery or, if sent by telecopy, upon transmittal in legible form by facsimile machine or, if mailed, upon the third Business Day after the date deposited into the mail or, if delivered by hand, upon delivery; provided that notices delivered to the Administrative Agent, the Issuing Bank or the Swingline Lender shall not be effective until actually received by such Person at its address specified in this Section. Any agreement of the Administrative Agent, the Issuing Bank and the Lenders herein to receive certain notices by telephone or facsimile is solely for the convenience and at the request of the Borrower. The Administrative Agent, the Issuing Bank and the Lenders shall be entitled to rely on the authority of any Person purporting to be a Person authorized by the Borrower to give such notice and the Administrative Agent, the Issuing Bank and the Lenders shall not have any liability to the Borrower or other Person on account of any action taken or not taken by the Administrative Agent, the Issuing Bank and the Lenders in reliance upon such telephonic or facsimile notice. The obligation of the Borrower to repay the Loans and all other Obligations hereunder shall not be affected in any way or to any extent by any failure of the Administrative Agent, the Issuing Bank and the Lenders to receive written confirmation of any telephonic or facsimile notice or the receipt by the Administrative Agent, the Issuing Bank and the Lenders of a confirmation which is at variance with the terms understood by the Administrative Agent, the Issuing Bank and the Lenders to be contained in any such telephonic or facsimile notice. (b) Electronic Communications. (i) Notices and other communications to the Lenders and the Issuing Bank hereunder may be delivered or furnished by electronic communication (including e-mail and Internet or intranet websites) pursuant to procedures approved by Administrative Agent, provided that the foregoing shall not apply to notices to any Lender or the Issuing Bank pursuant to Article II unless such Lender, the Issuing Bank, as applicable, and Administrative Agent have agreed to receive notices under such Section by electronic communication and have agreed to the procedures governing such communications. Administrative Agent or Borrower may, in its discretion, agree to accept notices and other communications to it hereunder by electronic communications pursuant to procedures approved by it; provided that approval of such procedures may be limited to particular notices or communications. (ii) Unless Administrative Agent otherwise prescribes, (A) notices and other communications sent to an e-mail address shall be deemed received upon the sender’s receipt of an acknowledgement from the intended recipient (such as by the “return receipt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106 1312474.1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(B) notices or communications posted to an Internet or intranet website shall be deemed received upon the deemed receipt by the intended recipient at its e-mail address as described in the foregoing clause (C) of notification that such notice or communication is available and identifying the website address therefor. (iii) The Borrower agrees that the Administrative Agent may, but shall not be obligated to, make Communications (as defined below) available to the Issuing Bank and the other Lenders by posting the Communications on Debt Domain, Intralinks, Syndtrak, ClearPar or a substantially similar Electronic System. (iv) 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without limitation, any warranty of merchantability, fitness for a particular purpose, non- infringement of third-party rights or freedom from viruses or other code defects, is made by any Agent Party in connection with the Communications or any Electronic System. In no event shall the Administrative Agent or any of its Related Parties (collectively, the “Agent Parties”) have any liability to any Loan Party, any Lender, the Issuing Bank or any other Person or entity for damages of any kind, including, without limitation, direct or indirect, special, incidental or consequential damages, losses or expenses (whether in tort, contract or otherwise) arising out of any Loan Party’s or the Administrative Agent’s transmission of Communications through an Electronic System. “Communications” means, collectively, any notice, demand, communication, information, document or other material provided by or on behalf of any Loan Party pursuant to any Loan Document or the transactions contemplated therein which is distributed by the Administrative Agent, any Lender or the Issuing Bank by means of electronic communications pursuant to this Section, including through an Electronic System. Section 11.2. Waiver; Amendments. (a) No failure or delay by the Administrative Agent, the Issuing Bank or any Lender in exercising any right or power hereunder or any other Loan Document, and no course of dealing between any Loan Party and the Administrative Agent or any Lender, shall operate as a waiver thereof, nor shall any single or partial exercise of any such right or power or any abandonment or discontinuance of steps to enforce such right or power, preclude any other or further exercise thereof or the exercise of any other right or power hereunder or thereunder. The rights and remedies of the Administrative Agent, the Issuing Bank and the Lenders hereunder and under the other Loan Documents are cumulative and are not exclusive of any rights or remedies provided by Law. No waiver of any provision of this Agreement or any other Loan Document or consent to any departure by any Loan Party therefrom shall in any event be effective unless the same shall be permitted by paragraph (b) of this Section 11.2, and then such waiver or consent shall be effective only in the specific instance and for the purpose for which given. Without limiting the generality of the foregoing, the making of a Loan or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107 1312474.1 issuance of a Letter of Credit shall not be construed as a waiver of any Default or Event of Default, regardless of whether the Administrative Agent, any Lender or the Issuing Bank may have had notice or knowledge of such Default or Event of Default at the time. (b) Except as otherwise provided in this Agreement, including, without limitation, as provided in Section 2.16 with respect to the implementation of a Benchmark Replacement Rate or Conforming Changes (as set forth therein), no amendment or waiver of any provision of this Agreement or the other Loan Documents (other than the Fee Letter), nor consent to any departure by the Borrower therefrom, shall in any event be effective unless the same shall be in writing and signed by the Borrower and the Required Lenders or the Borrower and the Administrative Agent with the consent of the Required Lenders and then such waiver or consent shall be effective only in the specific instance and for the specific purpose for which given; provided, that (i) no amendment or waiver shall: (A) increase the Commitment of any Lender without the written consent of such Lender; (B) reduce the principal amount of any Loan or LC Disbursement or reduce the rate of interest thereon, or reduce any fees payable hereunder, without the written consent of each Lender affected thereby; (C) postpone the date fixed for any payment of any principal of, or interest on, any Loan or LC Disbursement or interest thereon or any fees hereunder or reduce the amount of, waive or excuse any such payment, or postpone the scheduled date for the termination or reduction of any Commitment, without the written consent of each Lender affected thereby; (D) change Section 2.21(b) or (c) in a manner that would alter the pro rata sharing of payments required thereby or change the provisions of Section 8.2, without the written consent of each Lender; (E) change any of the provisions of this Section 11.2 or the definition of “Required Lenders” or any other provision hereof specifying the number or percentage of Lenders which are required to waive, amend or modify any rights hereunder or make any determination or grant any consent hereunder, without the consent of each Lender; (F) release the Borrower without the consent of each Lender, or, release all or substantially all of the Guarantors or limit the liability of all or substantially all of the Guarantors under any Guaranty, without the written consent of each Lender; or (G) release all or substantially all collateral (if any) securing any of the Obligations, without the written consent of each Lender; or (ii) prior to the Revolving Commitments Termination Date, unless also signed by Required Lenders, no such amendment or waiver shall, (i) waive any Default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108 1312474.1 or Event of Default for purposes of Section 3.2, (ii) amend, change, waive, discharge or terminate Sections 3.2 or 8.1 in a manner adverse to such Lenders or (iii) amend, change, waive, discharge or terminate Article VI (or any defined term used therein) or this Section 11.2(a)(ii); provided further, that no such agreement shall amend, modify or otherwise affect the rights, duties or obligations of the Administrative Agent, the Swingline Lender or the Issuing Bank without the prior written consent of such Person. Notwithstanding anything to the contrary herein, (i) no Defaulting Lender shall have any right to approve or disapprove any amendment, waiver or consent hereunder, except that (x) the Commitment of such Lender may not be increased or extended, (y) amounts payable to such Lender hereunder may not be permanently reduced without the consent of such Lender (other than reductions in fees and interest in which such reduction does not disproportionately affect such Lender) and (z) any waiver, amendment or modification requiring the consent of all Lenders or each affected Lender that by its terms affects any Defaulting Lender disproportionately adversely relative to other affected Lenders shall require the consent of such Defaulting Lender; (ii)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(but such Lender shall continue to be entitled to the benefits of Sections 2.18, 2.19, 2.20 and 11.3), such Lender shall have no other commitment or other obligation hereunder and shall have been paid in full all principal, interest and other amounts owing to it or accrued for its account under this Agreement; (iii)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(iv) the Required Lenders shall determine whether or not to allow a Loan Party to use cash collateral in the context of a bankruptcy or insolvency proceeding and such determination shall be binding on all of the Lenders. The Lenders hereby authorize the Administrative Agent to enter into, and the Lenders agree that this Agreement and the other Loan Documents shall be amended by, any agreement implementing an increase in the Aggregate Revolving Commitments or the establishment of an Incremental Term Loan to the extent the Administrative Agent and the Borrower deem necessary in order to increase the Aggregate Revolving Commitments or establish the applicable Incremental Term Loan (it being agreed that modifications to the definitions of “Commitments”, “Loans” and “Required Lenders” or other provisions relating to voting provisions to provide the Persons providing the applicable increase in the Aggregate Revolving Commitments or Incremental Term Loan with the benefit of such provisions will not, by themselves, be deemed to effect any of the changes described in Section 11.2(b)). The Administrative Agent shall promptly notify each Lender as to the effectiveness of each agreement implementing an increase in the Aggregate Revolving Commitments or establishing an Incremental Term Loan. Section 11.3. Expenses; Indemnification. (a) The Borrower shall pay (i) all reasonable, out-of-pocket costs and expenses of the Administrative Agent, the Arrangers and their Affiliates, including the reasonable fees, charges and disbursements of counsel for the Administrative Agent, the Arrangers and their Affiliates, in connection with the syndication of the credit facilities provided for herein, the preparation and administration of the Loan Documents and any amendments, modifications or waivers thereof (whether or not the transactions contemplated in this Agreement or any other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109 1312474.1 Loan Document shall be consummated), including the reasonable fees, charges and disbursements of counsel for the Administrative Agent, the Arrangers and their Affiliates, (ii) all reasonable out-of-pocket expenses incurred by the Issuing Bank in connection with the issuance, amendment, renewal or extension of any Letter of Credit or any demand for payment thereunder and (iii) all out-of-pocket costs and expenses (including, without limitation, the reasonable fees, charges and disbursements of outside counsel and the allocated cost of inside counsel) incurred by the Administrative Agent, the Arrangers, the Issuing Bank or any Lender in connection with the enforcement or protection of its rights in connection with this Agreement and the other Loan Documents, including its rights under this Section 11.3, or in connection with the Loans made or any Letters of Credit issued hereunder, including all such out-of-pocket expenses incurred during any workout, restructuring or negotiations in respect of such Loans or Letters of Credit. (b) The Borrower shall indemnify the Administrative Agent (and any sub-agent thereof), the Arrangers, each Lender and the Issuing Bank, and each Related Party of any of the foregoing Persons (each such Person being called an “Indemnitee”) against, and hold each Indemnitee harmless from, any and all losses, claims, damages, liabilities, penalties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actual or alleged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provided that such indemnity shall not, as to any Indemnitee, be available to the extent that such losses, claims, damages, liabilities, penalties or related expenses are determined by a court of competent jurisdiction by final and nonappealable judgment to have resulted (x) from the gross negligence or willful misconduct of such Indemnitee (including any Related Party of such Indemnitee) or (y) solely from a claim brought by the Borrower or any other Loan Party against an Indemnitee for breach in bad faith of such Indemnitee’s obligations hereunder or under any other Loan Document. This Section 11.3(b) shall not apply with respect to Taxes other than any Taxes that represent losses, claims, damages, etc. arising from any non-Tax claim. (c) To the extent that the Borrower fails to pay any amount required to be paid to the Administrative Agent, the Issuing Bank or the Swingline Lender under clauses (a) or (b) hereof, each Lender severally agrees to pay to the Administrative Agent, the Issuing Bank or the Swingline Lender, as the case may be, such Lender’s Pro Rata Share (determined as of the time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110 1312474.1 that the unreimbursed expense or indemnity payment is sought) of such unpaid amount; provided, that the unreimbursed expense or indemnified payment, claim, damage, liability or related expense, as the case may be, was incurred by or asserted against the Administrative Agent, the Issuing Bank or the Swingline Lender in its capacity as such. (d) To the extent permitted by applicable Law, each Loan Party shall not assert, and hereby waives, any claim against any Indemnitee, on any theory of liability, for special, indirect, consequential or punitive damages (as opposed to actual or direct damages) arising out of, in connection with or as a result of, this Agreement or any agreement or instrument contemplated hereby, the transactions contemplated therein, any Loan or any Letter of Credit or the use of proceeds thereof. (e) All amounts due under this Section 11.3 shall be payable promptly after written demand therefor. Section 11.4. Successors and Assigns. (a)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clause (b) of this Section, (ii) by way of participation in accordance with the provisions of clause (d) of this Section or (iii) by way of pledge or assignment of a security interest subject to the restrictions of clause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clause (d) of this Section and, to the extent expressly contemplated hereby, the Related Parties of each of the Administrative Agent and the Lenders) any legal or equitable right, remedy or claim under or by reason of this Agreement. (b) Any Lender may at any time assign to one or more assignees all or a portion of its rights and obligations under this Agreement (including all or a portion of its Commitments, Loans, and other Revolving Credit Exposure at the time owing to it); provided that any such assignment shall be subject to the following conditions: (i) Minimum Amounts. (A) in the case of an assignment of the entire remaining amount of the assigning Lender’s Commitments, Loans and other Revolving Credit Exposure at the time owing to it or in the case of an assignment to a Lender, an Affiliate of a Lender or an Approved Fund, no minimum amount need be assigned; and (B) in any case not described in paragraph (b)(i)(A) of this Section, the aggregate amount of the Revolving Commitment (which for this purpose includes Revolving Loans and Revolving Credit Exposure outstanding thereunder or, if the Revolving Commitment is not then in effect, the principal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111 1312474.1 outstanding balance of the Revolving Loans and Revolving Credit Exposure) subject to each such assignment (determined as of the date the Assignment and Acceptance with respect to such assignment is delivered to the Administrative Agent or, if “Trade Date” is specified in the Assignment and Acceptance, as of the Trade Date) shall not be less than $5,000,000 and in minimum increments of $1,000,000, unless each of the Administrative Agent and, so long as no Event of Default has occurred and is continuing, the Borrower otherwise consents (each such consent not to be unreasonably withheld or delayed). (ii) Proportionate Amounts. Each partial assignment shall be made as an assignment of a proportionate part of all the assigning Lender’s rights and obligations under this Agreement with respect to the applicable Loans, other Revolving Credit Exposure or Commitments assigned, except that this clause (ii) shall not prohibit any Lender from assigning all or a portion of its rights and obligations in respect of its Revolving Commitment (and the related Revolving Loans and other Revolving Credit Exposure thereunder) on a non-pro rata basis. (iii) Required Consents. No consent shall be required for any assignment except to the extent required by paragraph (b)(i)(B) of this Section and, in addition: (A) the consent of the Borrower (such consent not to be unreasonably withheld or delayed) shall be required unless (x) an Event of Default has occurred and is continuing at the time of such assignment or (y) such assignment is to a Lender, an Affiliate of a Lender or an Approved Fund; (B) the consent of the Administrative Agent (such consent not to be unreasonably withheld or delayed) shall be required for (x) assignments in respect of any Revolving Commitment if such assignment is to a Person that is not a Lender with a Commitment in respect of the applicable facility subject to such assignment, an Affiliate of a Lender or an Approved Fund and (y) assignments by Defaulting Lenders; and (C) the consent of the Issuing Bank (such consent not to be unreasonably withheld or delayed) shall be required for any assignment that increases the obligation of the assignee to participate in exposure under one or more Letters of Credit (whether or not then outstanding), and the consent of the Swingline Lender (such consent not to be unreasonably withheld or delayed) shall be required for any assignment in respect of the Revolving Commitments. (iv) Assignment and Acceptance. The parties to each assignment shall deliver to the Administrative Agent (A) a duly executed Assignment and Acceptance, (B) a processing and recordation fee of $3,500, (C) an Administrative Questionnaire unless the assignee is already a Lender and (D) the documents required under Section 2.20 if such assignee is a Foreign Lender. (v) No Assignment to Certain Persons. No such assignment shall be made to (A) the Borrower or any of the Borrower’s Affiliates or Subsidiaries or (B) to any Defaulting Lender or any of its Subsidiaries, or any Person who, upon becoming a Lender hereunder, would constitute any of the foregoing Persons described in this clause (B).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112 1312474.1 (vi) No Assignment to Natural Persons. No such assignment shall be made to a natural person. Subject to acceptance and recording thereof by the Administrative Agent pursuant to clause (c) of this Section 11.4,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2.18, 2.19, 2.20 and 11.3 with respect to facts and circumstances occurring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clause (d) of this Section 11.4. If the consent of the Borrower to an assignment is required hereunder (including a consent to an assignment which does not meet the minimum assignment thresholds specified above), the Borrower shall be deemed to have given its consent five Business Days after the date notice thereof has actually been delivered by the assigning Lender (through the Administrative Agent) to the Borrower, unless such consent is expressly refused by the Borrower prior to such fifth Business Day. (c) The Administrative Agent, acting solely for this purpose as an agent of the Borrower, shall maintain at one of its offices in Charlotte, North Carolina a copy of each Assignment and Acceptance delivered to it and a register for the recordation of the names and addresses of the Lenders, and the Commitments of, and principal amounts (and stated interest) of the Loans and Revolving Credit Exposure owing to, each Lender pursuant to the terms hereof from time to time (the “Register”).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 (d) Any Lender may at any time, without the consent of, or notice to, the Borrower, the Administrative Agent, the Swingline Lender or the Issuing Bank sell participations to any Person (other than a natural person, the Borrower or any of the Borrower’s Affiliates or Subsidiaries or a Defaulting Lender) (each, a “Participant”)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the Borrower, the Administrative Agent, the Lenders, the Issuing Bank and the Swingline Lender shall continue to deal solely and directly with such Lender in connection with such Lender’s rights and obligations under this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113 1312474.1 (e)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with respect to the following to the extent affecting such Participant: (i) increase the Commitment of any Lender without the written consent of such Lender, (ii) reduce the principal amount of any Loan or LC Disbursement or reduce the rate of interest thereon, or reduce any fees payable hereunder, without the written consent of each Lender affected thereby, (iii) postpone the date fixed for any payment of any principal of, or interest on, any Loan or LC Disbursement or interest thereon or any fees hereunder or reduce the amount of, waive or excuse any such payment, or postpone the scheduled date for the termination or reduction of any Commitment, without the written consent of each Lender affected thereby, (iv) change Section 2.21(b) or (c) in a manner that would alter the pro rata sharing of payments required thereby, without the written consent of each Lender, (v) change any of the provisions of this Section 11.4 or the definition of “Required Lenders” or any other provision hereof specifying the number or percentage of Lenders which are required to waive, amend or modify any rights hereunder or make any determination or grant any consent hereunder, without the consent of each Lender, (vi) release any Guarantor or limit the liability of any such Guarantor under any Guaranty without the written consent of each Lender except to the extent such release is expressly provided under the terms of this Agreement or (vii) release all or substantially all collateral (if any) securing any of the Obligations. The Borrower agrees that each Participant shall be entitled to the benefits of Sections 2.18, 2.19, and 2.20 (subject to the requirements and limitations therein, including the requirements under Section 2.20(g) (it being understood that the documentation required under Section 2.20(g) shall be delivered to the participating Lender)) to the same extent as if it were a Lender and had acquired its interest by assignment pursuant to paragraph (b) of this Section 11.4; provided that such Participant (A) agrees to be subject to the provisions of Sections 2.24 and 2.25 as if it were an assignee under paragraph (b) of this Section 11.4; and (B) shall not be entitled to receive any greater payment under Sections 2.18 or 2.20,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Borrower to effectuate the provision of Section 2.25 with respect to any Participant. To the extent permitted by Law, each Participant also shall be entitled to the benefits of Section 11.7 as though it were a Lender, provided such Participant agrees to be subject to Section 2.21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114 1312474.1 participation for all purposes of this Agreement notwithstanding any notice to the contrary. For the avoidance of doubt, the Administrative Agent (in its capacity as Administrative Agent) shall have no responsibility for maintaining a Participant Register. (f) Any Lender may at any time pledge or assign a security interest in all or any portion of its rights under this Agreement to secure obligations of such Lender, including without limitation any pledge or assignment to secure obligations to a Federal Reserve Bank; provided that no such pledge or assignment shall release such Lender from any of its obligations hereunder or substitute any such pledgee or assignee for such Lender as a party hereto. Section 11.5. Governing Law; Jurisdiction; Consent to Service of Process. (a)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construed in accordance with and be governed by the Law (without giving effect to the conflict of law principles thereof) of the State of New York. (b) Each Loan Party hereby irrevocably and unconditionally submits, for itself and its property, to the exclusive jurisdiction of the United States District Court of the Southern District of New York, and of the Supreme Court of the State of New York sitting in New York County and any appellate court from any thereof, in any action or proceeding arising out of or relating to this Agreement or any other Loan Document or the transactions contemplated hereby or thereby, or for recognition or enforcement of any judgment, and each of the parties hereto hereby irrevocably and unconditionally agrees that all claims in respect of any such action or proceeding may be heard and determined in such District Court or New York state court or, to the extent permitted by applicable Law,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properties in the courts of any jurisdiction. (c) Each Loan Party irrevocably and unconditionally waives any objection which it may now or hereafter have to the laying of venue of any such suit, action or proceeding described in paragraph (b) of this Section 11.5 and brought in any court referred to in paragraph (b) of this Section 11.5. Each of the parties hereto irrevocably waives, to the fullest extent permitted by applicable Law, the defense of an inconvenient forum to the maintenance of such action or proceeding in any such court. (d) Each party to this Agreement irrevocably consents to the service of process in the manner provided for notices in Section 11.1. Nothing in this Agreement or in any other Loan Document will affect the right of any party hereto to serve process in any other manner permitted by Law.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115 1312474.1 Section 11.6. WAIVER OF JURY TRIAL. EACH PARTY HERETO IRREVOCABLY WAIVES, TO THE FULLEST EXTENT PERMITTED BY APPLICABLE LAW, ANY RIGHT IT MAY HAVE TO A TRIAL BY JURY IN ANY LEGAL PROCEEDING DIRECTLY OR INDIRECTLY ARISING OUT OF THIS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Section 11.7. Right of Setoff. In addition to any rights now or hereafter granted under applicable Law and not by way of limitation of any such rights, each Lender and the Issuing Bank shall have the right, at any time or from time to time upon the occurrence and during the continuance of an Event of Default, without prior notice to the Borrower, any such notice being expressly waived by the Borrower to the extent permitted by applicable Law, to set off and apply against all deposits (general or special, time or demand, provisional or final) of the Borrower at any time held or other obligations at any time owing by such Lender and the Issuing Bank to or for the credit or the account of the Borrower against any and all Obligations held by such Lender or the Issuing Bank, as the case may be, irrespective of whether such Lender or the Issuing Bank shall have made demand hereunder and although such Obligations may be unmatured. Each Lender and the Issuing Bank agree promptly to notify the Administrative Agent and the Borrower after any such set-off and any application made by such Lender and the Issuing Bank, as the case may be; provided, that the failure to give such notice shall not affect the validity of such set-off and application. Each Lender and the Issuing Bank agrees to apply all amounts collected from any such set-off to the Obligations before applying such amounts to any other Indebtedness or other obligations owed by the Borrower and any of its Subsidiaries to such Lender or Issuing Bank. Notwithstanding the provisions of this Section 11.7, if at any time any Lender, the Issuing Bank or any of their respective Affiliates maintains one or more deposit accounts for the Borrower or any other Loan Party into which Medicare and/or Medicaid receivables are deposited, such Person shall waive the right of setoff set forth herein. Section 11.8. Counterparts; Integration. This Agreement may be executed by one or more of the parties to this Agreement on any number of separate counterparts (including by telecopy), and all of said counterparts taken together shall be deemed to constitute one and the same instrument. This Agreement, the Fee Letter, the other Loan Documents, and any separate letter agreement(s) relating to any fees payable to the Administrative Agent and its Affiliates constitute the entire agreement among the parties hereto and thereto and their affiliates regarding the subject matters hereof and thereof and supersede all prior agreements and understandings, oral or written, regarding such subject matters. Delivery of an executed counterpart of a signature page of this Agreement and any other Loan Document by facsimile transmission or by any other electronic imaging means (including .pdf), shall be effective as delivery of a manually executed counterpart of this Agreement or such other Loan Document. Section 11.9. Survival. All covenants, agreements, representations and warranties made by any Loan Party herein, in the Loan Documents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116 1312474.1 behalf and notwithstanding that the Administrative Agent, the Issuing Bank or any Lender may have had notice or knowledge of any Default or Event of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2.18, 2.19, 2.20, and 11.3 and Article IX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 All representations and warranties made herein, in the Loan Documents, in the certificates, reports, notices, and other documents delivered pursuant to this Agreement shall survive the execution and delivery of this Agreement and the other Loan Documents, and the making of the Loans and the issuance of the Letters of Credit. Section 11.10. Severability. Any provision of this Agreement or any other Loan Document held to be illegal, invalid or unenforceable in any jurisdiction, shall, as to such jurisdiction, be ineffective to the extent of such illegality, invalidity or unenforceability without affecting the legality, validity or enforceability of the remaining provisions hereof or thereof; and the illegality, invalidity or unenforceability of a particular provision in a particular jurisdiction shall not invalidate or render unenforceable such provision in any other jurisdiction. Section 11.11. Confidentiality. Each of the Administrative Agent, the Issuing Bank and the Lenders agrees to take normal and reasonable precautions to maintain the confidentiality of any information relating to the Borrower or any of its Subsidiaries or any of their respective businesses, to the extent designated in writing as confidential and provided to it by the Borrower or any Subsidiary, other than any such information that is available to the Administrative Agent, the Issuing Bank or any Lender on a nonconfidential basis prior to disclosure by the Borrower or any of its Subsidiaries, except that such information may be disclosed (i) to any Related Party of the Administrative Agent, the Issuing Bank or any such Lender including without limitation accountants, legal counsel and other advisors, (ii) to the extent required by applicable Laws or regulations or by any subpoena or similar legal process, (iii) to the extent requested by any regulatory agency or authority purporting to have jurisdiction over it (including any self- regulatory authority such as the National Association of Insurance Commissioners), (iv) to the extent that such information becomes publicly available other than as a result of a breach of this Section 11.11, or which becomes available to the Administrative Agent, the Issuing Bank, any Lender or any Related Party of any of the foregoing on a non-confidential basis from a source other than the Borrower, (v) in connection with the exercise of any remedy hereunder or under any other Loan Documents or any suit, action or proceeding relating to this Agreement or any other Loan Documents or the enforcement of rights hereunder or thereunder, (vii) subject to an agreement containing provisions substantially the same as those of this Section 11.11, to (A) any assignee of or Participant in, or any prospective assignee of or Participant in, any of its rights or obligations under this Agreement, or (B) any actual or prospective party (or its Related Parties) to any swap or derivative or similar transaction under which payments are to be made by reference to the Borrower and its obligations, this Agreement or payments hereunder, (viii) any rating agency, (ix) the CUSIP Service Bureau or any similar organization, or (x) with the consent of the Borrower. Any Person required to maintain the confidentiality of any information as provided for in this Section 11.11 shall be considered to have complied with its obligation to do so if such Person has exercised the same degree of care to maintain the confidentiality of such information as such Person would accord its own confidential information.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117 1312474.1 Section 11.12. Interest Rate Limitation. Notwithstanding anything herein to the contrary, if at any time the interest rate applicable to any Loan, together with all fees, charges and other amounts which may be treated as interest on such Loan under applicable Law (collectively, the “Charges”), shall exceed the maximum lawful rate of interest (the “Maximum Rate”) which may be contracted for, charged, taken, received or reserved by a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11.12 shall be cumulated and the interest and Charges payable to such Lender in respect of other Loans or periods shall be increased (but not above the Maximum Rate therefor) until such cumulated amount, together with interest thereon at the Federal Funds Rate to the date of repayment (to the extent permitted by applicable Law), shall have been received by such Lender. Section 11.13. Waiver of Effect of Corporate Seal. Each Loan Party represents and warrants to the Administrative Agent and the Lenders that neither it nor any other Loan Party is required to affix its corporate seal to this Agreement or any other Loan Document pursuant to any Law, agrees that this Agreement is delivered by Borrower under seal and waives any shortening of the statute of limitations that may result from not affixing the corporate seal to this Agreement or such other Loan Documents. Section 11.14. Patriot Act. The Administrative Agent and each Lender hereby notifies the Loan Parties that, pursuant to the requirements of the Patriot Act, it is required to obtain, verify and record information that identifies each Loan Party, which information includes the name and address of such Loan Party and other information that will allow such Lender or the Administrative Agent, as applicable, to identify such Loan Party in accordance with the Patriot Act. Section 11.15. No Advisory or Fiduciary Responsibility. In connection with all aspects of each transaction contemplated hereby (including in connection with any amendment, waiver or other modification hereof or of any other Loan Document), Borrower and each other Loan Party acknowledges and agrees and acknowledges its Affiliates' understanding that that: (i) (A) the services regarding this Agreement provided by the Administrative Agent, the Arrangers and/or the Lenders are arm’s-length commercial transactions between Borrower, each other Loan Party and their respective Affiliates, on the one hand, and the Administrative Agent, the Arrangers and the Lenders, on the other hand, (B) each of Borrower and the other Loan Parties have consulted their own legal, accounting, regulatory and tax advisors to the extent they have deemed appropriate, and (C) Borrower and each other Loan Party is capable of evaluating and understanding, and understands and accepts, the terms, risks and conditions of the transactions contemplated hereby and by the other Loan Documents; (ii) (A) each of the Administrative Agent, the Arrangers and the Lenders is and has been acting solely as a principal and, except as expressly agreed in writing by the relevant parties, has not been, is not, and will not be acting as an advisor, agent or fiduciary, for Borrower, any other Loan Party, or any of their respective Affiliates, or any other Person and (B) none of the Administrative Agent, the Arrangers and any Lender has any obligation to Borrower, any other Loan Party or any of their Affiliates with respect to the transaction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Borrower, the other Loan Parties and their respective Affiliates, and each of the Administrative Agent, the Arrangers and the Lenders has no obligation to disclose any of such interests to Borrower, any other Loan Party of any of their respective Affiliates. To the fullest extent permitted by Law, each of Borrower and the other Loan Parties hereby waive and release any claims that it may have against the Administrative Agent, the Arrangers and each Lender with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118 1312474.1 respect to any breach or alleged breach of agency or fiduciary duty in connection with any aspect of any transaction contemplated hereby. Section 11.16. Electronic Execution of Assignments and Certain Other Documents. The words “execution,” “signed,” “signature,” and words of like import in any Assignment and Acceptance or in any amendment or other modification hereof (including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 Section 11.17. Acknowledgement and Consent to Bail-In of Affected Financial Institutions.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that such liability is unsecured, may be subject to the Write-Down and Conversion Powers of the applicable Resolution Authority, and each party hereto agrees and consents to, and acknowledges and agrees to be bound by: (a) the application of any Write-Down and Conversion Powers by the applicable Resolution Authority to any such liabilities arising hereunder that may be payable to it by any Lender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 Section 11.18. Certain ERISA Matters. (a) Each Lender (x) represents and warrants, as of the date such Person became a Lender party hereto, to, and (y) covenants, from the date such Person became a Lender party hereto to the date such Person ceases being a Lender party hereto, for the benefit of, the Administrative Agent, the Arrangers, and their respective Affiliates, and not, for the avoidance of doubt, to or for the benefit of the Borrower or any other Loan Party, that at least one of the following is and will be true: (i) such Lender is not using “plan assets” (within the meaning of Section 3(42) of ERISA or otherwise) of one or more Benefit Plans with respect to such Lender’s entrance into, participation in, administration of and performance of the connection with the Loans, the Letters of Credit, the Commitments or this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119 1312474.1 (ii) the transaction exemption set forth in one or more PTEs, such as PTE 84- 14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(iv) such other representation, warranty and covenant as may be agreed in writing between the Administrative Agent, in its sole discretion, and such Lender.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 Section 11.19. Acknowledgement Regarding any Supported QFCs. (a) To the extent that the Loan Documents provide support, through a guarantee or otherwise, for any Swap Obligation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120 1312474.1 QFC Credit Support (with the provisions below applicable notwithstanding that the Loan Documents and any Supported QFC may in fact be stated to be governed by the laws of the State of New York and/or of the United States or any other state of the United States. (b) In the event that a Covered Entity that is a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that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[SIGNATURE PAGES OMITTED]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1312454.1 Exhibit B Exhibit 2.3 [FORM OF] NOTICE OF REVOLVING BORROWING [Date] Truist Bank Agency Services 303 Peachtree Street, N.E. / 25th Floor Atlanta, Georgia 30308 Attention: Katie Lundin Facsimile: (404) 495-2170 Email: Katie.Lundin@suntrust.com To Whom It May Concern: Reference is made to the Credit Agreement dated as of June 8, 2020 (as amended, modified, supplemented, increased and extended from time to time, the “Credit Agreement”), among the undersigned, as Borrower, the Guarantors identified therein, the Lenders identified therein, and Truist Bank, as Administrative Agent, Issuing Bank and Swingline Lender. Capitalized terms used herein but not otherwise defined herein shall have the meanings provided in the Credit Agreement. This notice constitutes a Notice of Revolving Borrowing. The Borrower hereby requests a Borrowing of Revolving Loans under the Credit Agreement, and in connection therewith the Borrower specifies the following information with respect to the Borrowing of Revolving Loans requested hereby: (A) Aggregate principal amount of Borrowing of Revolving Loans1: (B) Date of Borrowing of Revolving Loans (which is a Business Day): (C) Type of Revolving Loans comprising such Borrowing of Revolving Loans 2: (D) [If SOFR Loans] Interest Period3: (E) Location and number of Borrower’s account to which proceeds of such Borrowing of Revolving Loans are to be disbursed: [The Borrower hereby represents and warrants that, after giving effect to the Borrowing contemplated hereby, the Borrower is in compliance with clause (b) of the definition of 364 Day Bridge Senior Unsecured Indebtedness in the Credit Agreement.]4 [SIGNATURE ON FOLLOWING PAGE] 1 In the case of a Borrowing of SOFR Loans, not less than $5,000,000 or a larger multiple of $1,000,000; in the case of a Borrowing of Base Rate Loans, not less than $1,000,000 or a larger multiple of $100,000. 2 Borrowing of SOFR Loans or Base Rate Loans. 3 Which must comply with the definition of “Interest Period” and end not later than the Revolving Commitment Termination Date. 4 To be included to the extent any 364 Day Bridge Senior Unsecured Indebtedness is outstanding.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1312454.1 The Borrower hereby represents and warrants that the conditions specified in Section 3.2 of the Credit Agreement are satisfied. Very truly yours, MOLINA HEALTHCARE, INC., a Delaware corporation By: Name: Title: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1312454.1 Exhibit 2.7 [FORM OF] NOTICE OF CONVERSION/CONTINUATION [Date] Truist Bank Agency Services 303 Peachtree Street, N.E. / 25th Floor Atlanta, Georgia 30308 Attention: Katie Lundin Facsimile: (404) 495-2170 Email: Katie.Lundin@suntrust.com To Whom It May Concern: Reference is made to the Credit Agreement dated as of June 8, 2020 (as amended, modified, supplemented, increased and extended from time to time, the “Credit Agreement”), among the undersigned, as Borrower, the Guarantors identified therein, the Lenders identified therein, and Truist Bank, as Administrative Agent, Issuing Bank and Swingline Lender. Capitalized terms used herein but not otherwise defined herein shall have the meanings provided in the Credit Agreement. This notice constitutes a Notice of Conversion/Continuation. The Borrower hereby requests a continuation or conversion under the Credit Agreement, and in connection therewith the Borrower specifies the following information with respect to the continuation or conversion requested hereby: (A) Aggregate principal amount of the Borrowing to be continued or converted5: (B) Date of continuation or conversion (which is a Business Day): (C) Type of Loans comprising such Borrowing6: (D) [If SOFR Loans] Interest Period7: [SIGNATURE ON FOLLOWING PAGE] 5 In the case of a Borrowing of SOFR Loans, not less than $5,000,000 or a larger multiple of $1,000,000; in the case of a Borrowing of Base Rate Loans, not less than $1,000,000 or a larger multiple of $100,000. 6 Borrowing of SOFR Loans or Base Rate Loans. 7 Which must comply with the definition of “Interest Period” and end not later than the Revolving Commitment Termination Date.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1312454.1 The Borrower hereby represents and warrants that the conditions specified in Section 3.2 of the Credit Agreement are satisfied. Very truly yours, MOLINA HEALTHCARE, INC., a Delaware corporation By: Name: Title: </w:t>
      </w:r>
    </w:p>
    <w:p>
      <w:pPr>
        <w:pStyle w:val="HorizontalLine"/>
        <w:pBdr>
          <w:bottom w:val="single" w:sz="20" w:space="0" w:color="808080"/>
        </w:pBdr>
        <w:jc w:val="center"/>
        <w:rPr/>
      </w:pPr>
      <w:r>
        <w:rPr/>
      </w:r>
    </w:p>
    <w:p>
      <w:pPr>
        <w:pStyle w:val="TextBody"/>
        <w:jc w:val="center"/>
        <w:rPr/>
      </w:pPr>
      <w:r>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31.1 </w:t>
      </w:r>
    </w:p>
    <w:p>
      <w:pPr>
        <w:pStyle w:val="TextBody"/>
        <w:spacing w:lineRule="auto" w:line="288" w:before="36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RULES 13a-14(a)/15d-14(a)</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UNDER THE SECURITIES EXCHANGE</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ACT OF 1934, AS AMENDED</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I, Joseph M. Zubretsky, certify that:</w:t>
      </w:r>
    </w:p>
    <w:p>
      <w:pPr>
        <w:pStyle w:val="TextBody"/>
        <w:spacing w:lineRule="auto" w:line="288" w:before="120" w:after="283"/>
        <w:ind w:left="0" w:right="0" w:firstLine="495"/>
        <w:rPr>
          <w:rFonts w:ascii="Arial;sans-serif" w:hAnsi="Arial;sans-serif"/>
          <w:b w:val="false"/>
          <w:color w:val="000000"/>
          <w:sz w:val="20"/>
        </w:rPr>
      </w:pPr>
      <w:r>
        <w:rPr>
          <w:rFonts w:ascii="Arial;sans-serif" w:hAnsi="Arial;sans-serif"/>
          <w:b w:val="false"/>
          <w:color w:val="000000"/>
          <w:sz w:val="20"/>
        </w:rPr>
        <w:t>1. I have reviewed the report on Form 10-Q for the period ended March 31, 2023, of Molina Healthcare, Inc.;</w:t>
      </w:r>
    </w:p>
    <w:p>
      <w:pPr>
        <w:pStyle w:val="TextBody"/>
        <w:spacing w:lineRule="auto" w:line="288" w:before="120" w:after="283"/>
        <w:ind w:left="0" w:right="0" w:firstLine="495"/>
        <w:rPr>
          <w:rFonts w:ascii="Arial;sans-serif" w:hAnsi="Arial;sans-serif"/>
          <w:b w:val="false"/>
          <w:color w:val="000000"/>
          <w:sz w:val="20"/>
        </w:rPr>
      </w:pPr>
      <w:r>
        <w:rPr>
          <w:rFonts w:ascii="Arial;sans-serif" w:hAnsi="Arial;sans-serif"/>
          <w:b w:val="false"/>
          <w:color w:val="000000"/>
          <w:sz w:val="20"/>
        </w:rPr>
        <w:t>2. 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pStyle w:val="TextBody"/>
        <w:spacing w:lineRule="auto" w:line="288" w:before="120" w:after="283"/>
        <w:ind w:left="0" w:right="0" w:firstLine="495"/>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pStyle w:val="TextBody"/>
        <w:spacing w:lineRule="auto" w:line="288" w:before="120" w:after="283"/>
        <w:ind w:left="0" w:right="0" w:firstLine="495"/>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pStyle w:val="TextBody"/>
        <w:spacing w:lineRule="auto" w:line="288" w:before="120" w:after="283"/>
        <w:ind w:left="0" w:right="0" w:firstLine="990"/>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pStyle w:val="TextBody"/>
        <w:spacing w:lineRule="auto" w:line="288" w:before="120" w:after="283"/>
        <w:ind w:left="0" w:right="0" w:firstLine="990"/>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firstLine="990"/>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pStyle w:val="TextBody"/>
        <w:spacing w:lineRule="auto" w:line="288" w:before="120" w:after="283"/>
        <w:ind w:left="0" w:right="0" w:firstLine="990"/>
        <w:rPr>
          <w:rFonts w:ascii="Arial;sans-serif" w:hAnsi="Arial;sans-serif"/>
          <w:b w:val="false"/>
          <w:color w:val="000000"/>
          <w:sz w:val="20"/>
        </w:rPr>
      </w:pPr>
      <w:r>
        <w:rPr>
          <w:rFonts w:ascii="Arial;sans-serif" w:hAnsi="Arial;sans-serif"/>
          <w:b w:val="false"/>
          <w:color w:val="000000"/>
          <w:sz w:val="20"/>
        </w:rPr>
        <w:t>(d) 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firstLine="495"/>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pStyle w:val="TextBody"/>
        <w:spacing w:lineRule="auto" w:line="288" w:before="120" w:after="283"/>
        <w:ind w:left="0" w:right="0" w:firstLine="990"/>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firstLine="99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r>
        <w:rPr>
          <w:color w:val="000000"/>
        </w:rPr>
        <w:t> </w:t>
      </w:r>
    </w:p>
    <w:tbl>
      <w:tblPr>
        <w:tblW w:w="6745" w:type="dxa"/>
        <w:jc w:val="center"/>
        <w:tblInd w:w="0" w:type="dxa"/>
        <w:tblCellMar>
          <w:top w:w="28" w:type="dxa"/>
          <w:left w:w="28" w:type="dxa"/>
          <w:bottom w:w="28" w:type="dxa"/>
          <w:right w:w="28" w:type="dxa"/>
        </w:tblCellMar>
      </w:tblPr>
      <w:tblGrid>
        <w:gridCol w:w="705"/>
        <w:gridCol w:w="621"/>
        <w:gridCol w:w="623"/>
        <w:gridCol w:w="109"/>
        <w:gridCol w:w="109"/>
        <w:gridCol w:w="109"/>
        <w:gridCol w:w="1308"/>
        <w:gridCol w:w="1308"/>
        <w:gridCol w:w="1853"/>
      </w:tblGrid>
      <w:tr>
        <w:trPr/>
        <w:tc>
          <w:tcPr>
            <w:tcW w:w="705"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853"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 April 27,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Joseph M. Zubretsky</w:t>
            </w:r>
          </w:p>
        </w:tc>
      </w:tr>
      <w:tr>
        <w:trPr/>
        <w:tc>
          <w:tcPr>
            <w:tcW w:w="19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Joseph M. Zubretsky</w:t>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Chief Executive Officer, President and Director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70" name="Frame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31.2 </w:t>
      </w:r>
    </w:p>
    <w:p>
      <w:pPr>
        <w:pStyle w:val="TextBody"/>
        <w:spacing w:lineRule="auto" w:line="288" w:before="36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RULES 13a-14(a)/15d-14(a)</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UNDER THE SECURITIES EXCHANGE</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ACT OF 1934, AS AMENDED</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I, Mark L. Keim, certify that:</w:t>
      </w:r>
    </w:p>
    <w:p>
      <w:pPr>
        <w:pStyle w:val="TextBody"/>
        <w:spacing w:lineRule="auto" w:line="288" w:before="120" w:after="283"/>
        <w:ind w:left="0" w:right="0" w:firstLine="495"/>
        <w:rPr>
          <w:rFonts w:ascii="Arial;sans-serif" w:hAnsi="Arial;sans-serif"/>
          <w:b w:val="false"/>
          <w:color w:val="000000"/>
          <w:sz w:val="20"/>
        </w:rPr>
      </w:pPr>
      <w:r>
        <w:rPr>
          <w:rFonts w:ascii="Arial;sans-serif" w:hAnsi="Arial;sans-serif"/>
          <w:b w:val="false"/>
          <w:color w:val="000000"/>
          <w:sz w:val="20"/>
        </w:rPr>
        <w:t>1. I have reviewed the report on Form 10-Q for the period ended March 31, 2023, of Molina Healthcare, Inc.;</w:t>
      </w:r>
    </w:p>
    <w:p>
      <w:pPr>
        <w:pStyle w:val="TextBody"/>
        <w:spacing w:lineRule="auto" w:line="288" w:before="120" w:after="283"/>
        <w:ind w:left="0" w:right="0" w:firstLine="495"/>
        <w:rPr>
          <w:rFonts w:ascii="Arial;sans-serif" w:hAnsi="Arial;sans-serif"/>
          <w:b w:val="false"/>
          <w:color w:val="000000"/>
          <w:sz w:val="20"/>
        </w:rPr>
      </w:pPr>
      <w:r>
        <w:rPr>
          <w:rFonts w:ascii="Arial;sans-serif" w:hAnsi="Arial;sans-serif"/>
          <w:b w:val="false"/>
          <w:color w:val="000000"/>
          <w:sz w:val="20"/>
        </w:rPr>
        <w:t>2. 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pStyle w:val="TextBody"/>
        <w:spacing w:lineRule="auto" w:line="288" w:before="120" w:after="283"/>
        <w:ind w:left="0" w:right="0" w:firstLine="495"/>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pStyle w:val="TextBody"/>
        <w:spacing w:lineRule="auto" w:line="288" w:before="120" w:after="283"/>
        <w:ind w:left="0" w:right="0" w:firstLine="495"/>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pStyle w:val="TextBody"/>
        <w:spacing w:lineRule="auto" w:line="288" w:before="120" w:after="283"/>
        <w:ind w:left="0" w:right="0" w:firstLine="990"/>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pStyle w:val="TextBody"/>
        <w:spacing w:lineRule="auto" w:line="288" w:before="120" w:after="283"/>
        <w:ind w:left="0" w:right="0" w:firstLine="990"/>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firstLine="990"/>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pStyle w:val="TextBody"/>
        <w:spacing w:lineRule="auto" w:line="288" w:before="120" w:after="283"/>
        <w:ind w:left="0" w:right="0" w:firstLine="990"/>
        <w:rPr>
          <w:rFonts w:ascii="Arial;sans-serif" w:hAnsi="Arial;sans-serif"/>
          <w:b w:val="false"/>
          <w:color w:val="000000"/>
          <w:sz w:val="20"/>
        </w:rPr>
      </w:pPr>
      <w:r>
        <w:rPr>
          <w:rFonts w:ascii="Arial;sans-serif" w:hAnsi="Arial;sans-serif"/>
          <w:b w:val="false"/>
          <w:color w:val="000000"/>
          <w:sz w:val="20"/>
        </w:rPr>
        <w:t>(d) 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firstLine="495"/>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pStyle w:val="TextBody"/>
        <w:spacing w:lineRule="auto" w:line="288" w:before="120" w:after="283"/>
        <w:ind w:left="0" w:right="0" w:firstLine="990"/>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firstLine="990"/>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tbl>
      <w:tblPr>
        <w:tblW w:w="5845" w:type="dxa"/>
        <w:jc w:val="center"/>
        <w:tblInd w:w="0" w:type="dxa"/>
        <w:tblCellMar>
          <w:top w:w="28" w:type="dxa"/>
          <w:left w:w="28" w:type="dxa"/>
          <w:bottom w:w="28" w:type="dxa"/>
          <w:right w:w="28" w:type="dxa"/>
        </w:tblCellMar>
      </w:tblPr>
      <w:tblGrid>
        <w:gridCol w:w="705"/>
        <w:gridCol w:w="621"/>
        <w:gridCol w:w="623"/>
        <w:gridCol w:w="109"/>
        <w:gridCol w:w="109"/>
        <w:gridCol w:w="109"/>
        <w:gridCol w:w="1045"/>
        <w:gridCol w:w="1045"/>
        <w:gridCol w:w="1479"/>
      </w:tblGrid>
      <w:tr>
        <w:trPr/>
        <w:tc>
          <w:tcPr>
            <w:tcW w:w="705"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479"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 April 27,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L. Keim</w:t>
            </w:r>
          </w:p>
        </w:tc>
      </w:tr>
      <w:tr>
        <w:trPr/>
        <w:tc>
          <w:tcPr>
            <w:tcW w:w="19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Mark L. Keim</w:t>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Chief Financial Officer and Treasurer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71" name="Frame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32.1 </w:t>
      </w:r>
    </w:p>
    <w:p>
      <w:pPr>
        <w:pStyle w:val="TextBody"/>
        <w:spacing w:lineRule="auto" w:line="288" w:before="360" w:after="283"/>
        <w:jc w:val="center"/>
        <w:rPr>
          <w:rFonts w:ascii="Arial;sans-serif" w:hAnsi="Arial;sans-serif"/>
          <w:b/>
          <w:color w:val="000000"/>
          <w:sz w:val="20"/>
        </w:rPr>
      </w:pPr>
      <w:r>
        <w:rPr>
          <w:rFonts w:ascii="Arial;sans-serif" w:hAnsi="Arial;sans-serif"/>
          <w:b/>
          <w:color w:val="000000"/>
          <w:sz w:val="20"/>
        </w:rPr>
        <w:t>CERTIFICATE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In connection with the report of Molina Healthcare, Inc. (the “Company”) on Form 10-Q for the period ended March 31, 2023 (the “Report”), I, Joseph M. Zubretsky, Chief Executive Officer of the Company, certify, pursuant to 18 U.S.C. Section 1350, as adopted pursuant to Section 906 of the Sarbanes-Oxley Act of 2002, that:</w:t>
      </w:r>
    </w:p>
    <w:p>
      <w:pPr>
        <w:pStyle w:val="TextBody"/>
        <w:spacing w:lineRule="auto" w:line="288" w:before="120" w:after="283"/>
        <w:ind w:left="0" w:right="0" w:firstLine="990"/>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as amended; and</w:t>
      </w:r>
    </w:p>
    <w:p>
      <w:pPr>
        <w:pStyle w:val="TextBody"/>
        <w:spacing w:lineRule="auto" w:line="288" w:before="120" w:after="283"/>
        <w:ind w:left="0" w:right="0" w:firstLine="990"/>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tbl>
      <w:tblPr>
        <w:tblW w:w="6745" w:type="dxa"/>
        <w:jc w:val="right"/>
        <w:tblInd w:w="0" w:type="dxa"/>
        <w:tblCellMar>
          <w:top w:w="28" w:type="dxa"/>
          <w:left w:w="28" w:type="dxa"/>
          <w:bottom w:w="28" w:type="dxa"/>
          <w:right w:w="28" w:type="dxa"/>
        </w:tblCellMar>
      </w:tblPr>
      <w:tblGrid>
        <w:gridCol w:w="705"/>
        <w:gridCol w:w="621"/>
        <w:gridCol w:w="623"/>
        <w:gridCol w:w="109"/>
        <w:gridCol w:w="109"/>
        <w:gridCol w:w="109"/>
        <w:gridCol w:w="1308"/>
        <w:gridCol w:w="1308"/>
        <w:gridCol w:w="1853"/>
      </w:tblGrid>
      <w:tr>
        <w:trPr/>
        <w:tc>
          <w:tcPr>
            <w:tcW w:w="705"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853"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 April 27,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Joseph M. Zubretsky</w:t>
            </w:r>
          </w:p>
        </w:tc>
      </w:tr>
      <w:tr>
        <w:trPr/>
        <w:tc>
          <w:tcPr>
            <w:tcW w:w="19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Joseph M. Zubretsky</w:t>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Chief Executive Officer, President and Director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72" name="Frame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32.2 </w:t>
      </w:r>
    </w:p>
    <w:p>
      <w:pPr>
        <w:pStyle w:val="TextBody"/>
        <w:spacing w:lineRule="auto" w:line="288" w:before="360" w:after="283"/>
        <w:jc w:val="center"/>
        <w:rPr>
          <w:rFonts w:ascii="Arial;sans-serif" w:hAnsi="Arial;sans-serif"/>
          <w:b/>
          <w:color w:val="000000"/>
          <w:sz w:val="20"/>
        </w:rPr>
      </w:pPr>
      <w:r>
        <w:rPr>
          <w:rFonts w:ascii="Arial;sans-serif" w:hAnsi="Arial;sans-serif"/>
          <w:b/>
          <w:color w:val="000000"/>
          <w:sz w:val="20"/>
        </w:rPr>
        <w:t>CERTIFICATE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In connection with the report of Molina Healthcare, Inc. (the “Company”) on Form 10-Q for the period ended March 31, 2023 (the “Report”), I, Mark L. Keim, Chief Financial Officer of the Company, certify, pursuant to 18 U.S.C. Section 1350, as adopted pursuant to Section 906 of the Sarbanes-Oxley Act of 2002, that:</w:t>
      </w:r>
    </w:p>
    <w:p>
      <w:pPr>
        <w:pStyle w:val="TextBody"/>
        <w:spacing w:lineRule="auto" w:line="288" w:before="120" w:after="283"/>
        <w:ind w:left="0" w:right="0" w:firstLine="990"/>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as amended; and</w:t>
      </w:r>
    </w:p>
    <w:p>
      <w:pPr>
        <w:pStyle w:val="TextBody"/>
        <w:spacing w:lineRule="auto" w:line="288" w:before="120" w:after="283"/>
        <w:ind w:left="0" w:right="0" w:firstLine="990"/>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tbl>
      <w:tblPr>
        <w:tblW w:w="5845" w:type="dxa"/>
        <w:jc w:val="center"/>
        <w:tblInd w:w="0" w:type="dxa"/>
        <w:tblCellMar>
          <w:top w:w="28" w:type="dxa"/>
          <w:left w:w="28" w:type="dxa"/>
          <w:bottom w:w="28" w:type="dxa"/>
          <w:right w:w="28" w:type="dxa"/>
        </w:tblCellMar>
      </w:tblPr>
      <w:tblGrid>
        <w:gridCol w:w="705"/>
        <w:gridCol w:w="621"/>
        <w:gridCol w:w="623"/>
        <w:gridCol w:w="109"/>
        <w:gridCol w:w="109"/>
        <w:gridCol w:w="109"/>
        <w:gridCol w:w="1045"/>
        <w:gridCol w:w="1045"/>
        <w:gridCol w:w="1479"/>
      </w:tblGrid>
      <w:tr>
        <w:trPr/>
        <w:tc>
          <w:tcPr>
            <w:tcW w:w="705"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479"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 April 27,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L. Keim</w:t>
            </w:r>
          </w:p>
        </w:tc>
      </w:tr>
      <w:tr>
        <w:trPr/>
        <w:tc>
          <w:tcPr>
            <w:tcW w:w="19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Mark L. Keim</w:t>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Chief Financial Officer and Treasurer</w:t>
            </w:r>
          </w:p>
        </w:tc>
      </w:tr>
    </w:tbl>
    <w:p>
      <w:pPr>
        <w:pStyle w:val="TextBody"/>
        <w:spacing w:before="0" w:after="0"/>
        <w:jc w:val="both"/>
        <w:rPr/>
      </w:pPr>
      <w:r>
        <w:rPr/>
      </w:r>
    </w:p>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73" name="Frame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fontTable" Target="fontTable.xml"/><Relationship Id="rId1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87350</Words>
  <CharactersWithSpaces>563247</CharactersWithSpaces>
  <Paragraphs>2377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exhibit101_firstamendmen</dc:title>
</cp:coreProperties>
</file>