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Carruthers Garrey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MOLINA HEALTHCARE,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MOH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9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2180 HARVARD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01/01/2020</w:t>
            </w: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spacing w:after="0"/>
              <w:rPr>
                <w:sz w:val="20"/>
                <w:szCs w:val="20"/>
                <w:color w:val="auto"/>
              </w:rPr>
            </w:pPr>
            <w:r>
              <w:rPr>
                <w:rFonts w:ascii="Arial" w:cs="Arial" w:eastAsia="Arial" w:hAnsi="Arial"/>
                <w:sz w:val="18"/>
                <w:szCs w:val="18"/>
                <w:color w:val="0000FF"/>
              </w:rPr>
              <w:t>SUITE 400</w:t>
            </w: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w w:val="96"/>
              </w:rPr>
              <w:t>SACRAMENTO CA</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95815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gridSpan w:val="5"/>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60" w:type="dxa"/>
            <w:vAlign w:val="bottom"/>
            <w:gridSpan w:val="5"/>
            <w:vMerge w:val="restart"/>
          </w:tcPr>
          <w:p>
            <w:pPr>
              <w:ind w:left="720"/>
              <w:spacing w:after="0"/>
              <w:rPr>
                <w:sz w:val="20"/>
                <w:szCs w:val="20"/>
                <w:color w:val="auto"/>
              </w:rPr>
            </w:pPr>
            <w:r>
              <w:rPr>
                <w:rFonts w:ascii="Arial" w:cs="Arial" w:eastAsia="Arial" w:hAnsi="Arial"/>
                <w:sz w:val="18"/>
                <w:szCs w:val="18"/>
                <w:color w:val="0000FF"/>
              </w:rPr>
              <w:t>01/01/2020</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300"/>
              <w:spacing w:after="0"/>
              <w:rPr>
                <w:sz w:val="20"/>
                <w:szCs w:val="20"/>
                <w:color w:val="auto"/>
              </w:rPr>
            </w:pPr>
            <w:r>
              <w:rPr>
                <w:rFonts w:ascii="Arial" w:cs="Arial" w:eastAsia="Arial" w:hAnsi="Arial"/>
                <w:sz w:val="27"/>
                <w:szCs w:val="27"/>
                <w:color w:val="0000FF"/>
                <w:w w:val="94"/>
                <w:vertAlign w:val="subscript"/>
              </w:rPr>
              <w:t>A</w:t>
            </w:r>
            <w:r>
              <w:rPr>
                <w:rFonts w:ascii="Arial" w:cs="Arial" w:eastAsia="Arial" w:hAnsi="Arial"/>
                <w:sz w:val="11"/>
                <w:szCs w:val="11"/>
                <w:color w:val="008000"/>
                <w:w w:val="94"/>
              </w:rPr>
              <w:t>(1)</w:t>
            </w:r>
          </w:p>
        </w:tc>
        <w:tc>
          <w:tcPr>
            <w:tcW w:w="640" w:type="dxa"/>
            <w:vAlign w:val="bottom"/>
            <w:vMerge w:val="restart"/>
          </w:tcPr>
          <w:p>
            <w:pPr>
              <w:ind w:left="220"/>
              <w:spacing w:after="0"/>
              <w:rPr>
                <w:sz w:val="20"/>
                <w:szCs w:val="20"/>
                <w:color w:val="auto"/>
              </w:rPr>
            </w:pPr>
            <w:r>
              <w:rPr>
                <w:rFonts w:ascii="Arial" w:cs="Arial" w:eastAsia="Arial" w:hAnsi="Arial"/>
                <w:sz w:val="18"/>
                <w:szCs w:val="18"/>
                <w:color w:val="0000FF"/>
                <w:w w:val="83"/>
              </w:rPr>
              <w:t>405</w:t>
            </w:r>
            <w:r>
              <w:rPr>
                <w:rFonts w:ascii="Arial" w:cs="Arial" w:eastAsia="Arial" w:hAnsi="Arial"/>
                <w:sz w:val="22"/>
                <w:szCs w:val="22"/>
                <w:color w:val="008000"/>
                <w:w w:val="83"/>
                <w:vertAlign w:val="superscript"/>
              </w:rPr>
              <w:t>(2)</w:t>
            </w:r>
          </w:p>
        </w:tc>
        <w:tc>
          <w:tcPr>
            <w:tcW w:w="120" w:type="dxa"/>
            <w:vAlign w:val="bottom"/>
          </w:tcPr>
          <w:p>
            <w:pPr>
              <w:spacing w:after="0"/>
              <w:rPr>
                <w:sz w:val="22"/>
                <w:szCs w:val="22"/>
                <w:color w:val="auto"/>
              </w:rPr>
            </w:pP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920" w:type="dxa"/>
            <w:vAlign w:val="bottom"/>
            <w:gridSpan w:val="4"/>
            <w:vMerge w:val="restart"/>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135.69</w:t>
            </w:r>
            <w:r>
              <w:rPr>
                <w:rFonts w:ascii="Arial" w:cs="Arial" w:eastAsia="Arial" w:hAnsi="Arial"/>
                <w:sz w:val="22"/>
                <w:szCs w:val="22"/>
                <w:color w:val="008000"/>
                <w:w w:val="91"/>
                <w:vertAlign w:val="superscript"/>
              </w:rPr>
              <w:t>(3)</w:t>
            </w:r>
          </w:p>
        </w:tc>
        <w:tc>
          <w:tcPr>
            <w:tcW w:w="360" w:type="dxa"/>
            <w:vAlign w:val="bottom"/>
          </w:tcPr>
          <w:p>
            <w:pPr>
              <w:spacing w:after="0"/>
              <w:rPr>
                <w:sz w:val="22"/>
                <w:szCs w:val="22"/>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0000FF"/>
              </w:rPr>
              <w:t>7,346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 of stock under the Issuer's 2019 Equity Incentive Plan in connection with the Reporting Person's services as a Director.</w:t>
      </w:r>
    </w:p>
    <w:p>
      <w:pPr>
        <w:spacing w:after="0" w:line="41" w:lineRule="exact"/>
        <w:rPr>
          <w:rFonts w:ascii="Arial" w:cs="Arial" w:eastAsia="Arial" w:hAnsi="Arial"/>
          <w:sz w:val="14"/>
          <w:szCs w:val="14"/>
          <w:color w:val="008000"/>
        </w:rPr>
      </w:pPr>
    </w:p>
    <w:p>
      <w:pPr>
        <w:ind w:left="40" w:right="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aggregate dollar value of the annual equity award to each director in 2019-2020 was set at $220,000, with one quarter, or $55,000, to be granted on the first day of each quarter, based on the closing price of the Issuer's common stock on such day. Since the grant date of January 1, 2020 was a non-trading day, the number of shares was calculated based on the closing price of the Issuer's common stock on December 31, 2019, of $135.69. Thus, the grant this quarter for services as a Director is for 405 shares of the Issuer's common stock.</w:t>
      </w:r>
    </w:p>
    <w:p>
      <w:pPr>
        <w:sectPr>
          <w:pgSz w:w="11900" w:h="16838" w:orient="portrait"/>
          <w:cols w:equalWidth="0" w:num="1">
            <w:col w:w="11420"/>
          </w:cols>
          <w:pgMar w:left="240" w:top="226" w:right="239" w:bottom="1440" w:gutter="0" w:footer="0" w:header="0"/>
          <w:type w:val="continuous"/>
        </w:sectPr>
      </w:pPr>
    </w:p>
    <w:p>
      <w:pPr>
        <w:spacing w:after="0" w:line="3"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closing price of the Issuer's common stock on December 31,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Carruthers Family Revocable Trust.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Jeff D. Barlow,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44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attorney for Garrey Carruthers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79"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01/03/2020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00" w:space="16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LIMITED POWER OF ATTORNEY FOR SECTION 16(a) FILINGS</w:t>
      </w:r>
    </w:p>
    <w:p>
      <w:pPr>
        <w:spacing w:after="0" w:line="200" w:lineRule="exact"/>
        <w:rPr>
          <w:sz w:val="20"/>
          <w:szCs w:val="20"/>
          <w:color w:val="auto"/>
        </w:rPr>
      </w:pPr>
    </w:p>
    <w:p>
      <w:pPr>
        <w:spacing w:after="0" w:line="209"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Jeff D. Barlow and Codruta Catanescu, and each acting singly, the undersigned's true and lawful attorney-in-fact to:</w:t>
      </w:r>
    </w:p>
    <w:p>
      <w:pPr>
        <w:spacing w:after="0" w:line="178" w:lineRule="exact"/>
        <w:rPr>
          <w:sz w:val="20"/>
          <w:szCs w:val="20"/>
          <w:color w:val="auto"/>
        </w:rPr>
      </w:pPr>
    </w:p>
    <w:p>
      <w:pPr>
        <w:ind w:right="28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 a Form ID, Uniform Application for Access Codes to File on Edgar; and</w:t>
      </w:r>
    </w:p>
    <w:p>
      <w:pPr>
        <w:spacing w:after="0" w:line="209" w:lineRule="exact"/>
        <w:rPr>
          <w:rFonts w:ascii="Courier New" w:cs="Courier New" w:eastAsia="Courier New" w:hAnsi="Courier New"/>
          <w:sz w:val="18"/>
          <w:szCs w:val="18"/>
          <w:color w:val="auto"/>
        </w:rPr>
      </w:pPr>
    </w:p>
    <w:p>
      <w:pPr>
        <w:ind w:right="3579" w:firstLine="8"/>
        <w:spacing w:after="0" w:line="268"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ID, Form 3, 4, or 5 or amendment thereto</w:t>
      </w:r>
    </w:p>
    <w:p>
      <w:pPr>
        <w:ind w:right="26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timely file such form with the United States Securities and Exchange Commission (the "SEC") and any stock exchange or similar authority.</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grants to each such attorney-in-fact full power</w:t>
      </w:r>
    </w:p>
    <w:p>
      <w:pPr>
        <w:spacing w:after="0" w:line="238" w:lineRule="auto"/>
        <w:rPr>
          <w:sz w:val="20"/>
          <w:szCs w:val="20"/>
          <w:color w:val="auto"/>
        </w:rPr>
      </w:pPr>
      <w:r>
        <w:rPr>
          <w:rFonts w:ascii="Courier New" w:cs="Courier New" w:eastAsia="Courier New" w:hAnsi="Courier New"/>
          <w:sz w:val="18"/>
          <w:szCs w:val="18"/>
          <w:color w:val="auto"/>
        </w:rPr>
        <w:t>and authority to do and perform any and every act and thing whatsoever</w:t>
      </w:r>
    </w:p>
    <w:p>
      <w:pPr>
        <w:spacing w:after="0"/>
        <w:rPr>
          <w:sz w:val="20"/>
          <w:szCs w:val="20"/>
          <w:color w:val="auto"/>
        </w:rPr>
      </w:pPr>
      <w:r>
        <w:rPr>
          <w:rFonts w:ascii="Courier New" w:cs="Courier New" w:eastAsia="Courier New" w:hAnsi="Courier New"/>
          <w:sz w:val="18"/>
          <w:szCs w:val="18"/>
          <w:color w:val="auto"/>
        </w:rPr>
        <w:t>requisite, necessary, or proper to be done in the exercise of any of</w:t>
      </w:r>
    </w:p>
    <w:p>
      <w:pPr>
        <w:spacing w:after="0" w:line="237" w:lineRule="auto"/>
        <w:rPr>
          <w:sz w:val="20"/>
          <w:szCs w:val="20"/>
          <w:color w:val="auto"/>
        </w:rPr>
      </w:pPr>
      <w:r>
        <w:rPr>
          <w:rFonts w:ascii="Courier New" w:cs="Courier New" w:eastAsia="Courier New" w:hAnsi="Courier New"/>
          <w:sz w:val="18"/>
          <w:szCs w:val="18"/>
          <w:color w:val="auto"/>
        </w:rPr>
        <w:t>the rights and powers herein granted, as fully to all intents and</w:t>
      </w:r>
    </w:p>
    <w:p>
      <w:pPr>
        <w:spacing w:after="0" w:line="238" w:lineRule="auto"/>
        <w:rPr>
          <w:sz w:val="20"/>
          <w:szCs w:val="20"/>
          <w:color w:val="auto"/>
        </w:rPr>
      </w:pPr>
      <w:r>
        <w:rPr>
          <w:rFonts w:ascii="Courier New" w:cs="Courier New" w:eastAsia="Courier New" w:hAnsi="Courier New"/>
          <w:sz w:val="18"/>
          <w:szCs w:val="18"/>
          <w:color w:val="auto"/>
        </w:rPr>
        <w:t>purposes as the undersigned might or could do if personally present,</w:t>
      </w:r>
    </w:p>
    <w:p>
      <w:pPr>
        <w:spacing w:after="0"/>
        <w:rPr>
          <w:sz w:val="20"/>
          <w:szCs w:val="20"/>
          <w:color w:val="auto"/>
        </w:rPr>
      </w:pPr>
      <w:r>
        <w:rPr>
          <w:rFonts w:ascii="Courier New" w:cs="Courier New" w:eastAsia="Courier New" w:hAnsi="Courier New"/>
          <w:sz w:val="18"/>
          <w:szCs w:val="18"/>
          <w:color w:val="auto"/>
        </w:rPr>
        <w:t>with full power of substitution or revocation, hereby ratifying and</w:t>
      </w:r>
    </w:p>
    <w:p>
      <w:pPr>
        <w:spacing w:after="0" w:line="237" w:lineRule="auto"/>
        <w:rPr>
          <w:sz w:val="20"/>
          <w:szCs w:val="20"/>
          <w:color w:val="auto"/>
        </w:rPr>
      </w:pPr>
      <w:r>
        <w:rPr>
          <w:rFonts w:ascii="Courier New" w:cs="Courier New" w:eastAsia="Courier New" w:hAnsi="Courier New"/>
          <w:sz w:val="18"/>
          <w:szCs w:val="18"/>
          <w:color w:val="auto"/>
        </w:rPr>
        <w:t>confirming all that such attorney-in-fact, or such attorney-in-fact's</w:t>
      </w:r>
    </w:p>
    <w:p>
      <w:pPr>
        <w:spacing w:after="0"/>
        <w:rPr>
          <w:sz w:val="20"/>
          <w:szCs w:val="20"/>
          <w:color w:val="auto"/>
        </w:rPr>
      </w:pPr>
      <w:r>
        <w:rPr>
          <w:rFonts w:ascii="Courier New" w:cs="Courier New" w:eastAsia="Courier New" w:hAnsi="Courier New"/>
          <w:sz w:val="18"/>
          <w:szCs w:val="18"/>
          <w:color w:val="auto"/>
        </w:rPr>
        <w:t>substitute or substitutes, shall lawfully do or cause to be done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virtue of this Power of Attorney and the rights and powers herein granted.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 the foregoing attorneys-in-fact, in</w:t>
      </w:r>
    </w:p>
    <w:p>
      <w:pPr>
        <w:spacing w:after="0" w:line="238" w:lineRule="auto"/>
        <w:rPr>
          <w:sz w:val="20"/>
          <w:szCs w:val="20"/>
          <w:color w:val="auto"/>
        </w:rPr>
      </w:pPr>
      <w:r>
        <w:rPr>
          <w:rFonts w:ascii="Courier New" w:cs="Courier New" w:eastAsia="Courier New" w:hAnsi="Courier New"/>
          <w:sz w:val="18"/>
          <w:szCs w:val="18"/>
          <w:color w:val="auto"/>
        </w:rPr>
        <w:t>serving in such capacity at the request of the undersigned, are not</w:t>
      </w:r>
    </w:p>
    <w:p>
      <w:pPr>
        <w:spacing w:after="0"/>
        <w:rPr>
          <w:sz w:val="20"/>
          <w:szCs w:val="20"/>
          <w:color w:val="auto"/>
        </w:rPr>
      </w:pPr>
      <w:r>
        <w:rPr>
          <w:rFonts w:ascii="Courier New" w:cs="Courier New" w:eastAsia="Courier New" w:hAnsi="Courier New"/>
          <w:sz w:val="18"/>
          <w:szCs w:val="18"/>
          <w:color w:val="auto"/>
        </w:rPr>
        <w:t>assuming, nor is the Company assuming, any of the undersigned's</w:t>
      </w:r>
    </w:p>
    <w:p>
      <w:pPr>
        <w:spacing w:after="0" w:line="237" w:lineRule="auto"/>
        <w:rPr>
          <w:sz w:val="20"/>
          <w:szCs w:val="20"/>
          <w:color w:val="auto"/>
        </w:rPr>
      </w:pPr>
      <w:r>
        <w:rPr>
          <w:rFonts w:ascii="Courier New" w:cs="Courier New" w:eastAsia="Courier New" w:hAnsi="Courier New"/>
          <w:sz w:val="18"/>
          <w:szCs w:val="18"/>
          <w:color w:val="auto"/>
        </w:rPr>
        <w:t>responsibilities to comply with Section 16 of the Securities Exchange</w:t>
      </w:r>
    </w:p>
    <w:p>
      <w:pPr>
        <w:spacing w:after="0" w:line="238" w:lineRule="auto"/>
        <w:rPr>
          <w:sz w:val="20"/>
          <w:szCs w:val="20"/>
          <w:color w:val="auto"/>
        </w:rPr>
      </w:pPr>
      <w:r>
        <w:rPr>
          <w:rFonts w:ascii="Courier New" w:cs="Courier New" w:eastAsia="Courier New" w:hAnsi="Courier New"/>
          <w:sz w:val="18"/>
          <w:szCs w:val="18"/>
          <w:color w:val="auto"/>
        </w:rPr>
        <w:t>Act of 1934.</w:t>
      </w:r>
    </w:p>
    <w:p>
      <w:pPr>
        <w:spacing w:after="0" w:line="200" w:lineRule="exact"/>
        <w:rPr>
          <w:sz w:val="20"/>
          <w:szCs w:val="20"/>
          <w:color w:val="auto"/>
        </w:rPr>
      </w:pP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 This Power of Attorney may be filed with the SEC as a confirming statement of the authority granted herein.</w:t>
      </w:r>
    </w:p>
    <w:p>
      <w:pPr>
        <w:spacing w:after="0" w:line="211"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15th day of February, 2012.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Garrey Carruthers</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Garrey Carruthers</w:t>
      </w:r>
    </w:p>
    <w:p>
      <w:pPr>
        <w:spacing w:after="0" w:line="238" w:lineRule="auto"/>
        <w:rPr>
          <w:sz w:val="20"/>
          <w:szCs w:val="20"/>
          <w:color w:val="auto"/>
        </w:rPr>
      </w:pPr>
      <w:r>
        <w:rPr>
          <w:rFonts w:ascii="Courier New" w:cs="Courier New" w:eastAsia="Courier New" w:hAnsi="Courier New"/>
          <w:sz w:val="18"/>
          <w:szCs w:val="18"/>
          <w:color w:val="auto"/>
        </w:rPr>
        <w:t>Printed Name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24.1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9443" TargetMode="External"/><Relationship Id="rId13" Type="http://schemas.openxmlformats.org/officeDocument/2006/relationships/hyperlink" Target="http://www.sec.gov/cgi-bin/browse-edgar?action=getcompany&amp;CIK=00011799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2020-01-03T17:58:37Z</dcterms:created>
  <dcterms:modified xsi:type="dcterms:W3CDTF">2020-01-03T17:58:37Z</dcterms:modified>
</cp:coreProperties>
</file>