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1384935</wp:posOffset>
            </wp:positionH>
            <wp:positionV relativeFrom="paragraph">
              <wp:posOffset>53340</wp:posOffset>
            </wp:positionV>
            <wp:extent cx="43719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71975" cy="8890"/>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1393825</wp:posOffset>
            </wp:positionH>
            <wp:positionV relativeFrom="paragraph">
              <wp:posOffset>73025</wp:posOffset>
            </wp:positionV>
            <wp:extent cx="43548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660" w:hanging="634"/>
        <w:spacing w:after="0" w:line="181" w:lineRule="auto"/>
        <w:tabs>
          <w:tab w:leader="none" w:pos="660" w:val="left"/>
        </w:tabs>
        <w:numPr>
          <w:ilvl w:val="0"/>
          <w:numId w:val="1"/>
        </w:numPr>
        <w:rPr>
          <w:rFonts w:ascii="MS PGothic" w:cs="MS PGothic" w:eastAsia="MS PGothic" w:hAnsi="MS PGothic"/>
          <w:sz w:val="42"/>
          <w:szCs w:val="42"/>
          <w:color w:val="auto"/>
          <w:vertAlign w:val="subscript"/>
        </w:rPr>
      </w:pPr>
      <w:r>
        <w:rPr>
          <w:rFonts w:ascii="Arial" w:cs="Arial" w:eastAsia="Arial" w:hAnsi="Arial"/>
          <w:sz w:val="19"/>
          <w:szCs w:val="19"/>
          <w:b w:val="1"/>
          <w:bCs w:val="1"/>
          <w:color w:val="auto"/>
        </w:rPr>
        <w:t>QUARTERLY REPORT PURSUANT TO SECTION 13 OR 15(d) OF THE SECURITIES EXCHANGE ACT OF 1934</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September 30, 2024</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24"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57785</wp:posOffset>
            </wp:positionV>
            <wp:extent cx="4423410"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2341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MOLINA HEALTHCARE,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53340</wp:posOffset>
            </wp:positionV>
            <wp:extent cx="44234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199" w:lineRule="exact"/>
        <w:rPr>
          <w:sz w:val="24"/>
          <w:szCs w:val="24"/>
          <w:color w:val="auto"/>
        </w:rPr>
      </w:pPr>
    </w:p>
    <w:tbl>
      <w:tblPr>
        <w:tblLayout w:type="fixed"/>
        <w:tblInd w:w="1900" w:type="dxa"/>
        <w:tblCellMar>
          <w:top w:w="0" w:type="dxa"/>
          <w:left w:w="0" w:type="dxa"/>
          <w:bottom w:w="0" w:type="dxa"/>
          <w:right w:w="0" w:type="dxa"/>
        </w:tblCellMar>
      </w:tblPr>
      <w:tr>
        <w:trPr>
          <w:trHeight w:val="223"/>
        </w:trPr>
        <w:tc>
          <w:tcPr>
            <w:tcW w:w="4100" w:type="dxa"/>
            <w:vAlign w:val="bottom"/>
          </w:tcPr>
          <w:p>
            <w:pPr>
              <w:jc w:val="center"/>
              <w:ind w:right="1344"/>
              <w:spacing w:after="0"/>
              <w:rPr>
                <w:sz w:val="20"/>
                <w:szCs w:val="20"/>
                <w:color w:val="auto"/>
              </w:rPr>
            </w:pPr>
            <w:r>
              <w:rPr>
                <w:rFonts w:ascii="Arial" w:cs="Arial" w:eastAsia="Arial" w:hAnsi="Arial"/>
                <w:sz w:val="16"/>
                <w:szCs w:val="16"/>
                <w:b w:val="1"/>
                <w:bCs w:val="1"/>
                <w:color w:val="auto"/>
              </w:rPr>
              <w:t>Delaware</w:t>
            </w:r>
          </w:p>
        </w:tc>
        <w:tc>
          <w:tcPr>
            <w:tcW w:w="2640" w:type="dxa"/>
            <w:vAlign w:val="bottom"/>
          </w:tcPr>
          <w:p>
            <w:pPr>
              <w:jc w:val="right"/>
              <w:ind w:right="104"/>
              <w:spacing w:after="0"/>
              <w:rPr>
                <w:sz w:val="20"/>
                <w:szCs w:val="20"/>
                <w:color w:val="auto"/>
              </w:rPr>
            </w:pPr>
            <w:r>
              <w:rPr>
                <w:rFonts w:ascii="Arial" w:cs="Arial" w:eastAsia="Arial" w:hAnsi="Arial"/>
                <w:sz w:val="16"/>
                <w:szCs w:val="16"/>
                <w:b w:val="1"/>
                <w:bCs w:val="1"/>
                <w:color w:val="auto"/>
              </w:rPr>
              <w:t>13-4204626</w:t>
            </w:r>
          </w:p>
        </w:tc>
      </w:tr>
      <w:tr>
        <w:trPr>
          <w:trHeight w:val="169"/>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(State or other jurisdiction of</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incorporation or organization)</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Identification No.)</w:t>
            </w:r>
          </w:p>
        </w:tc>
      </w:tr>
      <w:tr>
        <w:trPr>
          <w:trHeight w:val="262"/>
        </w:trPr>
        <w:tc>
          <w:tcPr>
            <w:tcW w:w="4100" w:type="dxa"/>
            <w:vAlign w:val="bottom"/>
          </w:tcPr>
          <w:p>
            <w:pPr>
              <w:jc w:val="center"/>
              <w:ind w:right="1344"/>
              <w:spacing w:after="0"/>
              <w:rPr>
                <w:sz w:val="20"/>
                <w:szCs w:val="20"/>
                <w:color w:val="auto"/>
              </w:rPr>
            </w:pPr>
            <w:r>
              <w:rPr>
                <w:rFonts w:ascii="Arial" w:cs="Arial" w:eastAsia="Arial" w:hAnsi="Arial"/>
                <w:sz w:val="16"/>
                <w:szCs w:val="16"/>
                <w:b w:val="1"/>
                <w:bCs w:val="1"/>
                <w:color w:val="auto"/>
              </w:rPr>
              <w:t>200 Oceangate, Suite 100</w:t>
            </w:r>
          </w:p>
        </w:tc>
        <w:tc>
          <w:tcPr>
            <w:tcW w:w="2640" w:type="dxa"/>
            <w:vAlign w:val="bottom"/>
          </w:tcPr>
          <w:p>
            <w:pPr>
              <w:spacing w:after="0"/>
              <w:rPr>
                <w:sz w:val="22"/>
                <w:szCs w:val="22"/>
                <w:color w:val="auto"/>
              </w:rPr>
            </w:pPr>
          </w:p>
        </w:tc>
      </w:tr>
      <w:tr>
        <w:trPr>
          <w:trHeight w:val="221"/>
        </w:trPr>
        <w:tc>
          <w:tcPr>
            <w:tcW w:w="4100" w:type="dxa"/>
            <w:vAlign w:val="bottom"/>
          </w:tcPr>
          <w:p>
            <w:pPr>
              <w:jc w:val="center"/>
              <w:ind w:right="1364"/>
              <w:spacing w:after="0"/>
              <w:rPr>
                <w:sz w:val="20"/>
                <w:szCs w:val="20"/>
                <w:color w:val="auto"/>
              </w:rPr>
            </w:pPr>
            <w:r>
              <w:rPr>
                <w:rFonts w:ascii="Arial" w:cs="Arial" w:eastAsia="Arial" w:hAnsi="Arial"/>
                <w:sz w:val="16"/>
                <w:szCs w:val="16"/>
                <w:b w:val="1"/>
                <w:bCs w:val="1"/>
                <w:color w:val="auto"/>
                <w:w w:val="99"/>
              </w:rPr>
              <w:t>Long Beach, California</w:t>
            </w:r>
          </w:p>
        </w:tc>
        <w:tc>
          <w:tcPr>
            <w:tcW w:w="2640" w:type="dxa"/>
            <w:vAlign w:val="bottom"/>
          </w:tcPr>
          <w:p>
            <w:pPr>
              <w:jc w:val="right"/>
              <w:ind w:right="304"/>
              <w:spacing w:after="0"/>
              <w:rPr>
                <w:sz w:val="20"/>
                <w:szCs w:val="20"/>
                <w:color w:val="auto"/>
              </w:rPr>
            </w:pPr>
            <w:r>
              <w:rPr>
                <w:rFonts w:ascii="Arial" w:cs="Arial" w:eastAsia="Arial" w:hAnsi="Arial"/>
                <w:sz w:val="16"/>
                <w:szCs w:val="16"/>
                <w:b w:val="1"/>
                <w:bCs w:val="1"/>
                <w:color w:val="auto"/>
              </w:rPr>
              <w:t>90802</w:t>
            </w:r>
          </w:p>
        </w:tc>
      </w:tr>
      <w:tr>
        <w:trPr>
          <w:trHeight w:val="196"/>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(Address of principal executive offices)</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(Zip Code)</w:t>
            </w:r>
          </w:p>
        </w:tc>
      </w:tr>
    </w:tbl>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(562) 435-3666</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132080</wp:posOffset>
            </wp:positionV>
            <wp:extent cx="44234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48" w:lineRule="exact"/>
        <w:rPr>
          <w:sz w:val="24"/>
          <w:szCs w:val="24"/>
          <w:color w:val="auto"/>
        </w:rPr>
      </w:pPr>
    </w:p>
    <w:tbl>
      <w:tblPr>
        <w:tblLayout w:type="fixed"/>
        <w:tblInd w:w="950" w:type="dxa"/>
        <w:tblCellMar>
          <w:top w:w="0" w:type="dxa"/>
          <w:left w:w="0" w:type="dxa"/>
          <w:bottom w:w="0" w:type="dxa"/>
          <w:right w:w="0" w:type="dxa"/>
        </w:tblCellMar>
      </w:tblPr>
      <w:tr>
        <w:trPr>
          <w:trHeight w:val="255"/>
        </w:trPr>
        <w:tc>
          <w:tcPr>
            <w:tcW w:w="3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33"/>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$0.001 Par Value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MOH</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148" w:lineRule="exact"/>
        <w:rPr>
          <w:sz w:val="24"/>
          <w:szCs w:val="24"/>
          <w:color w:val="auto"/>
        </w:rPr>
      </w:pPr>
    </w:p>
    <w:p>
      <w:pPr>
        <w:jc w:val="both"/>
        <w:ind w:right="44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46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p>
      <w:pPr>
        <w:ind w:left="180"/>
        <w:spacing w:after="0" w:line="184" w:lineRule="exact"/>
        <w:tabs>
          <w:tab w:leader="none" w:pos="2000" w:val="left"/>
          <w:tab w:leader="none" w:pos="3400" w:val="left"/>
          <w:tab w:leader="none" w:pos="5120" w:val="left"/>
          <w:tab w:leader="none" w:pos="7160" w:val="left"/>
        </w:tabs>
        <w:rPr>
          <w:sz w:val="20"/>
          <w:szCs w:val="20"/>
          <w:color w:val="auto"/>
        </w:rPr>
      </w:pPr>
      <w:r>
        <w:rPr>
          <w:rFonts w:ascii="Arial" w:cs="Arial" w:eastAsia="Arial" w:hAnsi="Arial"/>
          <w:sz w:val="16"/>
          <w:szCs w:val="16"/>
          <w:color w:val="auto"/>
        </w:rPr>
        <w:t>L</w:t>
      </w:r>
      <w:r>
        <w:rPr>
          <w:rFonts w:ascii="Arial" w:cs="Arial" w:eastAsia="Arial" w:hAnsi="Arial"/>
          <w:sz w:val="14"/>
          <w:szCs w:val="14"/>
          <w:color w:val="auto"/>
        </w:rPr>
        <w:t>arge 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Non-Accelerated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ab/>
        <w:t xml:space="preserve">Emerging growth company </w:t>
      </w:r>
      <w:r>
        <w:rPr>
          <w:rFonts w:ascii="MS PGothic" w:cs="MS PGothic" w:eastAsia="MS PGothic" w:hAnsi="MS PGothic"/>
          <w:sz w:val="14"/>
          <w:szCs w:val="14"/>
          <w:color w:val="auto"/>
        </w:rPr>
        <w:t>☐</w:t>
      </w:r>
    </w:p>
    <w:p>
      <w:pPr>
        <w:spacing w:after="0" w:line="139" w:lineRule="exact"/>
        <w:rPr>
          <w:sz w:val="24"/>
          <w:szCs w:val="24"/>
          <w:color w:val="auto"/>
        </w:rPr>
      </w:pPr>
    </w:p>
    <w:p>
      <w:pPr>
        <w:ind w:right="120"/>
        <w:spacing w:after="0" w:line="22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spacing w:after="0" w:line="184" w:lineRule="exact"/>
        <w:tabs>
          <w:tab w:leader="none" w:pos="88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7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issuer’s Common Stock, $0.001 par value, outstanding as of October 18, 2024, was approximately 57.2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MOLINA HEALTHCARE, INC. FORM 10-Q</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FOR THE QUARTERLY PERIOD ENDED SEPTEMBER 30, 2024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TABLE OF CONTENTS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gridSpan w:val="11"/>
          </w:tcPr>
          <w:p>
            <w:pPr>
              <w:ind w:left="20"/>
              <w:spacing w:after="0"/>
              <w:rPr>
                <w:sz w:val="20"/>
                <w:szCs w:val="20"/>
                <w:color w:val="auto"/>
              </w:rPr>
            </w:pPr>
            <w:r>
              <w:rPr>
                <w:rFonts w:ascii="Arial" w:cs="Arial" w:eastAsia="Arial" w:hAnsi="Arial"/>
                <w:sz w:val="16"/>
                <w:szCs w:val="16"/>
                <w:b w:val="1"/>
                <w:bCs w:val="1"/>
                <w:color w:val="auto"/>
              </w:rPr>
              <w:t>ITEM NUMBER</w:t>
            </w:r>
          </w:p>
        </w:tc>
        <w:tc>
          <w:tcPr>
            <w:tcW w:w="3840" w:type="dxa"/>
            <w:vAlign w:val="bottom"/>
          </w:tcPr>
          <w:p>
            <w:pPr>
              <w:spacing w:after="0"/>
              <w:rPr>
                <w:sz w:val="16"/>
                <w:szCs w:val="16"/>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6"/>
                <w:szCs w:val="16"/>
                <w:b w:val="1"/>
                <w:bCs w:val="1"/>
                <w:color w:val="0F7C7F"/>
                <w:w w:val="99"/>
              </w:rPr>
              <w:t>Page</w:t>
            </w:r>
          </w:p>
        </w:tc>
      </w:tr>
      <w:tr>
        <w:trPr>
          <w:trHeight w:val="297"/>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9"/>
              </w:rPr>
              <w:t>PART I</w:t>
            </w:r>
          </w:p>
        </w:tc>
        <w:tc>
          <w:tcPr>
            <w:tcW w:w="3840" w:type="dxa"/>
            <w:vAlign w:val="bottom"/>
          </w:tcPr>
          <w:p>
            <w:pPr>
              <w:spacing w:after="0"/>
              <w:rPr>
                <w:sz w:val="24"/>
                <w:szCs w:val="24"/>
                <w:color w:val="auto"/>
              </w:rPr>
            </w:pPr>
          </w:p>
        </w:tc>
        <w:tc>
          <w:tcPr>
            <w:tcW w:w="22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00" w:type="dxa"/>
            <w:vAlign w:val="bottom"/>
          </w:tcPr>
          <w:p>
            <w:pPr>
              <w:ind w:left="20"/>
              <w:spacing w:after="0"/>
              <w:rPr>
                <w:sz w:val="20"/>
                <w:szCs w:val="20"/>
                <w:color w:val="auto"/>
              </w:rPr>
            </w:pPr>
            <w:r>
              <w:rPr>
                <w:rFonts w:ascii="Arial" w:cs="Arial" w:eastAsia="Arial" w:hAnsi="Arial"/>
                <w:sz w:val="16"/>
                <w:szCs w:val="16"/>
                <w:color w:val="auto"/>
              </w:rPr>
              <w:t>1.</w:t>
            </w:r>
          </w:p>
        </w:tc>
        <w:tc>
          <w:tcPr>
            <w:tcW w:w="6360" w:type="dxa"/>
            <w:vAlign w:val="bottom"/>
            <w:gridSpan w:val="10"/>
          </w:tcPr>
          <w:p>
            <w:pPr>
              <w:spacing w:after="0"/>
              <w:rPr>
                <w:sz w:val="20"/>
                <w:szCs w:val="20"/>
                <w:color w:val="auto"/>
              </w:rPr>
            </w:pPr>
            <w:r>
              <w:rPr>
                <w:rFonts w:ascii="Arial" w:cs="Arial" w:eastAsia="Arial" w:hAnsi="Arial"/>
                <w:sz w:val="16"/>
                <w:szCs w:val="16"/>
                <w:color w:val="0F7C7F"/>
              </w:rPr>
              <w:t>Financial Statements</w:t>
            </w: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w:t>
            </w:r>
          </w:p>
        </w:tc>
        <w:tc>
          <w:tcPr>
            <w:tcW w:w="4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2.</w:t>
            </w:r>
          </w:p>
        </w:tc>
        <w:tc>
          <w:tcPr>
            <w:tcW w:w="6360" w:type="dxa"/>
            <w:vAlign w:val="bottom"/>
            <w:gridSpan w:val="10"/>
          </w:tcPr>
          <w:p>
            <w:pPr>
              <w:spacing w:after="0"/>
              <w:rPr>
                <w:sz w:val="20"/>
                <w:szCs w:val="20"/>
                <w:color w:val="auto"/>
              </w:rPr>
            </w:pPr>
            <w:r>
              <w:rPr>
                <w:rFonts w:ascii="Arial" w:cs="Arial" w:eastAsia="Arial" w:hAnsi="Arial"/>
                <w:sz w:val="16"/>
                <w:szCs w:val="16"/>
                <w:color w:val="0F7C7F"/>
              </w:rPr>
              <w:t>Management’s Discussion and Analysis of Financial Condition and Results of Operations</w:t>
            </w: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22</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00" w:type="dxa"/>
            <w:vAlign w:val="bottom"/>
            <w:shd w:val="clear" w:color="auto" w:fill="0F7C7F"/>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3.</w:t>
            </w:r>
          </w:p>
        </w:tc>
        <w:tc>
          <w:tcPr>
            <w:tcW w:w="4240" w:type="dxa"/>
            <w:vAlign w:val="bottom"/>
            <w:gridSpan w:val="8"/>
          </w:tcPr>
          <w:p>
            <w:pPr>
              <w:spacing w:after="0"/>
              <w:rPr>
                <w:sz w:val="20"/>
                <w:szCs w:val="20"/>
                <w:color w:val="auto"/>
              </w:rPr>
            </w:pPr>
            <w:r>
              <w:rPr>
                <w:rFonts w:ascii="Arial" w:cs="Arial" w:eastAsia="Arial" w:hAnsi="Arial"/>
                <w:sz w:val="16"/>
                <w:szCs w:val="16"/>
                <w:color w:val="0F7C7F"/>
              </w:rPr>
              <w:t>Quantitative and Qualitative Disclosures About Market Risk</w:t>
            </w:r>
          </w:p>
        </w:tc>
        <w:tc>
          <w:tcPr>
            <w:tcW w:w="2120" w:type="dxa"/>
            <w:vAlign w:val="bottom"/>
            <w:gridSpan w:val="2"/>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36</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4.</w:t>
            </w:r>
          </w:p>
        </w:tc>
        <w:tc>
          <w:tcPr>
            <w:tcW w:w="4240" w:type="dxa"/>
            <w:vAlign w:val="bottom"/>
            <w:gridSpan w:val="8"/>
          </w:tcPr>
          <w:p>
            <w:pPr>
              <w:spacing w:after="0"/>
              <w:rPr>
                <w:sz w:val="20"/>
                <w:szCs w:val="20"/>
                <w:color w:val="auto"/>
              </w:rPr>
            </w:pPr>
            <w:r>
              <w:rPr>
                <w:rFonts w:ascii="Arial" w:cs="Arial" w:eastAsia="Arial" w:hAnsi="Arial"/>
                <w:sz w:val="16"/>
                <w:szCs w:val="16"/>
                <w:color w:val="0F7C7F"/>
              </w:rPr>
              <w:t>Controls and Procedures</w:t>
            </w:r>
          </w:p>
        </w:tc>
        <w:tc>
          <w:tcPr>
            <w:tcW w:w="2120" w:type="dxa"/>
            <w:vAlign w:val="bottom"/>
            <w:gridSpan w:val="2"/>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36</w:t>
            </w:r>
          </w:p>
        </w:tc>
        <w:tc>
          <w:tcPr>
            <w:tcW w:w="40" w:type="dxa"/>
            <w:vAlign w:val="bottom"/>
          </w:tcPr>
          <w:p>
            <w:pPr>
              <w:spacing w:after="0"/>
              <w:rPr>
                <w:sz w:val="21"/>
                <w:szCs w:val="21"/>
                <w:color w:val="auto"/>
              </w:rPr>
            </w:pPr>
          </w:p>
        </w:tc>
      </w:tr>
      <w:tr>
        <w:trPr>
          <w:trHeight w:val="297"/>
        </w:trPr>
        <w:tc>
          <w:tcPr>
            <w:tcW w:w="600" w:type="dxa"/>
            <w:vAlign w:val="bottom"/>
          </w:tcPr>
          <w:p>
            <w:pPr>
              <w:spacing w:after="0"/>
              <w:rPr>
                <w:sz w:val="24"/>
                <w:szCs w:val="24"/>
                <w:color w:val="auto"/>
              </w:rPr>
            </w:pPr>
          </w:p>
        </w:tc>
        <w:tc>
          <w:tcPr>
            <w:tcW w:w="560" w:type="dxa"/>
            <w:vAlign w:val="bottom"/>
            <w:tcBorders>
              <w:top w:val="single" w:sz="8" w:color="0F7C7F"/>
            </w:tcBorders>
          </w:tcPr>
          <w:p>
            <w:pPr>
              <w:spacing w:after="0"/>
              <w:rPr>
                <w:sz w:val="24"/>
                <w:szCs w:val="24"/>
                <w:color w:val="auto"/>
              </w:rPr>
            </w:pPr>
          </w:p>
        </w:tc>
        <w:tc>
          <w:tcPr>
            <w:tcW w:w="200" w:type="dxa"/>
            <w:vAlign w:val="bottom"/>
            <w:tcBorders>
              <w:top w:val="single" w:sz="8" w:color="0F7C7F"/>
            </w:tcBorders>
          </w:tcPr>
          <w:p>
            <w:pPr>
              <w:spacing w:after="0"/>
              <w:rPr>
                <w:sz w:val="24"/>
                <w:szCs w:val="24"/>
                <w:color w:val="auto"/>
              </w:rPr>
            </w:pPr>
          </w:p>
        </w:tc>
        <w:tc>
          <w:tcPr>
            <w:tcW w:w="140" w:type="dxa"/>
            <w:vAlign w:val="bottom"/>
            <w:tcBorders>
              <w:top w:val="single" w:sz="8" w:color="0F7C7F"/>
            </w:tcBorders>
          </w:tcPr>
          <w:p>
            <w:pPr>
              <w:spacing w:after="0"/>
              <w:rPr>
                <w:sz w:val="24"/>
                <w:szCs w:val="24"/>
                <w:color w:val="auto"/>
              </w:rPr>
            </w:pPr>
          </w:p>
        </w:tc>
        <w:tc>
          <w:tcPr>
            <w:tcW w:w="36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60" w:type="dxa"/>
            <w:vAlign w:val="bottom"/>
            <w:tcBorders>
              <w:top w:val="single" w:sz="8" w:color="0F7C7F"/>
            </w:tcBorders>
          </w:tcPr>
          <w:p>
            <w:pPr>
              <w:spacing w:after="0"/>
              <w:rPr>
                <w:sz w:val="24"/>
                <w:szCs w:val="24"/>
                <w:color w:val="auto"/>
              </w:rPr>
            </w:pPr>
          </w:p>
        </w:tc>
        <w:tc>
          <w:tcPr>
            <w:tcW w:w="280" w:type="dxa"/>
            <w:vAlign w:val="bottom"/>
            <w:tcBorders>
              <w:top w:val="single" w:sz="8" w:color="0F7C7F"/>
            </w:tcBorders>
          </w:tcPr>
          <w:p>
            <w:pPr>
              <w:spacing w:after="0"/>
              <w:rPr>
                <w:sz w:val="24"/>
                <w:szCs w:val="24"/>
                <w:color w:val="auto"/>
              </w:rPr>
            </w:pPr>
          </w:p>
        </w:tc>
        <w:tc>
          <w:tcPr>
            <w:tcW w:w="45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8"/>
              </w:rPr>
              <w:t>PART II</w:t>
            </w:r>
          </w:p>
        </w:tc>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00" w:type="dxa"/>
            <w:vAlign w:val="bottom"/>
          </w:tcPr>
          <w:p>
            <w:pPr>
              <w:ind w:left="20"/>
              <w:spacing w:after="0"/>
              <w:rPr>
                <w:sz w:val="20"/>
                <w:szCs w:val="20"/>
                <w:color w:val="auto"/>
              </w:rPr>
            </w:pPr>
            <w:r>
              <w:rPr>
                <w:rFonts w:ascii="Arial" w:cs="Arial" w:eastAsia="Arial" w:hAnsi="Arial"/>
                <w:sz w:val="16"/>
                <w:szCs w:val="16"/>
                <w:color w:val="auto"/>
              </w:rPr>
              <w:t>1.</w:t>
            </w:r>
          </w:p>
        </w:tc>
        <w:tc>
          <w:tcPr>
            <w:tcW w:w="1340" w:type="dxa"/>
            <w:vAlign w:val="bottom"/>
            <w:gridSpan w:val="5"/>
          </w:tcPr>
          <w:p>
            <w:pPr>
              <w:spacing w:after="0"/>
              <w:rPr>
                <w:sz w:val="20"/>
                <w:szCs w:val="20"/>
                <w:color w:val="auto"/>
              </w:rPr>
            </w:pPr>
            <w:r>
              <w:rPr>
                <w:rFonts w:ascii="Arial" w:cs="Arial" w:eastAsia="Arial" w:hAnsi="Arial"/>
                <w:sz w:val="16"/>
                <w:szCs w:val="16"/>
                <w:color w:val="0F7C7F"/>
                <w:w w:val="99"/>
              </w:rPr>
              <w:t>Legal Proceedings</w:t>
            </w:r>
          </w:p>
        </w:tc>
        <w:tc>
          <w:tcPr>
            <w:tcW w:w="5020" w:type="dxa"/>
            <w:vAlign w:val="bottom"/>
            <w:gridSpan w:val="5"/>
          </w:tcPr>
          <w:p>
            <w:pPr>
              <w:spacing w:after="0"/>
              <w:rPr>
                <w:sz w:val="19"/>
                <w:szCs w:val="19"/>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36</w:t>
            </w:r>
          </w:p>
        </w:tc>
        <w:tc>
          <w:tcPr>
            <w:tcW w:w="4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1A.</w:t>
            </w:r>
          </w:p>
        </w:tc>
        <w:tc>
          <w:tcPr>
            <w:tcW w:w="900" w:type="dxa"/>
            <w:vAlign w:val="bottom"/>
            <w:gridSpan w:val="3"/>
          </w:tcPr>
          <w:p>
            <w:pPr>
              <w:spacing w:after="0"/>
              <w:rPr>
                <w:sz w:val="20"/>
                <w:szCs w:val="20"/>
                <w:color w:val="auto"/>
              </w:rPr>
            </w:pPr>
            <w:r>
              <w:rPr>
                <w:rFonts w:ascii="Arial" w:cs="Arial" w:eastAsia="Arial" w:hAnsi="Arial"/>
                <w:sz w:val="16"/>
                <w:szCs w:val="16"/>
                <w:color w:val="0F7C7F"/>
                <w:w w:val="98"/>
              </w:rPr>
              <w:t>Risk Factors</w:t>
            </w:r>
          </w:p>
        </w:tc>
        <w:tc>
          <w:tcPr>
            <w:tcW w:w="440" w:type="dxa"/>
            <w:vAlign w:val="bottom"/>
            <w:gridSpan w:val="2"/>
          </w:tcPr>
          <w:p>
            <w:pPr>
              <w:spacing w:after="0"/>
              <w:rPr>
                <w:sz w:val="21"/>
                <w:szCs w:val="21"/>
                <w:color w:val="auto"/>
              </w:rPr>
            </w:pPr>
          </w:p>
        </w:tc>
        <w:tc>
          <w:tcPr>
            <w:tcW w:w="5020" w:type="dxa"/>
            <w:vAlign w:val="bottom"/>
            <w:gridSpan w:val="5"/>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36</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2.</w:t>
            </w:r>
          </w:p>
        </w:tc>
        <w:tc>
          <w:tcPr>
            <w:tcW w:w="4360" w:type="dxa"/>
            <w:vAlign w:val="bottom"/>
            <w:gridSpan w:val="9"/>
          </w:tcPr>
          <w:p>
            <w:pPr>
              <w:spacing w:after="0"/>
              <w:rPr>
                <w:sz w:val="20"/>
                <w:szCs w:val="20"/>
                <w:color w:val="auto"/>
              </w:rPr>
            </w:pPr>
            <w:r>
              <w:rPr>
                <w:rFonts w:ascii="Arial" w:cs="Arial" w:eastAsia="Arial" w:hAnsi="Arial"/>
                <w:sz w:val="16"/>
                <w:szCs w:val="16"/>
                <w:color w:val="0F7C7F"/>
              </w:rPr>
              <w:t>Unregistered Sales of Equity Securities and Use of Proceeds</w:t>
            </w:r>
          </w:p>
        </w:tc>
        <w:tc>
          <w:tcPr>
            <w:tcW w:w="2000" w:type="dxa"/>
            <w:vAlign w:val="bottom"/>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37</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8"/>
        </w:trPr>
        <w:tc>
          <w:tcPr>
            <w:tcW w:w="600" w:type="dxa"/>
            <w:vAlign w:val="bottom"/>
          </w:tcPr>
          <w:p>
            <w:pPr>
              <w:ind w:left="20"/>
              <w:spacing w:after="0"/>
              <w:rPr>
                <w:sz w:val="20"/>
                <w:szCs w:val="20"/>
                <w:color w:val="auto"/>
              </w:rPr>
            </w:pPr>
            <w:r>
              <w:rPr>
                <w:rFonts w:ascii="Arial" w:cs="Arial" w:eastAsia="Arial" w:hAnsi="Arial"/>
                <w:sz w:val="16"/>
                <w:szCs w:val="16"/>
                <w:color w:val="auto"/>
              </w:rPr>
              <w:t>3.</w:t>
            </w:r>
          </w:p>
        </w:tc>
        <w:tc>
          <w:tcPr>
            <w:tcW w:w="4360" w:type="dxa"/>
            <w:vAlign w:val="bottom"/>
            <w:gridSpan w:val="9"/>
          </w:tcPr>
          <w:p>
            <w:pPr>
              <w:spacing w:after="0"/>
              <w:rPr>
                <w:sz w:val="20"/>
                <w:szCs w:val="20"/>
                <w:color w:val="auto"/>
              </w:rPr>
            </w:pPr>
            <w:r>
              <w:rPr>
                <w:rFonts w:ascii="Arial" w:cs="Arial" w:eastAsia="Arial" w:hAnsi="Arial"/>
                <w:sz w:val="16"/>
                <w:szCs w:val="16"/>
                <w:color w:val="auto"/>
              </w:rPr>
              <w:t>Defaults Upon Senior Securities</w:t>
            </w:r>
          </w:p>
        </w:tc>
        <w:tc>
          <w:tcPr>
            <w:tcW w:w="2000" w:type="dxa"/>
            <w:vAlign w:val="bottom"/>
          </w:tcPr>
          <w:p>
            <w:pPr>
              <w:spacing w:after="0"/>
              <w:rPr>
                <w:sz w:val="24"/>
                <w:szCs w:val="24"/>
                <w:color w:val="auto"/>
              </w:rPr>
            </w:pP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70"/>
        </w:trPr>
        <w:tc>
          <w:tcPr>
            <w:tcW w:w="600" w:type="dxa"/>
            <w:vAlign w:val="bottom"/>
          </w:tcPr>
          <w:p>
            <w:pPr>
              <w:ind w:left="20"/>
              <w:spacing w:after="0"/>
              <w:rPr>
                <w:sz w:val="20"/>
                <w:szCs w:val="20"/>
                <w:color w:val="auto"/>
              </w:rPr>
            </w:pPr>
            <w:r>
              <w:rPr>
                <w:rFonts w:ascii="Arial" w:cs="Arial" w:eastAsia="Arial" w:hAnsi="Arial"/>
                <w:sz w:val="16"/>
                <w:szCs w:val="16"/>
                <w:color w:val="auto"/>
              </w:rPr>
              <w:t>4.</w:t>
            </w:r>
          </w:p>
        </w:tc>
        <w:tc>
          <w:tcPr>
            <w:tcW w:w="6360" w:type="dxa"/>
            <w:vAlign w:val="bottom"/>
            <w:gridSpan w:val="10"/>
          </w:tcPr>
          <w:p>
            <w:pPr>
              <w:spacing w:after="0"/>
              <w:rPr>
                <w:sz w:val="20"/>
                <w:szCs w:val="20"/>
                <w:color w:val="auto"/>
              </w:rPr>
            </w:pPr>
            <w:r>
              <w:rPr>
                <w:rFonts w:ascii="Arial" w:cs="Arial" w:eastAsia="Arial" w:hAnsi="Arial"/>
                <w:sz w:val="16"/>
                <w:szCs w:val="16"/>
                <w:color w:val="auto"/>
              </w:rPr>
              <w:t>Mine Safety Disclosures</w:t>
            </w: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32"/>
        </w:trPr>
        <w:tc>
          <w:tcPr>
            <w:tcW w:w="600" w:type="dxa"/>
            <w:vAlign w:val="bottom"/>
          </w:tcPr>
          <w:p>
            <w:pPr>
              <w:ind w:left="20"/>
              <w:spacing w:after="0"/>
              <w:rPr>
                <w:sz w:val="20"/>
                <w:szCs w:val="20"/>
                <w:color w:val="auto"/>
              </w:rPr>
            </w:pPr>
            <w:r>
              <w:rPr>
                <w:rFonts w:ascii="Arial" w:cs="Arial" w:eastAsia="Arial" w:hAnsi="Arial"/>
                <w:sz w:val="16"/>
                <w:szCs w:val="16"/>
                <w:color w:val="auto"/>
              </w:rPr>
              <w:t>5.</w:t>
            </w:r>
          </w:p>
        </w:tc>
        <w:tc>
          <w:tcPr>
            <w:tcW w:w="1260" w:type="dxa"/>
            <w:vAlign w:val="bottom"/>
            <w:gridSpan w:val="4"/>
          </w:tcPr>
          <w:p>
            <w:pPr>
              <w:spacing w:after="0"/>
              <w:rPr>
                <w:sz w:val="20"/>
                <w:szCs w:val="20"/>
                <w:color w:val="auto"/>
              </w:rPr>
            </w:pPr>
            <w:r>
              <w:rPr>
                <w:rFonts w:ascii="Arial" w:cs="Arial" w:eastAsia="Arial" w:hAnsi="Arial"/>
                <w:sz w:val="16"/>
                <w:szCs w:val="16"/>
                <w:color w:val="0F7C7F"/>
                <w:w w:val="99"/>
              </w:rPr>
              <w:t>Other Information</w:t>
            </w:r>
          </w:p>
        </w:tc>
        <w:tc>
          <w:tcPr>
            <w:tcW w:w="5100" w:type="dxa"/>
            <w:vAlign w:val="bottom"/>
            <w:gridSpan w:val="6"/>
          </w:tcPr>
          <w:p>
            <w:pPr>
              <w:spacing w:after="0"/>
              <w:rPr>
                <w:sz w:val="20"/>
                <w:szCs w:val="20"/>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37</w:t>
            </w:r>
          </w:p>
        </w:tc>
        <w:tc>
          <w:tcPr>
            <w:tcW w:w="40" w:type="dxa"/>
            <w:vAlign w:val="bottom"/>
          </w:tcPr>
          <w:p>
            <w:pPr>
              <w:spacing w:after="0"/>
              <w:rPr>
                <w:sz w:val="20"/>
                <w:szCs w:val="20"/>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500" w:type="dxa"/>
            <w:vAlign w:val="bottom"/>
            <w:gridSpan w:val="2"/>
            <w:shd w:val="clear" w:color="auto" w:fill="0F7C7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6.</w:t>
            </w:r>
          </w:p>
        </w:tc>
        <w:tc>
          <w:tcPr>
            <w:tcW w:w="560" w:type="dxa"/>
            <w:vAlign w:val="bottom"/>
          </w:tcPr>
          <w:p>
            <w:pPr>
              <w:spacing w:after="0"/>
              <w:rPr>
                <w:sz w:val="20"/>
                <w:szCs w:val="20"/>
                <w:color w:val="auto"/>
              </w:rPr>
            </w:pPr>
            <w:r>
              <w:rPr>
                <w:rFonts w:ascii="Arial" w:cs="Arial" w:eastAsia="Arial" w:hAnsi="Arial"/>
                <w:sz w:val="16"/>
                <w:szCs w:val="16"/>
                <w:color w:val="0F7C7F"/>
                <w:w w:val="96"/>
              </w:rPr>
              <w:t>Exhibits</w:t>
            </w:r>
          </w:p>
        </w:tc>
        <w:tc>
          <w:tcPr>
            <w:tcW w:w="700" w:type="dxa"/>
            <w:vAlign w:val="bottom"/>
            <w:gridSpan w:val="3"/>
          </w:tcPr>
          <w:p>
            <w:pPr>
              <w:spacing w:after="0"/>
              <w:rPr>
                <w:sz w:val="21"/>
                <w:szCs w:val="21"/>
                <w:color w:val="auto"/>
              </w:rPr>
            </w:pPr>
          </w:p>
        </w:tc>
        <w:tc>
          <w:tcPr>
            <w:tcW w:w="5100" w:type="dxa"/>
            <w:vAlign w:val="bottom"/>
            <w:gridSpan w:val="6"/>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38</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6360" w:type="dxa"/>
            <w:vAlign w:val="bottom"/>
            <w:gridSpan w:val="10"/>
          </w:tcPr>
          <w:p>
            <w:pPr>
              <w:spacing w:after="0"/>
              <w:rPr>
                <w:sz w:val="20"/>
                <w:szCs w:val="20"/>
                <w:color w:val="auto"/>
              </w:rPr>
            </w:pPr>
            <w:r>
              <w:rPr>
                <w:rFonts w:ascii="Arial" w:cs="Arial" w:eastAsia="Arial" w:hAnsi="Arial"/>
                <w:sz w:val="16"/>
                <w:szCs w:val="16"/>
                <w:color w:val="0F7C7F"/>
              </w:rPr>
              <w:t>Signatures</w:t>
            </w: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39</w:t>
            </w:r>
          </w:p>
        </w:tc>
        <w:tc>
          <w:tcPr>
            <w:tcW w:w="40" w:type="dxa"/>
            <w:vAlign w:val="bottom"/>
          </w:tcPr>
          <w:p>
            <w:pPr>
              <w:spacing w:after="0"/>
              <w:rPr>
                <w:sz w:val="21"/>
                <w:szCs w:val="21"/>
                <w:color w:val="auto"/>
              </w:rPr>
            </w:pPr>
          </w:p>
        </w:tc>
      </w:tr>
      <w:tr>
        <w:trPr>
          <w:trHeight w:val="1566"/>
        </w:trPr>
        <w:tc>
          <w:tcPr>
            <w:tcW w:w="600" w:type="dxa"/>
            <w:vAlign w:val="bottom"/>
            <w:tcBorders>
              <w:bottom w:val="single" w:sz="8" w:color="9A9A9A"/>
            </w:tcBorders>
          </w:tcPr>
          <w:p>
            <w:pPr>
              <w:spacing w:after="0"/>
              <w:rPr>
                <w:sz w:val="24"/>
                <w:szCs w:val="24"/>
                <w:color w:val="auto"/>
              </w:rPr>
            </w:pPr>
          </w:p>
        </w:tc>
        <w:tc>
          <w:tcPr>
            <w:tcW w:w="560" w:type="dxa"/>
            <w:vAlign w:val="bottom"/>
            <w:tcBorders>
              <w:top w:val="single" w:sz="8" w:color="0F7C7F"/>
              <w:bottom w:val="single" w:sz="8" w:color="9A9A9A"/>
            </w:tcBorders>
          </w:tcPr>
          <w:p>
            <w:pPr>
              <w:spacing w:after="0"/>
              <w:rPr>
                <w:sz w:val="24"/>
                <w:szCs w:val="24"/>
                <w:color w:val="auto"/>
              </w:rPr>
            </w:pPr>
          </w:p>
        </w:tc>
        <w:tc>
          <w:tcPr>
            <w:tcW w:w="200" w:type="dxa"/>
            <w:vAlign w:val="bottom"/>
            <w:tcBorders>
              <w:top w:val="single" w:sz="8" w:color="0F7C7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top w:val="single" w:sz="8" w:color="0F7C7F"/>
              <w:bottom w:val="single" w:sz="8" w:color="9A9A9A"/>
            </w:tcBorders>
          </w:tcPr>
          <w:p>
            <w:pPr>
              <w:spacing w:after="0"/>
              <w:rPr>
                <w:sz w:val="24"/>
                <w:szCs w:val="24"/>
                <w:color w:val="auto"/>
              </w:rPr>
            </w:pPr>
          </w:p>
        </w:tc>
        <w:tc>
          <w:tcPr>
            <w:tcW w:w="100" w:type="dxa"/>
            <w:vAlign w:val="bottom"/>
            <w:tcBorders>
              <w:top w:val="single" w:sz="8" w:color="0F7C7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326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7"/>
                <w:szCs w:val="17"/>
                <w:color w:val="auto"/>
              </w:rPr>
            </w:pPr>
          </w:p>
        </w:tc>
        <w:tc>
          <w:tcPr>
            <w:tcW w:w="280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2023</w:t>
            </w:r>
          </w:p>
        </w:tc>
      </w:tr>
      <w:tr>
        <w:trPr>
          <w:trHeight w:val="188"/>
        </w:trPr>
        <w:tc>
          <w:tcPr>
            <w:tcW w:w="4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8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per-share amounts)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5"/>
        </w:trPr>
        <w:tc>
          <w:tcPr>
            <w:tcW w:w="4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00" w:type="dxa"/>
            <w:vAlign w:val="bottom"/>
          </w:tcPr>
          <w:p>
            <w:pPr>
              <w:ind w:left="220"/>
              <w:spacing w:after="0"/>
              <w:rPr>
                <w:sz w:val="20"/>
                <w:szCs w:val="20"/>
                <w:color w:val="auto"/>
              </w:rPr>
            </w:pPr>
            <w:r>
              <w:rPr>
                <w:rFonts w:ascii="Arial" w:cs="Arial" w:eastAsia="Arial" w:hAnsi="Arial"/>
                <w:sz w:val="16"/>
                <w:szCs w:val="16"/>
                <w:color w:val="auto"/>
              </w:rPr>
              <w:t>Premium revenue</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9,694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8,240</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28,644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24,167</w:t>
            </w:r>
          </w:p>
        </w:tc>
      </w:tr>
      <w:tr>
        <w:trPr>
          <w:trHeight w:val="217"/>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Premium tax revenue</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r>
      <w:tr>
        <w:trPr>
          <w:trHeight w:val="215"/>
        </w:trPr>
        <w:tc>
          <w:tcPr>
            <w:tcW w:w="4800" w:type="dxa"/>
            <w:vAlign w:val="bottom"/>
          </w:tcPr>
          <w:p>
            <w:pPr>
              <w:ind w:left="220"/>
              <w:spacing w:after="0"/>
              <w:rPr>
                <w:sz w:val="20"/>
                <w:szCs w:val="20"/>
                <w:color w:val="auto"/>
              </w:rPr>
            </w:pPr>
            <w:r>
              <w:rPr>
                <w:rFonts w:ascii="Arial" w:cs="Arial" w:eastAsia="Arial" w:hAnsi="Arial"/>
                <w:sz w:val="16"/>
                <w:szCs w:val="16"/>
                <w:color w:val="auto"/>
              </w:rPr>
              <w:t>Investment income</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7"/>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09"/>
        </w:trPr>
        <w:tc>
          <w:tcPr>
            <w:tcW w:w="48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revenue</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30,151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25,024</w:t>
            </w:r>
          </w:p>
        </w:tc>
      </w:tr>
      <w:tr>
        <w:trPr>
          <w:trHeight w:val="19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4800" w:type="dxa"/>
            <w:vAlign w:val="bottom"/>
          </w:tcPr>
          <w:p>
            <w:pPr>
              <w:ind w:left="220"/>
              <w:spacing w:after="0"/>
              <w:rPr>
                <w:sz w:val="20"/>
                <w:szCs w:val="20"/>
                <w:color w:val="auto"/>
              </w:rPr>
            </w:pPr>
            <w:r>
              <w:rPr>
                <w:rFonts w:ascii="Arial" w:cs="Arial" w:eastAsia="Arial" w:hAnsi="Arial"/>
                <w:sz w:val="16"/>
                <w:szCs w:val="16"/>
                <w:color w:val="auto"/>
              </w:rPr>
              <w:t>Medical care costs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8,643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7,306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25,425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21,215</w:t>
            </w:r>
          </w:p>
        </w:tc>
      </w:tr>
      <w:tr>
        <w:trPr>
          <w:trHeight w:val="217"/>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w:t>
            </w:r>
          </w:p>
        </w:tc>
      </w:tr>
      <w:tr>
        <w:trPr>
          <w:trHeight w:val="215"/>
        </w:trPr>
        <w:tc>
          <w:tcPr>
            <w:tcW w:w="4800" w:type="dxa"/>
            <w:vAlign w:val="bottom"/>
          </w:tcPr>
          <w:p>
            <w:pPr>
              <w:ind w:left="220"/>
              <w:spacing w:after="0"/>
              <w:rPr>
                <w:sz w:val="20"/>
                <w:szCs w:val="20"/>
                <w:color w:val="auto"/>
              </w:rPr>
            </w:pPr>
            <w:r>
              <w:rPr>
                <w:rFonts w:ascii="Arial" w:cs="Arial" w:eastAsia="Arial" w:hAnsi="Arial"/>
                <w:sz w:val="16"/>
                <w:szCs w:val="16"/>
                <w:color w:val="auto"/>
              </w:rPr>
              <w:t>Premium tax expenses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517</w:t>
            </w:r>
          </w:p>
        </w:tc>
      </w:tr>
      <w:tr>
        <w:trPr>
          <w:trHeight w:val="217"/>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5"/>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r>
      <w:tr>
        <w:trPr>
          <w:trHeight w:val="210"/>
        </w:trPr>
        <w:tc>
          <w:tcPr>
            <w:tcW w:w="4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28,824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23,767</w:t>
            </w:r>
          </w:p>
        </w:tc>
      </w:tr>
      <w:tr>
        <w:trPr>
          <w:trHeight w:val="20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income</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w:t>
            </w:r>
          </w:p>
        </w:tc>
      </w:tr>
      <w:tr>
        <w:trPr>
          <w:trHeight w:val="210"/>
        </w:trPr>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9"/>
        </w:trPr>
        <w:tc>
          <w:tcPr>
            <w:tcW w:w="480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1,175</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10"/>
        </w:trPr>
        <w:tc>
          <w:tcPr>
            <w:tcW w:w="4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48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Net income per share - Basic</w:t>
            </w: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5"/>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15.08</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COMPREHENSIVE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00" w:type="dxa"/>
            <w:vAlign w:val="bottom"/>
          </w:tcPr>
          <w:p>
            <w:pPr>
              <w:spacing w:after="0"/>
              <w:rPr>
                <w:sz w:val="17"/>
                <w:szCs w:val="17"/>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r>
      <w:tr>
        <w:trPr>
          <w:trHeight w:val="188"/>
        </w:trPr>
        <w:tc>
          <w:tcPr>
            <w:tcW w:w="4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2"/>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245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Other comprehensive gain (loss):</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investment gain (loss)</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4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effect of income taxes</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4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gain (loss), net of tax</w:t>
            </w: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48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060" w:type="dxa"/>
            <w:vAlign w:val="bottom"/>
            <w:tcBorders>
              <w:bottom w:val="single" w:sz="8" w:color="auto"/>
            </w:tcBorders>
          </w:tcPr>
          <w:p>
            <w:pPr>
              <w:jc w:val="right"/>
              <w:ind w:right="884"/>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98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226</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1,001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w:t>
            </w:r>
          </w:p>
        </w:tc>
      </w:tr>
      <w:tr>
        <w:trPr>
          <w:trHeight w:val="20"/>
        </w:trPr>
        <w:tc>
          <w:tcPr>
            <w:tcW w:w="4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BALANCE SHEETS</w:t>
      </w:r>
    </w:p>
    <w:p>
      <w:pPr>
        <w:spacing w:after="0" w:line="37" w:lineRule="exact"/>
        <w:rPr>
          <w:sz w:val="20"/>
          <w:szCs w:val="20"/>
          <w:color w:val="auto"/>
        </w:rPr>
      </w:pPr>
    </w:p>
    <w:tbl>
      <w:tblPr>
        <w:tblLayout w:type="fixed"/>
        <w:tblInd w:w="8220" w:type="dxa"/>
        <w:tblCellMar>
          <w:top w:w="0" w:type="dxa"/>
          <w:left w:w="0" w:type="dxa"/>
          <w:bottom w:w="0" w:type="dxa"/>
          <w:right w:w="0" w:type="dxa"/>
        </w:tblCellMar>
      </w:tblPr>
      <w:tr>
        <w:trPr>
          <w:trHeight w:val="161"/>
        </w:trPr>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r>
    </w:tbl>
    <w:p>
      <w:pPr>
        <w:spacing w:after="0" w:line="32"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Investments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Receivables</w:t>
      </w:r>
    </w:p>
    <w:p>
      <w:pPr>
        <w:spacing w:after="0" w:line="32" w:lineRule="exact"/>
        <w:rPr>
          <w:sz w:val="20"/>
          <w:szCs w:val="20"/>
          <w:color w:val="auto"/>
        </w:rPr>
      </w:pPr>
    </w:p>
    <w:p>
      <w:pPr>
        <w:ind w:left="220" w:right="380" w:hanging="80"/>
        <w:spacing w:after="0" w:line="290" w:lineRule="auto"/>
        <w:rPr>
          <w:sz w:val="20"/>
          <w:szCs w:val="20"/>
          <w:color w:val="auto"/>
        </w:rPr>
      </w:pPr>
      <w:r>
        <w:rPr>
          <w:rFonts w:ascii="Arial" w:cs="Arial" w:eastAsia="Arial" w:hAnsi="Arial"/>
          <w:sz w:val="16"/>
          <w:szCs w:val="16"/>
          <w:color w:val="auto"/>
        </w:rPr>
        <w:t>Prepaid expenses and other current assets Total current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equipment, and capitalized software,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 and intangible assets,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investments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income taxes,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38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(Dollars in millions,</w:t>
            </w:r>
          </w:p>
        </w:tc>
        <w:tc>
          <w:tcPr>
            <w:tcW w:w="580" w:type="dxa"/>
            <w:vAlign w:val="bottom"/>
          </w:tcPr>
          <w:p>
            <w:pPr>
              <w:spacing w:after="0"/>
              <w:rPr>
                <w:sz w:val="14"/>
                <w:szCs w:val="14"/>
                <w:color w:val="auto"/>
              </w:rPr>
            </w:pPr>
          </w:p>
        </w:tc>
      </w:tr>
      <w:tr>
        <w:trPr>
          <w:trHeight w:val="189"/>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b w:val="1"/>
                <w:bCs w:val="1"/>
                <w:color w:val="auto"/>
              </w:rPr>
              <w:t>except per-share amounts)</w:t>
            </w:r>
          </w:p>
        </w:tc>
        <w:tc>
          <w:tcPr>
            <w:tcW w:w="580" w:type="dxa"/>
            <w:vAlign w:val="bottom"/>
          </w:tcPr>
          <w:p>
            <w:pPr>
              <w:spacing w:after="0"/>
              <w:rPr>
                <w:sz w:val="16"/>
                <w:szCs w:val="16"/>
                <w:color w:val="auto"/>
              </w:rPr>
            </w:pPr>
          </w:p>
        </w:tc>
      </w:tr>
      <w:tr>
        <w:trPr>
          <w:trHeight w:val="196"/>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4"/>
        </w:trPr>
        <w:tc>
          <w:tcPr>
            <w:tcW w:w="3160" w:type="dxa"/>
            <w:vAlign w:val="bottom"/>
            <w:gridSpan w:val="2"/>
          </w:tcPr>
          <w:p>
            <w:pPr>
              <w:jc w:val="right"/>
              <w:ind w:right="2419"/>
              <w:spacing w:after="0"/>
              <w:rPr>
                <w:sz w:val="20"/>
                <w:szCs w:val="20"/>
                <w:color w:val="auto"/>
              </w:rPr>
            </w:pPr>
            <w:r>
              <w:rPr>
                <w:rFonts w:ascii="Arial" w:cs="Arial" w:eastAsia="Arial" w:hAnsi="Arial"/>
                <w:sz w:val="16"/>
                <w:szCs w:val="16"/>
                <w:b w:val="1"/>
                <w:bCs w:val="1"/>
                <w:color w:val="auto"/>
                <w:w w:val="99"/>
              </w:rPr>
              <w:t>ASSETS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24"/>
        </w:trPr>
        <w:tc>
          <w:tcPr>
            <w:tcW w:w="31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4,732</w:t>
            </w:r>
          </w:p>
        </w:tc>
        <w:tc>
          <w:tcPr>
            <w:tcW w:w="100" w:type="dxa"/>
            <w:vAlign w:val="bottom"/>
          </w:tcPr>
          <w:p>
            <w:pPr>
              <w:spacing w:after="0"/>
              <w:rPr>
                <w:sz w:val="24"/>
                <w:szCs w:val="24"/>
                <w:color w:val="auto"/>
              </w:rPr>
            </w:pP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4,848</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4,482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4,259</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3,259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3,104</w:t>
            </w:r>
          </w:p>
        </w:tc>
      </w:tr>
      <w:tr>
        <w:trPr>
          <w:trHeight w:val="217"/>
        </w:trPr>
        <w:tc>
          <w:tcPr>
            <w:tcW w:w="2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r>
      <w:tr>
        <w:trPr>
          <w:trHeight w:val="209"/>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12,881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12,542</w:t>
            </w:r>
          </w:p>
        </w:tc>
      </w:tr>
      <w:tr>
        <w:trPr>
          <w:trHeight w:val="215"/>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1,923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1,449</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17"/>
        </w:trPr>
        <w:tc>
          <w:tcPr>
            <w:tcW w:w="2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10"/>
        </w:trPr>
        <w:tc>
          <w:tcPr>
            <w:tcW w:w="29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15,758</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14,892</w:t>
            </w:r>
          </w:p>
        </w:tc>
      </w:tr>
      <w:tr>
        <w:trPr>
          <w:trHeight w:val="21"/>
        </w:trPr>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-1833880</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-1559560</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-1285240</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-1010920</wp:posOffset>
            </wp:positionV>
            <wp:extent cx="711517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-728345</wp:posOffset>
            </wp:positionV>
            <wp:extent cx="71151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-453390</wp:posOffset>
            </wp:positionV>
            <wp:extent cx="711517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-179070</wp:posOffset>
            </wp:positionV>
            <wp:extent cx="711517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-115570</wp:posOffset>
            </wp:positionV>
            <wp:extent cx="711517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3620" w:space="280"/>
            <w:col w:w="734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Medical claims and benefits payable</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4,204</w:t>
            </w:r>
          </w:p>
        </w:tc>
        <w:tc>
          <w:tcPr>
            <w:tcW w:w="0" w:type="dxa"/>
            <w:vAlign w:val="bottom"/>
          </w:tcPr>
          <w:p>
            <w:pPr>
              <w:spacing w:after="0"/>
              <w:rPr>
                <w:sz w:val="1"/>
                <w:szCs w:val="1"/>
                <w:color w:val="auto"/>
              </w:rPr>
            </w:pPr>
          </w:p>
        </w:tc>
      </w:tr>
      <w:tr>
        <w:trPr>
          <w:trHeight w:val="215"/>
        </w:trPr>
        <w:tc>
          <w:tcPr>
            <w:tcW w:w="8220" w:type="dxa"/>
            <w:vAlign w:val="bottom"/>
          </w:tcPr>
          <w:p>
            <w:pPr>
              <w:ind w:left="140"/>
              <w:spacing w:after="0"/>
              <w:rPr>
                <w:sz w:val="20"/>
                <w:szCs w:val="20"/>
                <w:color w:val="auto"/>
              </w:rPr>
            </w:pPr>
            <w:r>
              <w:rPr>
                <w:rFonts w:ascii="Arial" w:cs="Arial" w:eastAsia="Arial" w:hAnsi="Arial"/>
                <w:sz w:val="16"/>
                <w:szCs w:val="16"/>
                <w:color w:val="auto"/>
              </w:rPr>
              <w:t>Amounts due government agencies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2,294</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accrued liabilities and other</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Deferred revenue</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8,168</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2,332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2,180</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10,677</w:t>
            </w:r>
          </w:p>
        </w:tc>
        <w:tc>
          <w:tcPr>
            <w:tcW w:w="0" w:type="dxa"/>
            <w:vAlign w:val="bottom"/>
          </w:tcPr>
          <w:p>
            <w:pPr>
              <w:spacing w:after="0"/>
              <w:rPr>
                <w:sz w:val="1"/>
                <w:szCs w:val="1"/>
                <w:color w:val="auto"/>
              </w:rPr>
            </w:pPr>
          </w:p>
        </w:tc>
      </w:tr>
      <w:tr>
        <w:trPr>
          <w:trHeight w:val="195"/>
        </w:trPr>
        <w:tc>
          <w:tcPr>
            <w:tcW w:w="82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2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Common stock, $0.001 par value, 150 million shares authorized; outstanding: 57 million shares at</w:t>
            </w:r>
          </w:p>
        </w:tc>
        <w:tc>
          <w:tcPr>
            <w:tcW w:w="4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September 30, 2024 and 58 million at December 31, 2023</w:t>
            </w:r>
          </w:p>
        </w:tc>
        <w:tc>
          <w:tcPr>
            <w:tcW w:w="4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140"/>
              <w:spacing w:after="0"/>
              <w:rPr>
                <w:sz w:val="20"/>
                <w:szCs w:val="20"/>
                <w:color w:val="auto"/>
              </w:rPr>
            </w:pPr>
            <w:r>
              <w:rPr>
                <w:rFonts w:ascii="Arial" w:cs="Arial" w:eastAsia="Arial" w:hAnsi="Arial"/>
                <w:sz w:val="16"/>
                <w:szCs w:val="16"/>
                <w:color w:val="auto"/>
              </w:rPr>
              <w:t>Preferred stock, $0.001 par value; 20 million shares authorized, no shares issued and outstanding</w:t>
            </w:r>
          </w:p>
        </w:tc>
        <w:tc>
          <w:tcPr>
            <w:tcW w:w="4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15"/>
        </w:trPr>
        <w:tc>
          <w:tcPr>
            <w:tcW w:w="822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4,326</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3,887</w:t>
            </w:r>
          </w:p>
        </w:tc>
        <w:tc>
          <w:tcPr>
            <w:tcW w:w="0" w:type="dxa"/>
            <w:vAlign w:val="bottom"/>
          </w:tcPr>
          <w:p>
            <w:pPr>
              <w:spacing w:after="0"/>
              <w:rPr>
                <w:sz w:val="1"/>
                <w:szCs w:val="1"/>
                <w:color w:val="auto"/>
              </w:rPr>
            </w:pPr>
          </w:p>
        </w:tc>
      </w:tr>
      <w:tr>
        <w:trPr>
          <w:trHeight w:val="20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4,215</w:t>
            </w:r>
          </w:p>
        </w:tc>
        <w:tc>
          <w:tcPr>
            <w:tcW w:w="0" w:type="dxa"/>
            <w:vAlign w:val="bottom"/>
          </w:tcPr>
          <w:p>
            <w:pPr>
              <w:spacing w:after="0"/>
              <w:rPr>
                <w:sz w:val="1"/>
                <w:szCs w:val="1"/>
                <w:color w:val="auto"/>
              </w:rPr>
            </w:pP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15,758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STOCKHOLDERS’ EQUITY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260" w:type="dxa"/>
            <w:vAlign w:val="bottom"/>
            <w:gridSpan w:val="5"/>
          </w:tcPr>
          <w:p>
            <w:pPr>
              <w:ind w:left="5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80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vMerge w:val="restart"/>
          </w:tcPr>
          <w:p>
            <w:pPr>
              <w:jc w:val="center"/>
              <w:ind w:right="61"/>
              <w:spacing w:after="0" w:line="139"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restart"/>
          </w:tcPr>
          <w:p>
            <w:pPr>
              <w:jc w:val="center"/>
              <w:ind w:left="406"/>
              <w:spacing w:after="0" w:line="139" w:lineRule="exact"/>
              <w:rPr>
                <w:sz w:val="20"/>
                <w:szCs w:val="20"/>
                <w:color w:val="auto"/>
              </w:rPr>
            </w:pPr>
            <w:r>
              <w:rPr>
                <w:rFonts w:ascii="Arial" w:cs="Arial" w:eastAsia="Arial" w:hAnsi="Arial"/>
                <w:sz w:val="14"/>
                <w:szCs w:val="14"/>
                <w:b w:val="1"/>
                <w:bCs w:val="1"/>
                <w:color w:val="auto"/>
              </w:rPr>
              <w:t>Other</w:t>
            </w: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2"/>
            <w:vMerge w:val="restart"/>
          </w:tcPr>
          <w:p>
            <w:pPr>
              <w:ind w:left="80"/>
              <w:spacing w:after="0" w:line="139" w:lineRule="exact"/>
              <w:rPr>
                <w:sz w:val="20"/>
                <w:szCs w:val="20"/>
                <w:color w:val="auto"/>
              </w:rPr>
            </w:pPr>
            <w:r>
              <w:rPr>
                <w:rFonts w:ascii="Arial" w:cs="Arial" w:eastAsia="Arial" w:hAnsi="Arial"/>
                <w:sz w:val="14"/>
                <w:szCs w:val="14"/>
                <w:b w:val="1"/>
                <w:bCs w:val="1"/>
                <w:color w:val="auto"/>
              </w:rPr>
              <w:t>Retained</w:t>
            </w: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800" w:type="dxa"/>
            <w:vAlign w:val="bottom"/>
          </w:tcPr>
          <w:p>
            <w:pPr>
              <w:spacing w:after="0"/>
              <w:rPr>
                <w:sz w:val="5"/>
                <w:szCs w:val="5"/>
                <w:color w:val="auto"/>
              </w:rPr>
            </w:pPr>
          </w:p>
        </w:tc>
        <w:tc>
          <w:tcPr>
            <w:tcW w:w="11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Outstanding</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8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Comprehensive Loss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gridSpan w:val="3"/>
          </w:tcPr>
          <w:p>
            <w:pPr>
              <w:jc w:val="right"/>
              <w:ind w:right="266"/>
              <w:spacing w:after="0"/>
              <w:rPr>
                <w:sz w:val="20"/>
                <w:szCs w:val="20"/>
                <w:color w:val="auto"/>
              </w:rPr>
            </w:pPr>
            <w:r>
              <w:rPr>
                <w:rFonts w:ascii="Arial" w:cs="Arial" w:eastAsia="Arial" w:hAnsi="Arial"/>
                <w:sz w:val="14"/>
                <w:szCs w:val="14"/>
                <w:b w:val="1"/>
                <w:bCs w:val="1"/>
                <w:color w:val="auto"/>
                <w:w w:val="99"/>
              </w:rPr>
              <w:t>(In millions)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gridSpan w:val="3"/>
          </w:tcPr>
          <w:p>
            <w:pPr>
              <w:jc w:val="right"/>
              <w:ind w:right="266"/>
              <w:spacing w:after="0"/>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140" w:type="dxa"/>
            <w:vAlign w:val="bottom"/>
            <w:gridSpan w:val="3"/>
            <w:shd w:val="clear" w:color="auto" w:fill="CCEEFF"/>
          </w:tcPr>
          <w:p>
            <w:pPr>
              <w:jc w:val="right"/>
              <w:ind w:right="826"/>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net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2024</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4,493</w:t>
            </w: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color w:val="auto"/>
              </w:rPr>
              <w:t>Balance at June 30, 2024</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4,489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4,843</w:t>
            </w: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Common stock purchases</w:t>
            </w: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purchase excise tax</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Other comprehensive income, net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color w:val="auto"/>
              </w:rPr>
              <w:t>Balance at September 30, 2024</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453</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26"/>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4,326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4,770</w:t>
            </w:r>
          </w:p>
        </w:tc>
        <w:tc>
          <w:tcPr>
            <w:tcW w:w="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8"/>
        </w:trPr>
        <w:tc>
          <w:tcPr>
            <w:tcW w:w="3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800" w:type="dxa"/>
            <w:vAlign w:val="bottom"/>
          </w:tcPr>
          <w:p>
            <w:pPr>
              <w:spacing w:after="0"/>
              <w:rPr>
                <w:sz w:val="13"/>
                <w:szCs w:val="13"/>
                <w:color w:val="auto"/>
              </w:rPr>
            </w:pPr>
          </w:p>
        </w:tc>
        <w:tc>
          <w:tcPr>
            <w:tcW w:w="2260" w:type="dxa"/>
            <w:vAlign w:val="bottom"/>
            <w:gridSpan w:val="5"/>
          </w:tcPr>
          <w:p>
            <w:pPr>
              <w:ind w:left="560"/>
              <w:spacing w:after="0" w:line="158" w:lineRule="exact"/>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3"/>
                <w:szCs w:val="13"/>
                <w:color w:val="auto"/>
              </w:rPr>
            </w:pPr>
          </w:p>
        </w:tc>
        <w:tc>
          <w:tcPr>
            <w:tcW w:w="900" w:type="dxa"/>
            <w:vAlign w:val="bottom"/>
          </w:tcPr>
          <w:p>
            <w:pPr>
              <w:jc w:val="center"/>
              <w:ind w:right="41"/>
              <w:spacing w:after="0" w:line="158"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left="406"/>
              <w:spacing w:after="0" w:line="158" w:lineRule="exact"/>
              <w:rPr>
                <w:sz w:val="20"/>
                <w:szCs w:val="20"/>
                <w:color w:val="auto"/>
              </w:rPr>
            </w:pPr>
            <w:r>
              <w:rPr>
                <w:rFonts w:ascii="Arial" w:cs="Arial" w:eastAsia="Arial" w:hAnsi="Arial"/>
                <w:sz w:val="14"/>
                <w:szCs w:val="14"/>
                <w:b w:val="1"/>
                <w:bCs w:val="1"/>
                <w:color w:val="auto"/>
              </w:rPr>
              <w:t>Other</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80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vMerge w:val="restart"/>
          </w:tcPr>
          <w:p>
            <w:pPr>
              <w:jc w:val="center"/>
              <w:ind w:right="61"/>
              <w:spacing w:after="0" w:line="135"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gridSpan w:val="3"/>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4"/>
                <w:szCs w:val="4"/>
                <w:color w:val="auto"/>
              </w:rPr>
            </w:pPr>
          </w:p>
        </w:tc>
        <w:tc>
          <w:tcPr>
            <w:tcW w:w="104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800" w:type="dxa"/>
            <w:vAlign w:val="bottom"/>
          </w:tcPr>
          <w:p>
            <w:pPr>
              <w:spacing w:after="0"/>
              <w:rPr>
                <w:sz w:val="5"/>
                <w:szCs w:val="5"/>
                <w:color w:val="auto"/>
              </w:rPr>
            </w:pPr>
          </w:p>
        </w:tc>
        <w:tc>
          <w:tcPr>
            <w:tcW w:w="11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Outstanding</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ind w:left="406"/>
              <w:spacing w:after="0"/>
              <w:rPr>
                <w:sz w:val="20"/>
                <w:szCs w:val="20"/>
                <w:color w:val="auto"/>
              </w:rPr>
            </w:pPr>
            <w:r>
              <w:rPr>
                <w:rFonts w:ascii="Arial" w:cs="Arial" w:eastAsia="Arial" w:hAnsi="Arial"/>
                <w:sz w:val="14"/>
                <w:szCs w:val="14"/>
                <w:b w:val="1"/>
                <w:bCs w:val="1"/>
                <w:color w:val="auto"/>
              </w:rPr>
              <w:t>Loss</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4"/>
          </w:tcPr>
          <w:p>
            <w:pPr>
              <w:jc w:val="right"/>
              <w:ind w:right="286"/>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3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4"/>
          </w:tcPr>
          <w:p>
            <w:pPr>
              <w:jc w:val="right"/>
              <w:ind w:right="286"/>
              <w:spacing w:after="0"/>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140" w:type="dxa"/>
            <w:vAlign w:val="bottom"/>
            <w:gridSpan w:val="3"/>
            <w:shd w:val="clear" w:color="auto" w:fill="CCEEFF"/>
          </w:tcPr>
          <w:p>
            <w:pPr>
              <w:jc w:val="right"/>
              <w:ind w:right="826"/>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net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2023</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net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2023</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net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2023</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26"/>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3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0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2023</w:t>
            </w:r>
          </w:p>
        </w:tc>
      </w:tr>
      <w:tr>
        <w:trPr>
          <w:trHeight w:val="188"/>
        </w:trPr>
        <w:tc>
          <w:tcPr>
            <w:tcW w:w="8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6"/>
                <w:szCs w:val="16"/>
                <w:color w:val="auto"/>
              </w:rPr>
            </w:pPr>
          </w:p>
        </w:tc>
      </w:tr>
      <w:tr>
        <w:trPr>
          <w:trHeight w:val="185"/>
        </w:trPr>
        <w:tc>
          <w:tcPr>
            <w:tcW w:w="8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6"/>
                <w:szCs w:val="16"/>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875</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15"/>
        </w:trPr>
        <w:tc>
          <w:tcPr>
            <w:tcW w:w="802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Medical claims and benefits payable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r>
      <w:tr>
        <w:trPr>
          <w:trHeight w:val="215"/>
        </w:trPr>
        <w:tc>
          <w:tcPr>
            <w:tcW w:w="8020" w:type="dxa"/>
            <w:vAlign w:val="bottom"/>
          </w:tcPr>
          <w:p>
            <w:pPr>
              <w:ind w:left="220"/>
              <w:spacing w:after="0"/>
              <w:rPr>
                <w:sz w:val="20"/>
                <w:szCs w:val="20"/>
                <w:color w:val="auto"/>
              </w:rPr>
            </w:pPr>
            <w:r>
              <w:rPr>
                <w:rFonts w:ascii="Arial" w:cs="Arial" w:eastAsia="Arial" w:hAnsi="Arial"/>
                <w:sz w:val="16"/>
                <w:szCs w:val="16"/>
                <w:color w:val="auto"/>
              </w:rPr>
              <w:t>Amounts due government agencies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377</w:t>
            </w: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accrued liabilities and other</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5"/>
        </w:trPr>
        <w:tc>
          <w:tcPr>
            <w:tcW w:w="802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209"/>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2,352</w:t>
            </w:r>
          </w:p>
        </w:tc>
      </w:tr>
      <w:tr>
        <w:trPr>
          <w:trHeight w:val="19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(989)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(1,295)</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sales and maturities of investments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Net cash paid in business combinations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equipment and capitalized software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5"/>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used in investing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w:t>
            </w:r>
          </w:p>
        </w:tc>
      </w:tr>
      <w:tr>
        <w:trPr>
          <w:trHeight w:val="195"/>
        </w:trPr>
        <w:tc>
          <w:tcPr>
            <w:tcW w:w="80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purchases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Proceeds from borrowings under credit facility</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credit facility</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Common stock withheld to settle employee tax obligations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used in financing activities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10"/>
        </w:trPr>
        <w:tc>
          <w:tcPr>
            <w:tcW w:w="8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(decrease) increase in cash, cash equivalents, and restricted cash and cash equivalents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w:t>
            </w:r>
          </w:p>
        </w:tc>
      </w:tr>
      <w:tr>
        <w:trPr>
          <w:trHeight w:val="21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4,048</w:t>
            </w:r>
          </w:p>
        </w:tc>
      </w:tr>
      <w:tr>
        <w:trPr>
          <w:trHeight w:val="23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NOTES TO CONSOLIDATED FINANCIAL STATEMENTS (UNAUDITED)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SEPTEMBER 30, 2024</w:t>
      </w:r>
    </w:p>
    <w:p>
      <w:pPr>
        <w:spacing w:after="0" w:line="360" w:lineRule="exact"/>
        <w:rPr>
          <w:sz w:val="20"/>
          <w:szCs w:val="20"/>
          <w:color w:val="auto"/>
        </w:rPr>
      </w:pPr>
    </w:p>
    <w:p>
      <w:pPr>
        <w:ind w:right="7680" w:firstLine="8"/>
        <w:spacing w:after="0" w:line="397" w:lineRule="auto"/>
        <w:tabs>
          <w:tab w:leader="none" w:pos="200" w:val="left"/>
        </w:tabs>
        <w:numPr>
          <w:ilvl w:val="0"/>
          <w:numId w:val="3"/>
        </w:numPr>
        <w:rPr>
          <w:rFonts w:ascii="Arial" w:cs="Arial" w:eastAsia="Arial" w:hAnsi="Arial"/>
          <w:sz w:val="17"/>
          <w:szCs w:val="17"/>
          <w:b w:val="1"/>
          <w:bCs w:val="1"/>
          <w:color w:val="828282"/>
        </w:rPr>
      </w:pPr>
      <w:r>
        <w:rPr>
          <w:rFonts w:ascii="Arial" w:cs="Arial" w:eastAsia="Arial" w:hAnsi="Arial"/>
          <w:sz w:val="17"/>
          <w:szCs w:val="17"/>
          <w:b w:val="1"/>
          <w:bCs w:val="1"/>
          <w:color w:val="828282"/>
        </w:rPr>
        <w:t xml:space="preserve">Organization and Basis of Presentation </w:t>
      </w:r>
      <w:r>
        <w:rPr>
          <w:rFonts w:ascii="Arial" w:cs="Arial" w:eastAsia="Arial" w:hAnsi="Arial"/>
          <w:sz w:val="17"/>
          <w:szCs w:val="17"/>
          <w:b w:val="1"/>
          <w:bCs w:val="1"/>
          <w:i w:val="1"/>
          <w:iCs w:val="1"/>
          <w:color w:val="000000"/>
        </w:rPr>
        <w:t>Organization and Operations</w:t>
      </w:r>
    </w:p>
    <w:p>
      <w:pPr>
        <w:spacing w:after="0" w:line="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Molina Healthcare, Inc. provides managed healthcare services under the Medicaid and Medicare programs, and through the state insurance marketplaces (the “Marketplace”). We currently have four reportable segments consisting of: 1) Medicaid; 2) Medicare; 3) Marketplace; and 4) Other. Our reportable segments are consistent with how we currently manage the business and view the markets we serve.</w:t>
      </w:r>
    </w:p>
    <w:p>
      <w:pPr>
        <w:spacing w:after="0" w:line="6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As of September 30, 2024, we served approximately 5.6 million members eligible for government-sponsored healthcare programs, located across 21 states.</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 open to competitive bidding by other health plans. If one of our health plans is not a successful responsive bidder to a state RFP, its contract may not be renewed.</w:t>
      </w:r>
    </w:p>
    <w:p>
      <w:pPr>
        <w:spacing w:after="0" w:line="68"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6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 Medicare, we enter into Medicare Advantage-Part D contracts with the Centers for Medicare and Medicaid Services (“CMS”) annually, and for dual-eligible programs, we enter into contracts with CMS, in partnership with each state’s department of health and human services. Such contracts typically have terms of one to three years.</w:t>
      </w:r>
    </w:p>
    <w:p>
      <w:pPr>
        <w:spacing w:after="0" w:line="63" w:lineRule="exact"/>
        <w:rPr>
          <w:sz w:val="20"/>
          <w:szCs w:val="20"/>
          <w:color w:val="auto"/>
        </w:rPr>
      </w:pPr>
    </w:p>
    <w:p>
      <w:pPr>
        <w:ind w:right="1420"/>
        <w:spacing w:after="0" w:line="375" w:lineRule="auto"/>
        <w:rPr>
          <w:sz w:val="20"/>
          <w:szCs w:val="20"/>
          <w:color w:val="auto"/>
        </w:rPr>
      </w:pPr>
      <w:r>
        <w:rPr>
          <w:rFonts w:ascii="Arial" w:cs="Arial" w:eastAsia="Arial" w:hAnsi="Arial"/>
          <w:sz w:val="18"/>
          <w:szCs w:val="18"/>
          <w:color w:val="auto"/>
        </w:rPr>
        <w:t xml:space="preserve">In Marketplace, we enter into contracts with CMS, which end on December 31 of each year, and must be renewed annually. </w:t>
      </w:r>
      <w:r>
        <w:rPr>
          <w:rFonts w:ascii="Arial" w:cs="Arial" w:eastAsia="Arial" w:hAnsi="Arial"/>
          <w:sz w:val="18"/>
          <w:szCs w:val="18"/>
          <w:b w:val="1"/>
          <w:bCs w:val="1"/>
          <w:i w:val="1"/>
          <w:iCs w:val="1"/>
          <w:color w:val="auto"/>
        </w:rPr>
        <w:t>Recent Developments</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Michigan Procurement—Medicare. </w:t>
      </w:r>
      <w:r>
        <w:rPr>
          <w:rFonts w:ascii="Arial" w:cs="Arial" w:eastAsia="Arial" w:hAnsi="Arial"/>
          <w:sz w:val="18"/>
          <w:szCs w:val="18"/>
          <w:color w:val="auto"/>
        </w:rPr>
        <w:t>In October 2024, we were awarded a contract to provide benefits to the state’s Highly Integrated Dual</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(“HIDE”) Special Needs population in six service regions. This award facilitates the transition of our existing Medicaid-Medicare Plan (“MMP”) members to a HIDE product and ensures a new dual-eligibles growth opportunity by expanding our footprint from two regions to six, including Detroit. The new contract, which is expected to commence on January 1, 2026 in select regions, will be implemented statewide in 2027 and is expected to continue for seven years.</w:t>
      </w:r>
    </w:p>
    <w:p>
      <w:pPr>
        <w:spacing w:after="0" w:line="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i w:val="1"/>
          <w:iCs w:val="1"/>
          <w:color w:val="auto"/>
        </w:rPr>
        <w:t xml:space="preserve">Massachusetts Procurement—Medicare. </w:t>
      </w:r>
      <w:r>
        <w:rPr>
          <w:rFonts w:ascii="Arial" w:cs="Arial" w:eastAsia="Arial" w:hAnsi="Arial"/>
          <w:sz w:val="18"/>
          <w:szCs w:val="18"/>
          <w:color w:val="auto"/>
        </w:rPr>
        <w:t>In September 2024, we were selected to proceed to contract negotiations to operate both One Care</w:t>
      </w:r>
      <w:r>
        <w:rPr>
          <w:rFonts w:ascii="Arial" w:cs="Arial" w:eastAsia="Arial" w:hAnsi="Arial"/>
          <w:sz w:val="18"/>
          <w:szCs w:val="18"/>
          <w:i w:val="1"/>
          <w:iCs w:val="1"/>
          <w:color w:val="auto"/>
        </w:rPr>
        <w:t xml:space="preserve"> </w:t>
      </w:r>
      <w:r>
        <w:rPr>
          <w:rFonts w:ascii="Arial" w:cs="Arial" w:eastAsia="Arial" w:hAnsi="Arial"/>
          <w:sz w:val="18"/>
          <w:szCs w:val="18"/>
          <w:color w:val="auto"/>
        </w:rPr>
        <w:t>and Senior Care Options plans for 2026. This selection is expected to allow us to operate the One Care 21-64 program, and to retain our position in the Senior Care Options program. The programs provide physical, behavioral, long-term services and supports, and other community services to dual-eligibles. The new contract is expected to commence on January 1, 2026.</w:t>
      </w:r>
    </w:p>
    <w:p>
      <w:pPr>
        <w:spacing w:after="0" w:line="68"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i w:val="1"/>
          <w:iCs w:val="1"/>
          <w:color w:val="auto"/>
        </w:rPr>
        <w:t xml:space="preserve">Connecticut Acquisition—Marketplace and Medicare. </w:t>
      </w:r>
      <w:r>
        <w:rPr>
          <w:rFonts w:ascii="Arial" w:cs="Arial" w:eastAsia="Arial" w:hAnsi="Arial"/>
          <w:sz w:val="17"/>
          <w:szCs w:val="17"/>
          <w:color w:val="auto"/>
        </w:rPr>
        <w:t>On July 23, 2024, we announced a definitive agreement to acquire ConnectiCare</w:t>
      </w:r>
      <w:r>
        <w:rPr>
          <w:rFonts w:ascii="Arial" w:cs="Arial" w:eastAsia="Arial" w:hAnsi="Arial"/>
          <w:sz w:val="17"/>
          <w:szCs w:val="17"/>
          <w:i w:val="1"/>
          <w:iCs w:val="1"/>
          <w:color w:val="auto"/>
        </w:rPr>
        <w:t xml:space="preserve"> </w:t>
      </w:r>
      <w:r>
        <w:rPr>
          <w:rFonts w:ascii="Arial" w:cs="Arial" w:eastAsia="Arial" w:hAnsi="Arial"/>
          <w:sz w:val="17"/>
          <w:szCs w:val="17"/>
          <w:color w:val="auto"/>
        </w:rPr>
        <w:t>Holding Company, Inc. (“ConnectiCare”), a wholly owned subsidiary of EmblemHealth, Inc. ConnectiCare is a leading health plan in the state of Connecticut serving members across Marketplace, Medicare, and certain commercial products. The purchase price for the transaction is approximately $350 million, which we intend to fund with cash on hand. The transaction is subject to applicable federal and state regulatory approvals and the satisfaction of other customary closing conditions. We currently expect the transaction to close in the first quarter of 2025.</w:t>
      </w:r>
    </w:p>
    <w:p>
      <w:pPr>
        <w:spacing w:after="0" w:line="5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Florida Procurement—Medicaid. </w:t>
      </w:r>
      <w:r>
        <w:rPr>
          <w:rFonts w:ascii="Arial" w:cs="Arial" w:eastAsia="Arial" w:hAnsi="Arial"/>
          <w:sz w:val="18"/>
          <w:szCs w:val="18"/>
          <w:color w:val="auto"/>
        </w:rPr>
        <w:t>In July 2024, we were notified that the Florida Agency for Healthcare Administration awarded a Medicaid</w:t>
      </w:r>
      <w:r>
        <w:rPr>
          <w:rFonts w:ascii="Arial" w:cs="Arial" w:eastAsia="Arial" w:hAnsi="Arial"/>
          <w:sz w:val="18"/>
          <w:szCs w:val="18"/>
          <w:i w:val="1"/>
          <w:iCs w:val="1"/>
          <w:color w:val="auto"/>
        </w:rPr>
        <w:t xml:space="preserve"> </w:t>
      </w:r>
      <w:r>
        <w:rPr>
          <w:rFonts w:ascii="Arial" w:cs="Arial" w:eastAsia="Arial" w:hAnsi="Arial"/>
          <w:sz w:val="18"/>
          <w:szCs w:val="18"/>
          <w:color w:val="auto"/>
        </w:rPr>
        <w:t>managed care contract to Molina Healthcare of Florida. The contract term is expected to commence on February 1, 2025, and to run through December 31, 2030. We expect to serve approximately 90,000 Medicaid beneficiaries in Miami-Dade and Monroe Counties.</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i w:val="1"/>
          <w:iCs w:val="1"/>
          <w:color w:val="auto"/>
        </w:rPr>
        <w:t xml:space="preserve">New Mexico Procurement—Medicaid. </w:t>
      </w:r>
      <w:r>
        <w:rPr>
          <w:rFonts w:ascii="Arial" w:cs="Arial" w:eastAsia="Arial" w:hAnsi="Arial"/>
          <w:sz w:val="18"/>
          <w:szCs w:val="18"/>
          <w:color w:val="auto"/>
        </w:rPr>
        <w:t>Our new contract with the New Mexico Health Care Authority commenced on July 1, 2024 and will run</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December 31, 2026. The new contract added approximately 33,000 members.</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Wisconsin Procurement—Medicaid. </w:t>
      </w:r>
      <w:r>
        <w:rPr>
          <w:rFonts w:ascii="Arial" w:cs="Arial" w:eastAsia="Arial" w:hAnsi="Arial"/>
          <w:sz w:val="18"/>
          <w:szCs w:val="18"/>
          <w:color w:val="auto"/>
        </w:rPr>
        <w:t>In May 2024, we were notified that the Wisconsin Department of Health Services intends to make an</w:t>
      </w:r>
      <w:r>
        <w:rPr>
          <w:rFonts w:ascii="Arial" w:cs="Arial" w:eastAsia="Arial" w:hAnsi="Arial"/>
          <w:sz w:val="18"/>
          <w:szCs w:val="18"/>
          <w:i w:val="1"/>
          <w:iCs w:val="1"/>
          <w:color w:val="auto"/>
        </w:rPr>
        <w:t xml:space="preserve"> </w:t>
      </w:r>
      <w:r>
        <w:rPr>
          <w:rFonts w:ascii="Arial" w:cs="Arial" w:eastAsia="Arial" w:hAnsi="Arial"/>
          <w:sz w:val="18"/>
          <w:szCs w:val="18"/>
          <w:color w:val="auto"/>
        </w:rPr>
        <w:t>award for the purchase of services under the Family Care and Family Care Partnership program in its Geographic Service Region 5 to Molina Healthcare of Wisconsin. The go-live date is expected to be January 1, 2025, and the contract is expected to have a duration of two years, with an option for three two-year extensions. Additionally, we were re-awarded our sole contract position in the self-directed long-term services and supports personal care program.</w:t>
      </w:r>
    </w:p>
    <w:p>
      <w:pPr>
        <w:spacing w:after="0" w:line="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i w:val="1"/>
          <w:iCs w:val="1"/>
          <w:color w:val="auto"/>
        </w:rPr>
        <w:t xml:space="preserve">Michigan Procurement—Medicaid. </w:t>
      </w:r>
      <w:r>
        <w:rPr>
          <w:rFonts w:ascii="Arial" w:cs="Arial" w:eastAsia="Arial" w:hAnsi="Arial"/>
          <w:sz w:val="18"/>
          <w:szCs w:val="18"/>
          <w:color w:val="auto"/>
        </w:rPr>
        <w:t>In April 2024, we announced that the Michigan Department of Health and Human Services intends to</w:t>
      </w:r>
      <w:r>
        <w:rPr>
          <w:rFonts w:ascii="Arial" w:cs="Arial" w:eastAsia="Arial" w:hAnsi="Arial"/>
          <w:sz w:val="18"/>
          <w:szCs w:val="18"/>
          <w:i w:val="1"/>
          <w:iCs w:val="1"/>
          <w:color w:val="auto"/>
        </w:rPr>
        <w:t xml:space="preserve"> </w:t>
      </w:r>
      <w:r>
        <w:rPr>
          <w:rFonts w:ascii="Arial" w:cs="Arial" w:eastAsia="Arial" w:hAnsi="Arial"/>
          <w:sz w:val="18"/>
          <w:szCs w:val="18"/>
          <w:color w:val="auto"/>
        </w:rPr>
        <w:t>award a Comprehensive Health Care Program contract to Molina Healthcare of Michigan. We were awarded the contract in six service regions. The new Medicaid contract commenced on October 1, 2024. The new contract is expected to have a duration of five years, with an option for three one-year extensions.</w:t>
      </w:r>
    </w:p>
    <w:p>
      <w:pPr>
        <w:spacing w:after="0" w:line="68"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i w:val="1"/>
          <w:iCs w:val="1"/>
          <w:color w:val="auto"/>
        </w:rPr>
        <w:t xml:space="preserve">Mississippi Procurement—Medicaid. </w:t>
      </w:r>
      <w:r>
        <w:rPr>
          <w:rFonts w:ascii="Arial" w:cs="Arial" w:eastAsia="Arial" w:hAnsi="Arial"/>
          <w:sz w:val="18"/>
          <w:szCs w:val="18"/>
          <w:color w:val="auto"/>
        </w:rPr>
        <w:t>In the second quarter of 2024, the Mississippi Division of Medicaid extended the existing contracts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state fiscal year that began on July 1, 2024. We now expect the new four-year contract, which will cover both TANF &amp; ABD and CHIP, to commence on July 1, 2025.</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Texas Procurement—Medicaid. </w:t>
      </w:r>
      <w:r>
        <w:rPr>
          <w:rFonts w:ascii="Arial" w:cs="Arial" w:eastAsia="Arial" w:hAnsi="Arial"/>
          <w:sz w:val="18"/>
          <w:szCs w:val="18"/>
          <w:color w:val="auto"/>
        </w:rPr>
        <w:t>In the first quarter of 2024, we were notified of the Texas Health and Human Services Commission’s intent to</w:t>
      </w:r>
      <w:r>
        <w:rPr>
          <w:rFonts w:ascii="Arial" w:cs="Arial" w:eastAsia="Arial" w:hAnsi="Arial"/>
          <w:sz w:val="18"/>
          <w:szCs w:val="18"/>
          <w:i w:val="1"/>
          <w:iCs w:val="1"/>
          <w:color w:val="auto"/>
        </w:rPr>
        <w:t xml:space="preserve"> </w:t>
      </w:r>
      <w:r>
        <w:rPr>
          <w:rFonts w:ascii="Arial" w:cs="Arial" w:eastAsia="Arial" w:hAnsi="Arial"/>
          <w:sz w:val="18"/>
          <w:szCs w:val="18"/>
          <w:color w:val="auto"/>
        </w:rPr>
        <w:t>award us a contract for Temporary Assistance for Needy Families (“TANF”) and Children’s Health Insurance Program (“CHIP”) (known in Texas as the STAR &amp; CHIP programs, and both existing contracts for Molina), expanding our footprint and expecting to grow our market share. The expected start of operations and other final contract terms are still pending. The new STAR+PLUS contract began on September 1, 2024 and grew our market share.</w:t>
      </w:r>
    </w:p>
    <w:p>
      <w:pPr>
        <w:spacing w:after="0" w:line="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Virginia Procurement—Medicaid. </w:t>
      </w:r>
      <w:r>
        <w:rPr>
          <w:rFonts w:ascii="Arial" w:cs="Arial" w:eastAsia="Arial" w:hAnsi="Arial"/>
          <w:sz w:val="18"/>
          <w:szCs w:val="18"/>
          <w:color w:val="auto"/>
        </w:rPr>
        <w:t>In the first quarter of 2024, the Virginia Department of Medical Assistance Services (“DMAS”) issued a</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intent to award which did not include Molina Healthcare of Virginia as an awardee for its Cardinal Care Managed Care (“CCMC”) procurement. We exercised our right to protest that decision. On April 19, 2024, DMAS upheld its notice of intent to award in response to our protest. On April 26, 2024, Molina filed a legal action in Virginia Circuit Court over DMAS’s decision not to award Molina a CCMC contract. In addition, DMAS separately notified us that they were exercising the contractual extension option for the period from July 1, 2024 through June 30, 2025. The noticed CCMC awards are subject to a statutory stay pending the resolution of Molina’s legal action.</w:t>
      </w:r>
    </w:p>
    <w:p>
      <w:pPr>
        <w:spacing w:after="0" w:line="7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i w:val="1"/>
          <w:iCs w:val="1"/>
          <w:color w:val="auto"/>
        </w:rPr>
        <w:t xml:space="preserve">California Acquisition—Medicare. </w:t>
      </w:r>
      <w:r>
        <w:rPr>
          <w:rFonts w:ascii="Arial" w:cs="Arial" w:eastAsia="Arial" w:hAnsi="Arial"/>
          <w:sz w:val="18"/>
          <w:szCs w:val="18"/>
          <w:color w:val="auto"/>
        </w:rPr>
        <w:t>Effective January 1, 2024, we closed on our acquisition of 100% of the issued and outstanding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stock of Brand New Day and Central Health Plan of California (“Bright Health Medicare”), which added approximately 109,000 members.</w:t>
      </w:r>
    </w:p>
    <w:p>
      <w:pPr>
        <w:spacing w:after="0" w:line="45"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i w:val="1"/>
          <w:iCs w:val="1"/>
          <w:color w:val="auto"/>
        </w:rPr>
        <w:t xml:space="preserve">California Procurement—Medicaid. </w:t>
      </w:r>
      <w:r>
        <w:rPr>
          <w:rFonts w:ascii="Arial" w:cs="Arial" w:eastAsia="Arial" w:hAnsi="Arial"/>
          <w:sz w:val="18"/>
          <w:szCs w:val="18"/>
          <w:color w:val="auto"/>
        </w:rPr>
        <w:t>Our new contract with the California Department of Health Care Services commenced on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2024, which enables us to continue servicing Medi-Cal members in most of our existing counties and expand our footprint in Los Angeles County.</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i w:val="1"/>
          <w:iCs w:val="1"/>
          <w:color w:val="auto"/>
        </w:rPr>
        <w:t xml:space="preserve">Nebraska Procurement—Medicaid. </w:t>
      </w:r>
      <w:r>
        <w:rPr>
          <w:rFonts w:ascii="Arial" w:cs="Arial" w:eastAsia="Arial" w:hAnsi="Arial"/>
          <w:sz w:val="18"/>
          <w:szCs w:val="18"/>
          <w:color w:val="auto"/>
        </w:rPr>
        <w:t>Our new contract with the Nebraska Department of Health and Human Services commenced on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1, 2024, which added approximately 114,000 members.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and Interim Financial Information</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consolidated financial statements include the accounts of Molina Healthcare, Inc. and its subsidiaries. In the opinion of management, these financial statements reflect all normal recurring adjustments, which are considered necessary for a fair presentation of the results as of the dates and for the interim periods presented. All significant intercompany balances and transactions have been eliminated. The consolidated results of operations for the nine months ended September 30, 2024 are not necessarily indicative of the results for the entire year ending December 31, 2024.</w:t>
      </w:r>
    </w:p>
    <w:p>
      <w:pPr>
        <w:spacing w:after="0" w:line="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2023. Accordingly, certain disclosures that would substantially duplicate the disclosures contained in our December 31, 2023, audited consolidated financial statements have been omitted.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340" w:firstLine="8"/>
        <w:spacing w:after="0" w:line="375" w:lineRule="auto"/>
        <w:tabs>
          <w:tab w:leader="none" w:pos="200" w:val="left"/>
        </w:tabs>
        <w:numPr>
          <w:ilvl w:val="0"/>
          <w:numId w:val="4"/>
        </w:numPr>
        <w:rPr>
          <w:rFonts w:ascii="Arial" w:cs="Arial" w:eastAsia="Arial" w:hAnsi="Arial"/>
          <w:sz w:val="18"/>
          <w:szCs w:val="18"/>
          <w:b w:val="1"/>
          <w:bCs w:val="1"/>
          <w:color w:val="828282"/>
        </w:rPr>
      </w:pPr>
      <w:r>
        <w:rPr>
          <w:rFonts w:ascii="Arial" w:cs="Arial" w:eastAsia="Arial" w:hAnsi="Arial"/>
          <w:sz w:val="18"/>
          <w:szCs w:val="18"/>
          <w:b w:val="1"/>
          <w:bCs w:val="1"/>
          <w:color w:val="828282"/>
        </w:rPr>
        <w:t xml:space="preserve">Significant Accounting Policies </w:t>
      </w:r>
      <w:r>
        <w:rPr>
          <w:rFonts w:ascii="Arial" w:cs="Arial" w:eastAsia="Arial" w:hAnsi="Arial"/>
          <w:sz w:val="18"/>
          <w:szCs w:val="18"/>
          <w:b w:val="1"/>
          <w:bCs w:val="1"/>
          <w:i w:val="1"/>
          <w:iCs w:val="1"/>
          <w:color w:val="000000"/>
        </w:rPr>
        <w:t>Cash and Cash Equivalents</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and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6"/>
        </w:trPr>
        <w:tc>
          <w:tcPr>
            <w:tcW w:w="8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5,565</w:t>
            </w:r>
          </w:p>
        </w:tc>
        <w:tc>
          <w:tcPr>
            <w:tcW w:w="0" w:type="dxa"/>
            <w:vAlign w:val="bottom"/>
          </w:tcPr>
          <w:p>
            <w:pPr>
              <w:spacing w:after="0"/>
              <w:rPr>
                <w:sz w:val="1"/>
                <w:szCs w:val="1"/>
                <w:color w:val="auto"/>
              </w:rPr>
            </w:pPr>
          </w:p>
        </w:tc>
      </w:tr>
      <w:tr>
        <w:trPr>
          <w:trHeight w:val="21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and cash equivalents</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43"/>
        </w:trPr>
        <w:tc>
          <w:tcPr>
            <w:tcW w:w="8240" w:type="dxa"/>
            <w:vAlign w:val="bottom"/>
            <w:shd w:val="clear" w:color="auto" w:fill="CCEEFF"/>
          </w:tcPr>
          <w:p>
            <w:pPr>
              <w:ind w:left="360"/>
              <w:spacing w:after="0" w:line="143" w:lineRule="exact"/>
              <w:rPr>
                <w:sz w:val="20"/>
                <w:szCs w:val="20"/>
                <w:color w:val="auto"/>
              </w:rPr>
            </w:pPr>
            <w:r>
              <w:rPr>
                <w:rFonts w:ascii="Arial" w:cs="Arial" w:eastAsia="Arial" w:hAnsi="Arial"/>
                <w:sz w:val="16"/>
                <w:szCs w:val="16"/>
                <w:color w:val="auto"/>
              </w:rPr>
              <w:t>Total cash, cash equivalents, and restricted cash and cash equivalents presented in the consolidated</w:t>
            </w:r>
          </w:p>
        </w:tc>
        <w:tc>
          <w:tcPr>
            <w:tcW w:w="920" w:type="dxa"/>
            <w:vAlign w:val="bottom"/>
            <w:vMerge w:val="restart"/>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4,879</w:t>
            </w: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5,620</w:t>
            </w:r>
          </w:p>
        </w:tc>
        <w:tc>
          <w:tcPr>
            <w:tcW w:w="0" w:type="dxa"/>
            <w:vAlign w:val="bottom"/>
          </w:tcPr>
          <w:p>
            <w:pPr>
              <w:spacing w:after="0"/>
              <w:rPr>
                <w:sz w:val="1"/>
                <w:szCs w:val="1"/>
                <w:color w:val="auto"/>
              </w:rPr>
            </w:pPr>
          </w:p>
        </w:tc>
      </w:tr>
      <w:tr>
        <w:trPr>
          <w:trHeight w:val="209"/>
        </w:trPr>
        <w:tc>
          <w:tcPr>
            <w:tcW w:w="8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statements of cash flows</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Receivables consist primarily of premium amounts due from government agencies, which are subject to potential retroactive adjustments. We apply the current expected credit loss model to measure expected credit losses on our receivables based on available information about past events and reasonable and supportable forecasts. Because substantially all of our receivable amounts are readily determinable and substantially all of our creditors are governmental authorities, our allowance for credit losses is insignificant. Any amounts determined to be uncollectible are charged to expense when such determination is made.</w:t>
      </w:r>
    </w:p>
    <w:tbl>
      <w:tblPr>
        <w:tblLayout w:type="fixed"/>
        <w:tblInd w:w="0" w:type="dxa"/>
        <w:tblCellMar>
          <w:top w:w="0" w:type="dxa"/>
          <w:left w:w="0" w:type="dxa"/>
          <w:bottom w:w="0" w:type="dxa"/>
          <w:right w:w="0" w:type="dxa"/>
        </w:tblCellMar>
      </w:tblPr>
      <w:tr>
        <w:trPr>
          <w:trHeight w:val="158"/>
        </w:trPr>
        <w:tc>
          <w:tcPr>
            <w:tcW w:w="8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ind w:left="60"/>
              <w:spacing w:after="0" w:line="15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280" w:type="dxa"/>
            <w:vAlign w:val="bottom"/>
          </w:tcPr>
          <w:p>
            <w:pPr>
              <w:jc w:val="right"/>
              <w:ind w:right="182"/>
              <w:spacing w:after="0" w:line="157"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8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r>
      <w:tr>
        <w:trPr>
          <w:trHeight w:val="236"/>
        </w:trPr>
        <w:tc>
          <w:tcPr>
            <w:tcW w:w="8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4"/>
          </w:tcPr>
          <w:p>
            <w:pPr>
              <w:jc w:val="right"/>
              <w:ind w:right="1022"/>
              <w:spacing w:after="0"/>
              <w:rPr>
                <w:sz w:val="20"/>
                <w:szCs w:val="20"/>
                <w:color w:val="auto"/>
              </w:rPr>
            </w:pPr>
            <w:r>
              <w:rPr>
                <w:rFonts w:ascii="Arial" w:cs="Arial" w:eastAsia="Arial" w:hAnsi="Arial"/>
                <w:sz w:val="14"/>
                <w:szCs w:val="14"/>
                <w:b w:val="1"/>
                <w:bCs w:val="1"/>
                <w:color w:val="auto"/>
              </w:rPr>
              <w:t>(In millions)</w:t>
            </w:r>
          </w:p>
        </w:tc>
      </w:tr>
      <w:tr>
        <w:trPr>
          <w:trHeight w:val="21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Government receivables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2,354</w:t>
            </w:r>
          </w:p>
        </w:tc>
      </w:tr>
      <w:tr>
        <w:trPr>
          <w:trHeight w:val="215"/>
        </w:trPr>
        <w:tc>
          <w:tcPr>
            <w:tcW w:w="8180" w:type="dxa"/>
            <w:vAlign w:val="bottom"/>
          </w:tcPr>
          <w:p>
            <w:pPr>
              <w:ind w:left="20"/>
              <w:spacing w:after="0"/>
              <w:rPr>
                <w:sz w:val="20"/>
                <w:szCs w:val="20"/>
                <w:color w:val="auto"/>
              </w:rPr>
            </w:pPr>
            <w:r>
              <w:rPr>
                <w:rFonts w:ascii="Arial" w:cs="Arial" w:eastAsia="Arial" w:hAnsi="Arial"/>
                <w:sz w:val="16"/>
                <w:szCs w:val="16"/>
                <w:color w:val="auto"/>
              </w:rPr>
              <w:t>Pharmacy rebate receivables</w:t>
            </w:r>
          </w:p>
        </w:tc>
        <w:tc>
          <w:tcPr>
            <w:tcW w:w="160" w:type="dxa"/>
            <w:vAlign w:val="bottom"/>
          </w:tcPr>
          <w:p>
            <w:pPr>
              <w:spacing w:after="0"/>
              <w:rPr>
                <w:sz w:val="18"/>
                <w:szCs w:val="18"/>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330</w:t>
            </w:r>
          </w:p>
        </w:tc>
      </w:tr>
      <w:tr>
        <w:trPr>
          <w:trHeight w:val="21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420</w:t>
            </w:r>
          </w:p>
        </w:tc>
      </w:tr>
      <w:tr>
        <w:trPr>
          <w:trHeight w:val="209"/>
        </w:trPr>
        <w:tc>
          <w:tcPr>
            <w:tcW w:w="8180" w:type="dxa"/>
            <w:vAlign w:val="bottom"/>
          </w:tcPr>
          <w:p>
            <w:pPr>
              <w:ind w:left="140"/>
              <w:spacing w:after="0"/>
              <w:rPr>
                <w:sz w:val="20"/>
                <w:szCs w:val="20"/>
                <w:color w:val="auto"/>
              </w:rPr>
            </w:pPr>
            <w:r>
              <w:rPr>
                <w:rFonts w:ascii="Arial" w:cs="Arial" w:eastAsia="Arial" w:hAnsi="Arial"/>
                <w:sz w:val="16"/>
                <w:szCs w:val="16"/>
                <w:color w:val="auto"/>
              </w:rPr>
              <w:t>Total receivables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3,259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3,104</w:t>
            </w:r>
          </w:p>
        </w:tc>
      </w:tr>
      <w:tr>
        <w:trPr>
          <w:trHeight w:val="21"/>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Revenue Recognition and Amounts Due Government Agencies</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Premium revenue is generated from our contracts with state and federal agencies, in connection with our participation in the Medicaid, Medicare, and Marketplace programs.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Many of our contracts contain provisions that may adjust or limit revenue or profit, as described below. Consequently, we recognize premium revenue as it is earned under such provisions. Liabilities accrued for premiums to be returned under such provisions are reported in the aggregate as “Amounts due government agencies” in the accompanying consolidated balance sheets. State Medicaid programs and the federal Medicare program periodically adjust premium rates, including certain components of premium revenue that are subject to accounting estimates and are described below, and in our 2023 Annual Report on Form 10-K, Note 2, “Significant Accounting Policies,” under “Premium Revenue Recognition and Amounts Due Government Agencies,” and “Quality Incentives.”</w:t>
      </w:r>
    </w:p>
    <w:p>
      <w:pPr>
        <w:spacing w:after="0" w:line="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Minimum MLR, Medical Cost Corridors and Profit Sharing. </w:t>
      </w:r>
      <w:r>
        <w:rPr>
          <w:rFonts w:ascii="Arial" w:cs="Arial" w:eastAsia="Arial" w:hAnsi="Arial"/>
          <w:sz w:val="18"/>
          <w:szCs w:val="18"/>
          <w:color w:val="auto"/>
        </w:rPr>
        <w:t>A portion of our Medicaid premium revenue may be returned if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minimum amounts are not spent on defined medical care costs as a percentage of premium revenue, or minimum medical loss ratio (“Minimum MLR”). Under certain medical cost corridor provisions, the health plans may receive additional premiums if amounts spent on medical care costs exceed a defined maximum threshold. This includes remaining risk corridors that were enacted by various states in 2020 in response to the reduced demand for medical services stemming from COVID-19. Our contracts with certain states contain profit sharing provisions under which we refund amounts to the states if our health plans generate profit above a certain specified percentage. In some cases, we are limited in the amount of administrative costs that we may deduct in calculating the refund, if any. We recorded aggregate liabilities under the terms of such contract provisions of $1,176 million and $1,344 million at September 30, 2024 and December 31, 2023, respectively, to “Amounts due government agencies”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Affordable Care Act (“ACA”) established a Minimum MLR of 85% for Medicare. Federal regulations define what constitutes medical costs and premium revenue. If the Minimum MLR is not met, we may be required to pay rebates to the federal government. Our dual-eligible plans may also be subject to state-specific Minimum MLRs, medical cost corridors, and profit-sharing provisions. We recognize estimated rebates as an adjustment to premium revenue in our consolidated statements of income. We recorded a liability under the terms of such contract provisions of $40 million and $64 million at September 30, 2024 and December 31, 2023, respectively, to “Amounts due government agencies” in the accompanying consolidated balance sheets.</w:t>
      </w:r>
    </w:p>
    <w:p>
      <w:pPr>
        <w:spacing w:after="0" w:line="7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ACA established a Minimum MLR of 80% for the Marketplace. If the Minimum MLR is not met, we may be required to pay rebates to our Marketplace policyholders. The Marketplace risk adjustment program discussed below is taken into consideration when computing the Minimum MLR. We recognize estimated rebates under the Minimum MLR as an adjustment to premium revenue in our consolidated statements of income. The amounts were insignificant at September 30, 2024 and December 31, 2023.</w:t>
      </w:r>
    </w:p>
    <w:p>
      <w:pPr>
        <w:spacing w:after="0" w:line="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Risk Adjustment. </w:t>
      </w:r>
      <w:r>
        <w:rPr>
          <w:rFonts w:ascii="Arial" w:cs="Arial" w:eastAsia="Arial" w:hAnsi="Arial"/>
          <w:sz w:val="18"/>
          <w:szCs w:val="18"/>
          <w:color w:val="auto"/>
        </w:rPr>
        <w:t>Our Medicare premiums are subject to retroactive increase or decrease based on the health status of our Medicare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(as measured by member risk score). We estimate our members’ risk scores and the related amount of Medicare revenue that will ultimately be realized for the periods presented based on our knowledge of our members’ health status, risk scores and CMS practices. We also estimate amounts owed to CMS for Part D settlements. We recorded a liability under the terms of such contract provisions of $82 million and $66 million at September 30, 2024 and December 31, 2023, respectively, to “Amounts due government agencies” in the accompanying consolidated balance sheets.</w:t>
      </w:r>
    </w:p>
    <w:p>
      <w:pPr>
        <w:spacing w:after="0" w:line="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this program for our Marketplace business, our health plans’ composite risk scores are compared with the overall average risk score for the relevant 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September 30, 2024, Marketplace risk adjustment payables amounted to $ 207 million and related receivables amounted to $282 million, for a net receivable of $75 million. As of December 31, 2023, Marketplace risk adjustment payables amounted to $ 201 million and related receivables amounted to $ 241 million, for a net receivable of $40 million. Marketplace risk adjustment receivables at December 31, 2023 are net of a $41 million credit loss allowance resulting from a credit loss recognized in the third quarter of 2023 on 2022 Marketplace risk adjustment receivables due to the insolvency of an issuer in the Texas risk pool.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 on Loss Contracts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assess the profitability of our contracts to determine if it is probable that a loss will be incurred in the future by reviewing current results and forecasts. For purposes of this assessment, contracts are grouped in a manner consistent with our method of acquiring, servicing and measuring the profitability of such contracts. A premium deficiency reserve (“PDR”) is recognized if anticipated future medical care and administrative costs exceed anticipated future premium revenue, investment income and reinsurance recoveries. Once established, a PDR is reduced over the contract period as an offset to actual losses.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15 years, or less than 15 years average life for structured securities. Restricted investments are invested principally in cash, cash equivalents, U.S. Treasury securities, and corporate debt securities. Concentration of credit risk with respect to accounts receivable is limited because our payors consist principally of the federal government, and governments of each state in which our health plan subsidiaries operate.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provision for income taxes is determined using an estimated annual effective tax rate, which generally differs from the U.S. federal statutory rate primarily because of state taxes and nondeductible expenses such as certain compensation and other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Recent accounting pronouncements issued by the Financial Accounting Standards Board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3. Net Income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basic and diluted net income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34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30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52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2023</w:t>
            </w:r>
          </w:p>
        </w:tc>
      </w:tr>
      <w:tr>
        <w:trPr>
          <w:trHeight w:val="236"/>
        </w:trPr>
        <w:tc>
          <w:tcPr>
            <w:tcW w:w="4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40" w:type="dxa"/>
            <w:vAlign w:val="bottom"/>
            <w:gridSpan w:val="5"/>
          </w:tcPr>
          <w:p>
            <w:pPr>
              <w:ind w:left="80"/>
              <w:spacing w:after="0"/>
              <w:rPr>
                <w:sz w:val="20"/>
                <w:szCs w:val="20"/>
                <w:color w:val="auto"/>
              </w:rPr>
            </w:pPr>
            <w:r>
              <w:rPr>
                <w:rFonts w:ascii="Arial" w:cs="Arial" w:eastAsia="Arial" w:hAnsi="Arial"/>
                <w:sz w:val="14"/>
                <w:szCs w:val="14"/>
                <w:b w:val="1"/>
                <w:bCs w:val="1"/>
                <w:color w:val="auto"/>
              </w:rPr>
              <w:t>(In millions, except net income per share)</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7"/>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tcBorders>
              <w:bottom w:val="single" w:sz="8" w:color="auto"/>
            </w:tcBorders>
          </w:tcPr>
          <w:p>
            <w:pPr>
              <w:jc w:val="right"/>
              <w:ind w:right="9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5"/>
        </w:trPr>
        <w:tc>
          <w:tcPr>
            <w:tcW w:w="4520" w:type="dxa"/>
            <w:vAlign w:val="bottom"/>
          </w:tcPr>
          <w:p>
            <w:pPr>
              <w:ind w:left="20"/>
              <w:spacing w:after="0"/>
              <w:rPr>
                <w:sz w:val="20"/>
                <w:szCs w:val="20"/>
                <w:color w:val="auto"/>
              </w:rPr>
            </w:pPr>
            <w:r>
              <w:rPr>
                <w:rFonts w:ascii="Arial" w:cs="Arial" w:eastAsia="Arial" w:hAnsi="Arial"/>
                <w:sz w:val="16"/>
                <w:szCs w:val="16"/>
                <w:color w:val="auto"/>
              </w:rPr>
              <w:t>Shares outstanding at the beginning of the period</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57.4</w:t>
            </w:r>
          </w:p>
        </w:tc>
      </w:tr>
      <w:tr>
        <w:trPr>
          <w:trHeight w:val="217"/>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number of shares issued:</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45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7"/>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purchases</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520" w:type="dxa"/>
            <w:vAlign w:val="bottom"/>
          </w:tcPr>
          <w:p>
            <w:pPr>
              <w:ind w:left="20"/>
              <w:spacing w:after="0"/>
              <w:rPr>
                <w:sz w:val="20"/>
                <w:szCs w:val="20"/>
                <w:color w:val="auto"/>
              </w:rPr>
            </w:pPr>
            <w:r>
              <w:rPr>
                <w:rFonts w:ascii="Arial" w:cs="Arial" w:eastAsia="Arial" w:hAnsi="Arial"/>
                <w:sz w:val="16"/>
                <w:szCs w:val="16"/>
                <w:color w:val="auto"/>
              </w:rPr>
              <w:t>Denominator for basic net income per share</w:t>
            </w:r>
          </w:p>
        </w:tc>
        <w:tc>
          <w:tcPr>
            <w:tcW w:w="10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57.7</w:t>
            </w:r>
          </w:p>
        </w:tc>
      </w:tr>
      <w:tr>
        <w:trPr>
          <w:trHeight w:val="217"/>
        </w:trPr>
        <w:tc>
          <w:tcPr>
            <w:tcW w:w="45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(1)</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Stock-based compensation</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35"/>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Denominator for diluted net income per share</w:t>
            </w:r>
          </w:p>
        </w:tc>
        <w:tc>
          <w:tcPr>
            <w:tcW w:w="10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1"/>
        </w:trPr>
        <w:tc>
          <w:tcPr>
            <w:tcW w:w="4520" w:type="dxa"/>
            <w:vAlign w:val="bottom"/>
            <w:tcBorders>
              <w:bottom w:val="single" w:sz="8" w:color="CCEEFF"/>
            </w:tcBorders>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Net income per share - Basic </w:t>
            </w:r>
            <w:r>
              <w:rPr>
                <w:rFonts w:ascii="Arial" w:cs="Arial" w:eastAsia="Arial" w:hAnsi="Arial"/>
                <w:sz w:val="21"/>
                <w:szCs w:val="21"/>
                <w:color w:val="auto"/>
                <w:vertAlign w:val="superscript"/>
              </w:rPr>
              <w:t>(2)</w:t>
            </w:r>
          </w:p>
        </w:tc>
        <w:tc>
          <w:tcPr>
            <w:tcW w:w="108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16.05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15.18</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520" w:type="dxa"/>
            <w:vAlign w:val="bottom"/>
          </w:tcPr>
          <w:p>
            <w:pPr>
              <w:ind w:left="40"/>
              <w:spacing w:after="0" w:line="190" w:lineRule="exact"/>
              <w:rPr>
                <w:sz w:val="20"/>
                <w:szCs w:val="20"/>
                <w:color w:val="auto"/>
              </w:rPr>
            </w:pPr>
            <w:r>
              <w:rPr>
                <w:rFonts w:ascii="Arial" w:cs="Arial" w:eastAsia="Arial" w:hAnsi="Arial"/>
                <w:sz w:val="16"/>
                <w:szCs w:val="16"/>
                <w:color w:val="auto"/>
              </w:rPr>
              <w:t xml:space="preserve">Net income per share - Diluted </w:t>
            </w:r>
            <w:r>
              <w:rPr>
                <w:rFonts w:ascii="Arial" w:cs="Arial" w:eastAsia="Arial" w:hAnsi="Arial"/>
                <w:sz w:val="21"/>
                <w:szCs w:val="21"/>
                <w:color w:val="auto"/>
                <w:vertAlign w:val="superscript"/>
              </w:rPr>
              <w:t>(2)</w:t>
            </w:r>
          </w:p>
        </w:tc>
        <w:tc>
          <w:tcPr>
            <w:tcW w:w="1080" w:type="dxa"/>
            <w:vAlign w:val="bottom"/>
            <w:tcBorders>
              <w:bottom w:val="single" w:sz="8" w:color="auto"/>
            </w:tcBorders>
          </w:tcPr>
          <w:p>
            <w:pPr>
              <w:jc w:val="right"/>
              <w:ind w:right="9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15.97</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15.08</w:t>
            </w:r>
          </w:p>
        </w:tc>
      </w:tr>
      <w:tr>
        <w:trPr>
          <w:trHeight w:val="20"/>
        </w:trPr>
        <w:tc>
          <w:tcPr>
            <w:tcW w:w="4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68" w:lineRule="exact"/>
        <w:rPr>
          <w:sz w:val="20"/>
          <w:szCs w:val="20"/>
          <w:color w:val="auto"/>
        </w:rPr>
      </w:pPr>
    </w:p>
    <w:p>
      <w:pPr>
        <w:ind w:left="340" w:right="280" w:hanging="332"/>
        <w:spacing w:after="0" w:line="259" w:lineRule="auto"/>
        <w:tabs>
          <w:tab w:leader="none" w:pos="3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dilutive effect of all potentially dilutive common shares is calculated using the treasury stock method. Certain potentially dilutive common shares issuable are not included in the computation of diluted net income per share because to do so would be anti-dilutive. For the three and nine months ended September 30, 2024, 196,000 shares and 102,000 shares, respectively, were excluded from diluted shares outstanding.</w:t>
      </w: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4. Business Combinations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Bright Health Medicare. </w:t>
      </w:r>
      <w:r>
        <w:rPr>
          <w:rFonts w:ascii="Arial" w:cs="Arial" w:eastAsia="Arial" w:hAnsi="Arial"/>
          <w:sz w:val="18"/>
          <w:szCs w:val="18"/>
          <w:color w:val="auto"/>
        </w:rPr>
        <w:t>On January 1, 2024, we closed on our acquisition of Bright Health Medicare for $441 million in cash, consistent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strategy to grow in our existing markets. For this transaction, we applied the acquisition method of accounting, where the total purchase price was preliminarily allocated to the tangible and intangible assets acquired and liabilities assumed, based on their fair values as of the acquisition date. We expect to complete the final determination of the purchase price allocation as soon as practicable, but no later than one year following the acquisition’s closing date in accordance with Accounting Standards Codification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Measurement period adjustments will be recorded in the period in which they are determined, as if they had been completed</w:t>
      </w:r>
      <w:r>
        <w:rPr>
          <w:rFonts w:ascii="Arial" w:cs="Arial" w:eastAsia="Arial" w:hAnsi="Arial"/>
          <w:sz w:val="18"/>
          <w:szCs w:val="18"/>
          <w:i w:val="1"/>
          <w:iCs w:val="1"/>
          <w:color w:val="auto"/>
        </w:rPr>
        <w:t xml:space="preserve"> </w:t>
      </w:r>
      <w:r>
        <w:rPr>
          <w:rFonts w:ascii="Arial" w:cs="Arial" w:eastAsia="Arial" w:hAnsi="Arial"/>
          <w:sz w:val="18"/>
          <w:szCs w:val="18"/>
          <w:color w:val="auto"/>
        </w:rPr>
        <w:t>at the acquisition date. The pro forma effects of this acquisition for prior periods were not material to our consolidated results of operations. Acquisition costs amounted to $3 million in the aggregate for the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nine months ended September 30, 2024, and were recorded as “General and administrative expenses” in the accompanying consolidated statements of income.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acquisition-date fair value of the consideration transferred consisted of the following,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of consideration transferred:</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9800" w:type="dxa"/>
            <w:vAlign w:val="bottom"/>
          </w:tcPr>
          <w:p>
            <w:pPr>
              <w:ind w:left="140"/>
              <w:spacing w:after="0"/>
              <w:rPr>
                <w:sz w:val="20"/>
                <w:szCs w:val="20"/>
                <w:color w:val="auto"/>
              </w:rPr>
            </w:pPr>
            <w:r>
              <w:rPr>
                <w:rFonts w:ascii="Arial" w:cs="Arial" w:eastAsia="Arial" w:hAnsi="Arial"/>
                <w:sz w:val="16"/>
                <w:szCs w:val="16"/>
                <w:color w:val="auto"/>
              </w:rPr>
              <w:t>Cash</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216"/>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Contingent consideration</w:t>
            </w:r>
          </w:p>
        </w:tc>
        <w:tc>
          <w:tcPr>
            <w:tcW w:w="6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10"/>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r>
      <w:tr>
        <w:trPr>
          <w:trHeight w:val="21"/>
        </w:trPr>
        <w:tc>
          <w:tcPr>
            <w:tcW w:w="9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contingent consideration arrangement allows the seller to earn up to $100 million for the satisfaction of certain conditions within the stock purchase agreement by the fourth quarter of 2024. The fair value of the contingent consideration arrangement at the acquisition date was $86 million. This fair value measurement is based on inputs not observable in the market and thus represents a Level 3 measurement. We estimated the fair value using a probability-weighted scenario approach focused on existing and expected membership. On the acquisition date, we placed the $100 million into a third-party escrow and recorded a receivable of $14 million in relation to the fair value measurement. As of September 30, 2024, the fair value of the contingent consideration arrangement increased to $100 million due to the conditions being met. The net change in fair value is reported in “Other” operating expenses in our consolidated statements of income.</w:t>
      </w:r>
    </w:p>
    <w:p>
      <w:pPr>
        <w:spacing w:after="0" w:line="75"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The valuation of the assets acquired and liabilities assumed has not yet been finalized. Further, the finalization of purchase price adjustments as provided in the stock purchase agreement is expected to occur in the fourth quarter of 2024. As a result, provisional estimates have been recorded and are subject to change, primarily for accounts that include the use of estimates, such as medical claims and benefits payable, receivables, amounts due government agencies, certain acquired intangible assets, and certain tax assets and liabilities.</w:t>
      </w:r>
    </w:p>
    <w:p>
      <w:pPr>
        <w:spacing w:after="0" w:line="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Goodwill is calculated as the excess of the consideration transferred over the net assets recognized and represents the estimated future economic benefits arising from other assets acquired that could not be individually identified and separately recognized. Such assets include synergies we expect to achieve as a result of the transaction, such as the use of our existing infrastructure to support the added membership, and future economic benefits arising from the assembled workforce. All of the goodwill was assigned to the Medicare segment and is deductible for income tax purposes. The following table summarizes the provisional fair values assigned to assets acquired and liabilities assumed,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 acquired:</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980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217"/>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r>
      <w:tr>
        <w:trPr>
          <w:trHeight w:val="215"/>
        </w:trPr>
        <w:tc>
          <w:tcPr>
            <w:tcW w:w="9800" w:type="dxa"/>
            <w:vAlign w:val="bottom"/>
          </w:tcPr>
          <w:p>
            <w:pPr>
              <w:ind w:left="140"/>
              <w:spacing w:after="0"/>
              <w:rPr>
                <w:sz w:val="20"/>
                <w:szCs w:val="20"/>
                <w:color w:val="auto"/>
              </w:rPr>
            </w:pPr>
            <w:r>
              <w:rPr>
                <w:rFonts w:ascii="Arial" w:cs="Arial" w:eastAsia="Arial" w:hAnsi="Arial"/>
                <w:sz w:val="16"/>
                <w:szCs w:val="16"/>
                <w:color w:val="auto"/>
              </w:rPr>
              <w:t>Intangible assets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17"/>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assets</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6"/>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Medical claims and benefits payable</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r>
      <w:tr>
        <w:trPr>
          <w:trHeight w:val="215"/>
        </w:trPr>
        <w:tc>
          <w:tcPr>
            <w:tcW w:w="9800" w:type="dxa"/>
            <w:vAlign w:val="bottom"/>
          </w:tcPr>
          <w:p>
            <w:pPr>
              <w:ind w:left="140"/>
              <w:spacing w:after="0"/>
              <w:rPr>
                <w:sz w:val="20"/>
                <w:szCs w:val="20"/>
                <w:color w:val="auto"/>
              </w:rPr>
            </w:pPr>
            <w:r>
              <w:rPr>
                <w:rFonts w:ascii="Arial" w:cs="Arial" w:eastAsia="Arial" w:hAnsi="Arial"/>
                <w:sz w:val="16"/>
                <w:szCs w:val="16"/>
                <w:color w:val="auto"/>
              </w:rPr>
              <w:t>Amounts due government agencies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accrued and other long-term liabilities</w:t>
            </w: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Fair value of net assets acquired</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r>
      <w:tr>
        <w:trPr>
          <w:trHeight w:val="20"/>
        </w:trPr>
        <w:tc>
          <w:tcPr>
            <w:tcW w:w="9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The table below presents intangible assets acquired, by major class, for the Bright Health Medicare acquisition. The weighted-average amortization period, in the aggregate, is 11.1 years.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r>
      <w:tr>
        <w:trPr>
          <w:trHeight w:val="250"/>
        </w:trPr>
        <w:tc>
          <w:tcPr>
            <w:tcW w:w="8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242"/>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rights - member list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104</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w:t>
            </w:r>
          </w:p>
        </w:tc>
      </w:tr>
      <w:tr>
        <w:trPr>
          <w:trHeight w:val="215"/>
        </w:trPr>
        <w:tc>
          <w:tcPr>
            <w:tcW w:w="8260" w:type="dxa"/>
            <w:vAlign w:val="bottom"/>
          </w:tcPr>
          <w:p>
            <w:pPr>
              <w:ind w:left="20"/>
              <w:spacing w:after="0"/>
              <w:rPr>
                <w:sz w:val="20"/>
                <w:szCs w:val="20"/>
                <w:color w:val="auto"/>
              </w:rPr>
            </w:pPr>
            <w:r>
              <w:rPr>
                <w:rFonts w:ascii="Arial" w:cs="Arial" w:eastAsia="Arial" w:hAnsi="Arial"/>
                <w:sz w:val="16"/>
                <w:szCs w:val="16"/>
                <w:color w:val="auto"/>
              </w:rPr>
              <w:t>Trade name</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32</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rPr>
              <w:t>15</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Provider network</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w:t>
            </w:r>
          </w:p>
        </w:tc>
      </w:tr>
      <w:tr>
        <w:trPr>
          <w:trHeight w:val="210"/>
        </w:trPr>
        <w:tc>
          <w:tcPr>
            <w:tcW w:w="826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My Choice. </w:t>
      </w:r>
      <w:r>
        <w:rPr>
          <w:rFonts w:ascii="Arial" w:cs="Arial" w:eastAsia="Arial" w:hAnsi="Arial"/>
          <w:sz w:val="18"/>
          <w:szCs w:val="18"/>
          <w:color w:val="auto"/>
        </w:rPr>
        <w:t>On September 1, 2023, we closed on our acquisition of My Choice Wisconsin for preliminary purchase consideration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$74 million. In August 2024, we paid purchase consideration of $49 million as a result of final purchase price adjustments as provided in the asset purchase agreement. In the nine months ended September 30, 2024, we recorded various measurement period adjustments that were insignificant. These measurement period adjustments and purchase price adjustments have been finalized as of September 30, 2024.</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5. Fair Value Measurements</w:t>
      </w:r>
    </w:p>
    <w:p>
      <w:pPr>
        <w:spacing w:after="0" w:line="117"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We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used to: a) estimate the fair value; and b) determine the classification according to the fair value hierarchy for each financial instrument, refer to our 2023 Annual Report on Form 10-K, Note 5, “Fair Value Measurements.”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September 30, 2024,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Observable Inputs</w:t>
            </w: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Directly or Indirectly</w:t>
            </w: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00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Municipal securities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Other</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000" w:type="dxa"/>
            <w:vAlign w:val="bottom"/>
            <w:tcBorders>
              <w:top w:val="single" w:sz="8" w:color="auto"/>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2023,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Observable Inputs</w:t>
            </w: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Directly or Indirectly</w:t>
            </w: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93"/>
        </w:trPr>
        <w:tc>
          <w:tcPr>
            <w:tcW w:w="4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911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7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assets</w:t>
            </w:r>
          </w:p>
        </w:tc>
        <w:tc>
          <w:tcPr>
            <w:tcW w:w="980" w:type="dxa"/>
            <w:vAlign w:val="bottom"/>
            <w:tcBorders>
              <w:top w:val="single" w:sz="8" w:color="auto"/>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4,259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1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822"/>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8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4.375% Notes due 2028</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778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3.875% Notes due 2030</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3.875% Notes due 2032</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Credit Facility</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1,994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right="9720" w:firstLine="8"/>
        <w:spacing w:after="0" w:line="397" w:lineRule="auto"/>
        <w:tabs>
          <w:tab w:leader="none" w:pos="200" w:val="left"/>
        </w:tabs>
        <w:numPr>
          <w:ilvl w:val="0"/>
          <w:numId w:val="6"/>
        </w:numPr>
        <w:rPr>
          <w:rFonts w:ascii="Arial" w:cs="Arial" w:eastAsia="Arial" w:hAnsi="Arial"/>
          <w:sz w:val="17"/>
          <w:szCs w:val="17"/>
          <w:b w:val="1"/>
          <w:bCs w:val="1"/>
          <w:color w:val="828282"/>
        </w:rPr>
      </w:pPr>
      <w:r>
        <w:rPr>
          <w:rFonts w:ascii="Arial" w:cs="Arial" w:eastAsia="Arial" w:hAnsi="Arial"/>
          <w:sz w:val="17"/>
          <w:szCs w:val="17"/>
          <w:b w:val="1"/>
          <w:bCs w:val="1"/>
          <w:color w:val="828282"/>
        </w:rPr>
        <w:t xml:space="preserve">Investments </w:t>
      </w:r>
      <w:r>
        <w:rPr>
          <w:rFonts w:ascii="Arial" w:cs="Arial" w:eastAsia="Arial" w:hAnsi="Arial"/>
          <w:sz w:val="17"/>
          <w:szCs w:val="17"/>
          <w:b w:val="1"/>
          <w:bCs w:val="1"/>
          <w:i w:val="1"/>
          <w:iCs w:val="1"/>
          <w:color w:val="000000"/>
        </w:rPr>
        <w:t>Available-for-Sale</w:t>
      </w:r>
    </w:p>
    <w:p>
      <w:pPr>
        <w:spacing w:after="0" w:line="1"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We consider all of our investments classified as current assets to be available-for-sale. The following tables summarize our current investments as of the dates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center"/>
              <w:ind w:left="42"/>
              <w:spacing w:after="0"/>
              <w:rPr>
                <w:sz w:val="20"/>
                <w:szCs w:val="20"/>
                <w:color w:val="auto"/>
              </w:rPr>
            </w:pPr>
            <w:r>
              <w:rPr>
                <w:rFonts w:ascii="Arial" w:cs="Arial" w:eastAsia="Arial" w:hAnsi="Arial"/>
                <w:sz w:val="14"/>
                <w:szCs w:val="14"/>
                <w:b w:val="1"/>
                <w:bCs w:val="1"/>
                <w:color w:val="auto"/>
              </w:rPr>
              <w:t>September 30, 2024</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35"/>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center"/>
              <w:ind w:left="22"/>
              <w:spacing w:after="0"/>
              <w:rPr>
                <w:sz w:val="20"/>
                <w:szCs w:val="20"/>
                <w:color w:val="auto"/>
              </w:rPr>
            </w:pPr>
            <w:r>
              <w:rPr>
                <w:rFonts w:ascii="Arial" w:cs="Arial" w:eastAsia="Arial" w:hAnsi="Arial"/>
                <w:sz w:val="14"/>
                <w:szCs w:val="14"/>
                <w:b w:val="1"/>
                <w:bCs w:val="1"/>
                <w:color w:val="auto"/>
              </w:rPr>
              <w:t>Gross Unrealized</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7"/>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Losses</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237"/>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gridSpan w:val="3"/>
          </w:tcPr>
          <w:p>
            <w:pPr>
              <w:jc w:val="center"/>
              <w:ind w:left="42"/>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2,848</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945</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35"/>
        </w:trPr>
        <w:tc>
          <w:tcPr>
            <w:tcW w:w="4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4,482</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419"/>
        </w:trPr>
        <w:tc>
          <w:tcPr>
            <w:tcW w:w="4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center"/>
              <w:ind w:left="42"/>
              <w:spacing w:after="0"/>
              <w:rPr>
                <w:sz w:val="20"/>
                <w:szCs w:val="20"/>
                <w:color w:val="auto"/>
              </w:rPr>
            </w:pPr>
            <w:r>
              <w:rPr>
                <w:rFonts w:ascii="Arial" w:cs="Arial" w:eastAsia="Arial" w:hAnsi="Arial"/>
                <w:sz w:val="14"/>
                <w:szCs w:val="14"/>
                <w:b w:val="1"/>
                <w:bCs w:val="1"/>
                <w:color w:val="auto"/>
              </w:rPr>
              <w:t>December 31, 2023</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35"/>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center"/>
              <w:ind w:left="22"/>
              <w:spacing w:after="0"/>
              <w:rPr>
                <w:sz w:val="20"/>
                <w:szCs w:val="20"/>
                <w:color w:val="auto"/>
              </w:rPr>
            </w:pPr>
            <w:r>
              <w:rPr>
                <w:rFonts w:ascii="Arial" w:cs="Arial" w:eastAsia="Arial" w:hAnsi="Arial"/>
                <w:sz w:val="14"/>
                <w:szCs w:val="14"/>
                <w:b w:val="1"/>
                <w:bCs w:val="1"/>
                <w:color w:val="auto"/>
              </w:rPr>
              <w:t>Gross Unrealized</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7"/>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Losses</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236"/>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gridSpan w:val="3"/>
          </w:tcPr>
          <w:p>
            <w:pPr>
              <w:jc w:val="center"/>
              <w:ind w:left="42"/>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911</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35"/>
        </w:trPr>
        <w:tc>
          <w:tcPr>
            <w:tcW w:w="4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4,259</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our current investments as of September 30, 2024 are summarized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342"/>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5"/>
        </w:trPr>
        <w:tc>
          <w:tcPr>
            <w:tcW w:w="8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5"/>
        </w:trPr>
        <w:tc>
          <w:tcPr>
            <w:tcW w:w="8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in one year or less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16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2,295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2,297</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after five years through ten years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after ten years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1,109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1,089</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4,494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4,482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the nine months ended September 30, 2024, and 2023, maturities and redemptions of available-for-sale securities amounted to</w:t>
      </w:r>
    </w:p>
    <w:p>
      <w:pPr>
        <w:spacing w:after="0" w:line="2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$786 million and $410 million, respectively, and sales amounted to $85 million and $260 million, respectively. Gross realized gains and losses from sales of available-for-sale securities are calculated under the specific identification method and are included in investment income. Gross realized investment gains amounted to $2 million for the nine months ended September 30, 2024 and were insignificant for the nine months ended September 30, 2023. Gross realized investment losses amounted to $3 million and $10 million in the nine months ended September 30, 2024 and 2023, respectively, and were reclassified into earnings from other comprehensive income on a net-of-tax basis.</w:t>
      </w:r>
    </w:p>
    <w:p>
      <w:pPr>
        <w:spacing w:after="0" w:line="7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have determined that unrealized losses at September 30, 2024, and December 31, 2023, primarily resulted from fluctuating interest rates, rather than a deterioration of the creditworthiness of the issuers. Therefore, we determined that an allowance for credit losses was not necessary. So long as we maintain the intent and ability to hold these securities to maturity, we are unlikely to experience realized losses. In the event that we dispose of these securities before maturity, we expect that realized losses, if any, will be insignificant.</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September 30, 2024:</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40" w:type="dxa"/>
            <w:vAlign w:val="bottom"/>
            <w:gridSpan w:val="9"/>
          </w:tcPr>
          <w:p>
            <w:pPr>
              <w:jc w:val="center"/>
              <w:ind w:right="1140"/>
              <w:spacing w:after="0"/>
              <w:rPr>
                <w:sz w:val="20"/>
                <w:szCs w:val="20"/>
                <w:color w:val="auto"/>
              </w:rPr>
            </w:pPr>
            <w:r>
              <w:rPr>
                <w:rFonts w:ascii="Arial" w:cs="Arial" w:eastAsia="Arial" w:hAnsi="Arial"/>
                <w:sz w:val="14"/>
                <w:szCs w:val="14"/>
                <w:b w:val="1"/>
                <w:bCs w:val="1"/>
                <w:color w:val="auto"/>
              </w:rPr>
              <w:t>In a Continuous Loss Position</w:t>
            </w:r>
          </w:p>
        </w:tc>
        <w:tc>
          <w:tcPr>
            <w:tcW w:w="220" w:type="dxa"/>
            <w:vAlign w:val="bottom"/>
          </w:tcPr>
          <w:p>
            <w:pPr>
              <w:spacing w:after="0"/>
              <w:rPr>
                <w:sz w:val="14"/>
                <w:szCs w:val="14"/>
                <w:color w:val="auto"/>
              </w:rPr>
            </w:pPr>
          </w:p>
        </w:tc>
        <w:tc>
          <w:tcPr>
            <w:tcW w:w="3960" w:type="dxa"/>
            <w:vAlign w:val="bottom"/>
            <w:gridSpan w:val="6"/>
          </w:tcPr>
          <w:p>
            <w:pPr>
              <w:jc w:val="center"/>
              <w:ind w:right="141"/>
              <w:spacing w:after="0"/>
              <w:rPr>
                <w:sz w:val="20"/>
                <w:szCs w:val="20"/>
                <w:color w:val="auto"/>
              </w:rPr>
            </w:pPr>
            <w:r>
              <w:rPr>
                <w:rFonts w:ascii="Arial" w:cs="Arial" w:eastAsia="Arial" w:hAnsi="Arial"/>
                <w:sz w:val="14"/>
                <w:szCs w:val="14"/>
                <w:b w:val="1"/>
                <w:bCs w:val="1"/>
                <w:color w:val="auto"/>
              </w:rPr>
              <w:t>In a Continuous Loss Position</w:t>
            </w:r>
          </w:p>
        </w:tc>
        <w:tc>
          <w:tcPr>
            <w:tcW w:w="0" w:type="dxa"/>
            <w:vAlign w:val="bottom"/>
          </w:tcPr>
          <w:p>
            <w:pPr>
              <w:spacing w:after="0"/>
              <w:rPr>
                <w:sz w:val="1"/>
                <w:szCs w:val="1"/>
                <w:color w:val="auto"/>
              </w:rPr>
            </w:pPr>
          </w:p>
        </w:tc>
      </w:tr>
      <w:tr>
        <w:trPr>
          <w:trHeight w:val="185"/>
        </w:trPr>
        <w:tc>
          <w:tcPr>
            <w:tcW w:w="27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rPr>
              <w:t>for Less than 12 Months</w:t>
            </w: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for 12 Months or More</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1020" w:type="dxa"/>
            <w:vAlign w:val="bottom"/>
          </w:tcPr>
          <w:p>
            <w:pPr>
              <w:jc w:val="center"/>
              <w:ind w:left="224"/>
              <w:spacing w:after="0" w:line="147" w:lineRule="exact"/>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rPr>
              <w:t>Unrealized</w:t>
            </w: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Number of</w:t>
            </w:r>
          </w:p>
        </w:tc>
        <w:tc>
          <w:tcPr>
            <w:tcW w:w="220" w:type="dxa"/>
            <w:vAlign w:val="bottom"/>
          </w:tcPr>
          <w:p>
            <w:pPr>
              <w:spacing w:after="0"/>
              <w:rPr>
                <w:sz w:val="12"/>
                <w:szCs w:val="12"/>
                <w:color w:val="auto"/>
              </w:rPr>
            </w:pPr>
          </w:p>
        </w:tc>
        <w:tc>
          <w:tcPr>
            <w:tcW w:w="1120" w:type="dxa"/>
            <w:vAlign w:val="bottom"/>
          </w:tcPr>
          <w:p>
            <w:pPr>
              <w:jc w:val="center"/>
              <w:ind w:right="143"/>
              <w:spacing w:after="0" w:line="147"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132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02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60" w:type="dxa"/>
            <w:vAlign w:val="bottom"/>
          </w:tcPr>
          <w:p>
            <w:pPr>
              <w:spacing w:after="0"/>
              <w:rPr>
                <w:sz w:val="16"/>
                <w:szCs w:val="16"/>
                <w:color w:val="auto"/>
              </w:rPr>
            </w:pPr>
          </w:p>
        </w:tc>
        <w:tc>
          <w:tcPr>
            <w:tcW w:w="1020" w:type="dxa"/>
            <w:vAlign w:val="bottom"/>
            <w:tcBorders>
              <w:bottom w:val="single" w:sz="8" w:color="auto"/>
            </w:tcBorders>
          </w:tcPr>
          <w:p>
            <w:pPr>
              <w:jc w:val="center"/>
              <w:ind w:left="204"/>
              <w:spacing w:after="0"/>
              <w:rPr>
                <w:sz w:val="20"/>
                <w:szCs w:val="20"/>
                <w:color w:val="auto"/>
              </w:rPr>
            </w:pPr>
            <w:r>
              <w:rPr>
                <w:rFonts w:ascii="Arial" w:cs="Arial" w:eastAsia="Arial" w:hAnsi="Arial"/>
                <w:sz w:val="14"/>
                <w:szCs w:val="14"/>
                <w:b w:val="1"/>
                <w:bCs w:val="1"/>
                <w:color w:val="auto"/>
              </w:rPr>
              <w:t>Value</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Positions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9"/>
              </w:rPr>
              <w:t>Losses</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49"/>
        </w:trPr>
        <w:tc>
          <w:tcPr>
            <w:tcW w:w="27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80" w:type="dxa"/>
            <w:vAlign w:val="bottom"/>
            <w:gridSpan w:val="4"/>
          </w:tcPr>
          <w:p>
            <w:pPr>
              <w:ind w:left="64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02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7"/>
              </w:rPr>
              <w:t>—</w:t>
            </w:r>
          </w:p>
        </w:tc>
        <w:tc>
          <w:tcPr>
            <w:tcW w:w="3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1,057</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02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ind w:left="8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02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ind w:left="8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0"/>
        </w:trPr>
        <w:tc>
          <w:tcPr>
            <w:tcW w:w="2760" w:type="dxa"/>
            <w:vAlign w:val="bottom"/>
          </w:tcPr>
          <w:p>
            <w:pPr>
              <w:ind w:left="140"/>
              <w:spacing w:after="0"/>
              <w:rPr>
                <w:sz w:val="20"/>
                <w:szCs w:val="20"/>
                <w:color w:val="auto"/>
              </w:rPr>
            </w:pPr>
            <w:r>
              <w:rPr>
                <w:rFonts w:ascii="Arial" w:cs="Arial" w:eastAsia="Arial" w:hAnsi="Arial"/>
                <w:sz w:val="16"/>
                <w:szCs w:val="16"/>
                <w:color w:val="auto"/>
              </w:rPr>
              <w:t>Total</w:t>
            </w:r>
          </w:p>
        </w:tc>
        <w:tc>
          <w:tcPr>
            <w:tcW w:w="1020" w:type="dxa"/>
            <w:vAlign w:val="bottom"/>
            <w:tcBorders>
              <w:top w:val="single" w:sz="8" w:color="auto"/>
              <w:bottom w:val="single" w:sz="8" w:color="auto"/>
            </w:tcBorders>
          </w:tcPr>
          <w:p>
            <w:pPr>
              <w:jc w:val="right"/>
              <w:ind w:right="824"/>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color w:val="auto"/>
                <w:w w:val="87"/>
              </w:rPr>
              <w:t>—</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1,776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952</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December 31, 2023:</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40" w:type="dxa"/>
            <w:vAlign w:val="bottom"/>
            <w:gridSpan w:val="9"/>
          </w:tcPr>
          <w:p>
            <w:pPr>
              <w:jc w:val="center"/>
              <w:ind w:right="1020"/>
              <w:spacing w:after="0"/>
              <w:rPr>
                <w:sz w:val="20"/>
                <w:szCs w:val="20"/>
                <w:color w:val="auto"/>
              </w:rPr>
            </w:pPr>
            <w:r>
              <w:rPr>
                <w:rFonts w:ascii="Arial" w:cs="Arial" w:eastAsia="Arial" w:hAnsi="Arial"/>
                <w:sz w:val="14"/>
                <w:szCs w:val="14"/>
                <w:b w:val="1"/>
                <w:bCs w:val="1"/>
                <w:color w:val="auto"/>
              </w:rPr>
              <w:t>In a Continuous Loss Position</w:t>
            </w:r>
          </w:p>
        </w:tc>
        <w:tc>
          <w:tcPr>
            <w:tcW w:w="200" w:type="dxa"/>
            <w:vAlign w:val="bottom"/>
          </w:tcPr>
          <w:p>
            <w:pPr>
              <w:spacing w:after="0"/>
              <w:rPr>
                <w:sz w:val="14"/>
                <w:szCs w:val="14"/>
                <w:color w:val="auto"/>
              </w:rPr>
            </w:pPr>
          </w:p>
        </w:tc>
        <w:tc>
          <w:tcPr>
            <w:tcW w:w="3960" w:type="dxa"/>
            <w:vAlign w:val="bottom"/>
            <w:gridSpan w:val="6"/>
          </w:tcPr>
          <w:p>
            <w:pPr>
              <w:jc w:val="center"/>
              <w:ind w:right="121"/>
              <w:spacing w:after="0"/>
              <w:rPr>
                <w:sz w:val="20"/>
                <w:szCs w:val="20"/>
                <w:color w:val="auto"/>
              </w:rPr>
            </w:pPr>
            <w:r>
              <w:rPr>
                <w:rFonts w:ascii="Arial" w:cs="Arial" w:eastAsia="Arial" w:hAnsi="Arial"/>
                <w:sz w:val="14"/>
                <w:szCs w:val="14"/>
                <w:b w:val="1"/>
                <w:bCs w:val="1"/>
                <w:color w:val="auto"/>
              </w:rPr>
              <w:t>In a Continuous Loss Position</w:t>
            </w: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rPr>
              <w:t>for Less than 12 Months</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for 12 Months or More</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780" w:type="dxa"/>
            <w:vAlign w:val="bottom"/>
          </w:tcPr>
          <w:p>
            <w:pPr>
              <w:spacing w:after="0"/>
              <w:rPr>
                <w:sz w:val="12"/>
                <w:szCs w:val="12"/>
                <w:color w:val="auto"/>
              </w:rPr>
            </w:pPr>
          </w:p>
        </w:tc>
        <w:tc>
          <w:tcPr>
            <w:tcW w:w="12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rPr>
              <w:t>Unrealized</w:t>
            </w: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tcPr>
          <w:p>
            <w:pPr>
              <w:spacing w:after="0"/>
              <w:rPr>
                <w:sz w:val="12"/>
                <w:szCs w:val="12"/>
                <w:color w:val="auto"/>
              </w:rPr>
            </w:pPr>
          </w:p>
        </w:tc>
        <w:tc>
          <w:tcPr>
            <w:tcW w:w="1120" w:type="dxa"/>
            <w:vAlign w:val="bottom"/>
          </w:tcPr>
          <w:p>
            <w:pPr>
              <w:jc w:val="center"/>
              <w:ind w:right="123"/>
              <w:spacing w:after="0" w:line="147"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130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900" w:type="dxa"/>
            <w:vAlign w:val="bottom"/>
          </w:tcPr>
          <w:p>
            <w:pPr>
              <w:jc w:val="center"/>
              <w:ind w:left="324"/>
              <w:spacing w:after="0" w:line="145"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43"/>
              <w:spacing w:after="0" w:line="14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900" w:type="dxa"/>
            <w:vAlign w:val="bottom"/>
            <w:tcBorders>
              <w:bottom w:val="single" w:sz="8" w:color="auto"/>
            </w:tcBorders>
          </w:tcPr>
          <w:p>
            <w:pPr>
              <w:jc w:val="center"/>
              <w:ind w:left="324"/>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Positions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4"/>
          </w:tcPr>
          <w:p>
            <w:pPr>
              <w:jc w:val="right"/>
              <w:ind w:right="623"/>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3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15"/>
        </w:trPr>
        <w:tc>
          <w:tcPr>
            <w:tcW w:w="27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5"/>
        </w:trPr>
        <w:tc>
          <w:tcPr>
            <w:tcW w:w="278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Arial" w:cs="Arial" w:eastAsia="Arial" w:hAnsi="Arial"/>
                <w:sz w:val="16"/>
                <w:szCs w:val="16"/>
                <w:color w:val="auto"/>
              </w:rPr>
              <w:t>Total</w:t>
            </w:r>
          </w:p>
        </w:tc>
        <w:tc>
          <w:tcPr>
            <w:tcW w:w="900" w:type="dxa"/>
            <w:vAlign w:val="bottom"/>
            <w:tcBorders>
              <w:top w:val="single" w:sz="8" w:color="auto"/>
              <w:bottom w:val="single" w:sz="8" w:color="auto"/>
            </w:tcBorders>
          </w:tcPr>
          <w:p>
            <w:pPr>
              <w:jc w:val="right"/>
              <w:ind w:right="724"/>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2,431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1,261</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Investments Held-to-Maturity</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regulations governing our state health plan subsidiaries, we maintain statutory deposits and deposits required by government authorities primarily in cash, cash equivalents, U.S. Treasury securities, and corporate debt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spacing w:after="0" w:line="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have the ability to hold these restricted investments until maturity and, as a result, we would not expect the value of these investments to decline significantly due to a sudden change in market interest rates. Our held-to-maturity restricted investments are carried at amortized cost, which approximates fair value. Such investments amounted to $289 million at September 30, 2024, of which $207 million will mature in one year or less, $77 million will mature in one through five years, and $5 million will mature after five years.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7. Medical Claims and Benefits Payable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our medical claims and benefits payable as of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40" w:type="dxa"/>
            <w:vAlign w:val="bottom"/>
          </w:tcPr>
          <w:p>
            <w:pPr>
              <w:jc w:val="right"/>
              <w:ind w:right="222"/>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r>
      <w:tr>
        <w:trPr>
          <w:trHeight w:val="235"/>
        </w:trPr>
        <w:tc>
          <w:tcPr>
            <w:tcW w:w="8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4"/>
          </w:tcPr>
          <w:p>
            <w:pPr>
              <w:jc w:val="right"/>
              <w:ind w:right="1102"/>
              <w:spacing w:after="0"/>
              <w:rPr>
                <w:sz w:val="20"/>
                <w:szCs w:val="20"/>
                <w:color w:val="auto"/>
              </w:rPr>
            </w:pPr>
            <w:r>
              <w:rPr>
                <w:rFonts w:ascii="Arial" w:cs="Arial" w:eastAsia="Arial" w:hAnsi="Arial"/>
                <w:sz w:val="14"/>
                <w:szCs w:val="14"/>
                <w:b w:val="1"/>
                <w:bCs w:val="1"/>
                <w:color w:val="auto"/>
              </w:rPr>
              <w:t>(In millions)</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Claims incurred but not paid (“IBNP”)</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2,901</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Pharmacy payable</w:t>
            </w:r>
          </w:p>
        </w:tc>
        <w:tc>
          <w:tcPr>
            <w:tcW w:w="18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202</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Capitation payable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w:t>
            </w:r>
          </w:p>
        </w:tc>
      </w:tr>
      <w:tr>
        <w:trPr>
          <w:trHeight w:val="21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1,001</w:t>
            </w:r>
          </w:p>
        </w:tc>
      </w:tr>
      <w:tr>
        <w:trPr>
          <w:trHeight w:val="235"/>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4,732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4,204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“Other” medical claims and benefits payable mainly includes amounts payable to certain providers for which we act as an intermediary on behalf of various government agencies without assuming financial risk. Such receipts and payments do not impact our consolidated statements of income. Non-risk provider payables amounted to $493 million and $481 million as of September 30, 2024, and December 31, 2023, respectively.</w:t>
      </w:r>
    </w:p>
    <w:p>
      <w:pPr>
        <w:spacing w:after="0" w:line="6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following tables present the components of the change in our medical claims and benefits payable for the periods indicated. The amounts presented for “Components of medical care costs related to: Prior years” represent the amount by which our original estimate of medical claims and benefits payable at the beginning of the year varied from the actual liabilities, based on information (principally the payment of claims) developed since those liabilities were first reported.</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rPr>
              <w:t>Nine Months Ended September 30, 2024</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Medicaid</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Marketplace</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237"/>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4,204</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26,050</w:t>
            </w:r>
          </w:p>
        </w:tc>
      </w:tr>
      <w:tr>
        <w:trPr>
          <w:trHeight w:val="215"/>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3,728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25,425</w:t>
            </w:r>
          </w:p>
        </w:tc>
      </w:tr>
      <w:tr>
        <w:trPr>
          <w:trHeight w:val="195"/>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22,172</w:t>
            </w:r>
          </w:p>
        </w:tc>
      </w:tr>
      <w:tr>
        <w:trPr>
          <w:trHeight w:val="215"/>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3,215</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20,069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3,979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25,387</w:t>
            </w: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Acquired balances, net of post-acquisition adjustments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463</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payables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4,732</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52"/>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rPr>
              <w:t>Nine Months Ended September 30, 2023</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Medicaid</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Marketplace</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236"/>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3,528</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21,573</w:t>
            </w:r>
          </w:p>
        </w:tc>
      </w:tr>
      <w:tr>
        <w:trPr>
          <w:trHeight w:val="215"/>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17,303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2,805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21,215</w:t>
            </w:r>
          </w:p>
        </w:tc>
      </w:tr>
      <w:tr>
        <w:trPr>
          <w:trHeight w:val="195"/>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18,228</w:t>
            </w:r>
          </w:p>
        </w:tc>
      </w:tr>
      <w:tr>
        <w:trPr>
          <w:trHeight w:val="215"/>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2,707</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17,035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2,764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20,935</w:t>
            </w: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Acquired balances, net of post-acquisition adjustments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4,235</w:t>
            </w:r>
          </w:p>
        </w:tc>
      </w:tr>
      <w:tr>
        <w:trPr>
          <w:trHeight w:val="21"/>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estimates of medical claims and benefits payable recorded at December 31, 2023, and 2022 developed favorably by approximately $625 million and $358 million as of September 30, 2024, and 2023, respectively.</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favorable prior year development recognized in the nine months ended September 30, 2024 was primarily attributable to reserving under moderately adverse conditions, lower than expected utilization of medical services by our members and improved operating performance, mainly in the Medicaid segment. Consequently, the ultimate costs recognized in 2024, as claims payments were processed, were lower than our estimates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8.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debt obligations, all of which are non-current as of the dates reported below: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r>
      <w:tr>
        <w:trPr>
          <w:trHeight w:val="236"/>
        </w:trPr>
        <w:tc>
          <w:tcPr>
            <w:tcW w:w="8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4"/>
          </w:tcPr>
          <w:p>
            <w:pPr>
              <w:jc w:val="right"/>
              <w:ind w:right="1101"/>
              <w:spacing w:after="0"/>
              <w:rPr>
                <w:sz w:val="20"/>
                <w:szCs w:val="20"/>
                <w:color w:val="auto"/>
              </w:rPr>
            </w:pPr>
            <w:r>
              <w:rPr>
                <w:rFonts w:ascii="Arial" w:cs="Arial" w:eastAsia="Arial" w:hAnsi="Arial"/>
                <w:sz w:val="14"/>
                <w:szCs w:val="14"/>
                <w:b w:val="1"/>
                <w:bCs w:val="1"/>
                <w:color w:val="auto"/>
              </w:rPr>
              <w:t>(In millions)</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long-term debt: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4.375% Notes due 2028</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800</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3.875% Notes due 2030</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650</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3.875% Notes due 2032</w:t>
            </w:r>
          </w:p>
        </w:tc>
        <w:tc>
          <w:tcPr>
            <w:tcW w:w="18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750</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Credit Facility</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5"/>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Deferred debt issuance costs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35"/>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2,180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September 20, 2024, we entered into a Second Amendment to our credit agreement (the “Amended Credit Agreement”) which includes an increase in available commitments under the revolving credit facility (“Credit Facility”) to $1.25 billion, among other provisions. The Amended Credit Agreement has a term of five years, and all amounts outstanding will be due and payable on September 20, 2029. Borrowings under the Amended Credit Agreement bear interest based, at our election, on a base rate or other defined rate, plus in each case, the applicable margin. In addition to interest payable on the principal amount of indebtedness outstanding from time to time under the Amended Credit Agreement, we are required to pay a quarterly commitment fee. We have other relationships, including financial advisory and banking, with some parties to the Amended Credit Agreement.</w:t>
      </w:r>
    </w:p>
    <w:p>
      <w:pPr>
        <w:spacing w:after="0" w:line="7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Amended Credit Agreement contains customary non-financial and financial covenants. As of September 30, 2024, we were in compliance with all financial and non-financial covenants under the Amended Credit Agreement. As of September 30, 2024, $150 million was outstanding under the Credit Facility.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senior notes are described below. Each of these notes are senior unsecured obligations of the parent corporation, Molina Healthcare, Inc., and rank equally in right of payment with all existing and future senior debt, and senior to all existing and future subordinated debt of Molina Healthcare, Inc. In addition, each of the indentures governing the senior notes contain customary non-financial covenants and change of control provisions. As of September 30, 2024, we were in compliance with all non-financial covenants in the indentures governing the senior notes.</w:t>
      </w:r>
    </w:p>
    <w:p>
      <w:pPr>
        <w:spacing w:after="0" w:line="7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indentures governing the senior notes contain cross-default provisions that are triggered upon default by us or any of our subsidiaries on any indebtedness in excess of the amount specified in the applicable indenture.</w:t>
      </w:r>
    </w:p>
    <w:p>
      <w:pPr>
        <w:spacing w:after="0" w:line="45"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i w:val="1"/>
          <w:iCs w:val="1"/>
          <w:color w:val="auto"/>
        </w:rPr>
        <w:t xml:space="preserve">4.375% Notes due 2028. </w:t>
      </w:r>
      <w:r>
        <w:rPr>
          <w:rFonts w:ascii="Arial" w:cs="Arial" w:eastAsia="Arial" w:hAnsi="Arial"/>
          <w:sz w:val="18"/>
          <w:szCs w:val="18"/>
          <w:color w:val="auto"/>
        </w:rPr>
        <w:t>We have $ 800 million aggregate principal amount of senior notes (the “4.375% Notes”)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2024, which are due June 15, 2028, unless earlier redeemed. Interest, at a rate of 4.375% per annum, is payable semiannually in arrears on June 15 and December 15.</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3.875% Notes due 2030. </w:t>
      </w:r>
      <w:r>
        <w:rPr>
          <w:rFonts w:ascii="Arial" w:cs="Arial" w:eastAsia="Arial" w:hAnsi="Arial"/>
          <w:sz w:val="18"/>
          <w:szCs w:val="18"/>
          <w:color w:val="auto"/>
        </w:rPr>
        <w:t>We have $ 650 million aggregate principal amount of senior notes (the “3.875% Notes due 2030”)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2024, which are due November 15, 2030, unless earlier redeemed. Interest, at a rate of 3.875% per annum, is payable semiannually in arrears on May 15 and November 15.</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3.875% Notes due 2032. </w:t>
      </w:r>
      <w:r>
        <w:rPr>
          <w:rFonts w:ascii="Arial" w:cs="Arial" w:eastAsia="Arial" w:hAnsi="Arial"/>
          <w:sz w:val="18"/>
          <w:szCs w:val="18"/>
          <w:color w:val="auto"/>
        </w:rPr>
        <w:t>We have $ 750 million aggregate principal amount of senior notes (the “3.875% Notes due 2032”)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2024, which are due May 15, 2032, unless earlier redeemed. Interest, at a rate of 3.875% per annum, is payable semiannually in arrears on May 15 and November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9. Stockholders' Equity</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September 2023, our board of directors authorized the purchase of up to $750 million, in the aggregate, of our common stock. Under this program, pursuant to a Rule 10b5-1 trading plan, we purchased approximately 1,465,000 shares for $500 million in the third quarter of 2024 (average cost of $341.25 per share). We have accrued a stock repurchase excise tax of $ 3 million related to the share repurchase program as of September 30, 2024 located in “Accounts payable, accrued liabilities and other” and “Additional paid-in capital” in the accompanying consolidated balance sheets.</w:t>
      </w:r>
    </w:p>
    <w:p>
      <w:pPr>
        <w:spacing w:after="0" w:line="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October 2024, our board of directors authorized the purchase of up to $1 billion of our common stock. This new program extends through December 31, 2025 and supersedes the stock purchase program previously approved by our board of directors in September 2023. The exact timing and amount of any repurchase is determined by management based on market conditions and share price, in addition to other factors, and repurchases generally will be made in accordance with the volume, price, and timing parameters under Rule 10b-18 of the Securities Exchange Act of 1934, as amended. No shares have been repurchased under this program.</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10. Segments</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currently have four reportable segments consisting of: 1) Medicaid; 2) Medicare; 3) Marketplace; and 4) Other. Our reportable segments are consistent with how we currently manage the business and view the markets we serve.</w:t>
      </w:r>
    </w:p>
    <w:p>
      <w:pPr>
        <w:spacing w:after="0" w:line="45" w:lineRule="exact"/>
        <w:rPr>
          <w:sz w:val="20"/>
          <w:szCs w:val="20"/>
          <w:color w:val="auto"/>
        </w:rPr>
      </w:pPr>
    </w:p>
    <w:p>
      <w:pPr>
        <w:jc w:val="both"/>
        <w:ind w:right="700"/>
        <w:spacing w:after="0" w:line="268"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 We do not report total assets by segment since this is not a metric used to assess segment performance or allocate resources.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by segment. Inter-segment revenue was insignificant for all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326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7"/>
                <w:szCs w:val="17"/>
                <w:color w:val="auto"/>
              </w:rPr>
            </w:pPr>
          </w:p>
        </w:tc>
        <w:tc>
          <w:tcPr>
            <w:tcW w:w="2780" w:type="dxa"/>
            <w:vAlign w:val="bottom"/>
            <w:gridSpan w:val="4"/>
          </w:tcPr>
          <w:p>
            <w:pPr>
              <w:jc w:val="right"/>
              <w:ind w:right="32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r>
      <w:tr>
        <w:trPr>
          <w:trHeight w:val="237"/>
        </w:trPr>
        <w:tc>
          <w:tcPr>
            <w:tcW w:w="4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20" w:type="dxa"/>
            <w:vAlign w:val="bottom"/>
          </w:tcPr>
          <w:p>
            <w:pPr>
              <w:ind w:left="220"/>
              <w:spacing w:after="0"/>
              <w:rPr>
                <w:sz w:val="20"/>
                <w:szCs w:val="20"/>
                <w:color w:val="auto"/>
              </w:rPr>
            </w:pPr>
            <w:r>
              <w:rPr>
                <w:rFonts w:ascii="Arial" w:cs="Arial" w:eastAsia="Arial" w:hAnsi="Arial"/>
                <w:sz w:val="16"/>
                <w:szCs w:val="16"/>
                <w:color w:val="auto"/>
              </w:rPr>
              <w:t>Medicaid</w:t>
            </w:r>
          </w:p>
        </w:tc>
        <w:tc>
          <w:tcPr>
            <w:tcW w:w="940" w:type="dxa"/>
            <w:vAlign w:val="bottom"/>
          </w:tcPr>
          <w:p>
            <w:pPr>
              <w:jc w:val="right"/>
              <w:ind w:right="744"/>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8,263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6,976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23,896</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20,282</w:t>
            </w:r>
          </w:p>
        </w:tc>
      </w:tr>
      <w:tr>
        <w:trPr>
          <w:trHeight w:val="217"/>
        </w:trPr>
        <w:tc>
          <w:tcPr>
            <w:tcW w:w="4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3,157</w:t>
            </w:r>
          </w:p>
        </w:tc>
      </w:tr>
      <w:tr>
        <w:trPr>
          <w:trHeight w:val="215"/>
        </w:trPr>
        <w:tc>
          <w:tcPr>
            <w:tcW w:w="482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1,528</w:t>
            </w: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w:t>
            </w:r>
          </w:p>
        </w:tc>
      </w:tr>
      <w:tr>
        <w:trPr>
          <w:trHeight w:val="210"/>
        </w:trPr>
        <w:tc>
          <w:tcPr>
            <w:tcW w:w="4820" w:type="dxa"/>
            <w:vAlign w:val="bottom"/>
          </w:tcPr>
          <w:p>
            <w:pPr>
              <w:ind w:left="480"/>
              <w:spacing w:after="0"/>
              <w:rPr>
                <w:sz w:val="20"/>
                <w:szCs w:val="20"/>
                <w:color w:val="auto"/>
              </w:rPr>
            </w:pPr>
            <w:r>
              <w:rPr>
                <w:rFonts w:ascii="Arial" w:cs="Arial" w:eastAsia="Arial" w:hAnsi="Arial"/>
                <w:sz w:val="16"/>
                <w:szCs w:val="16"/>
                <w:color w:val="auto"/>
              </w:rPr>
              <w:t>Consolidated</w:t>
            </w:r>
          </w:p>
        </w:tc>
        <w:tc>
          <w:tcPr>
            <w:tcW w:w="940" w:type="dxa"/>
            <w:vAlign w:val="bottom"/>
            <w:tcBorders>
              <w:bottom w:val="single" w:sz="8" w:color="auto"/>
            </w:tcBorders>
          </w:tcPr>
          <w:p>
            <w:pPr>
              <w:jc w:val="right"/>
              <w:ind w:right="744"/>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30,151</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25,024</w:t>
            </w:r>
          </w:p>
        </w:tc>
      </w:tr>
      <w:tr>
        <w:trPr>
          <w:trHeight w:val="20"/>
        </w:trPr>
        <w:tc>
          <w:tcPr>
            <w:tcW w:w="4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margin by segment to consolidated income before income tax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326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7"/>
                <w:szCs w:val="17"/>
                <w:color w:val="auto"/>
              </w:rPr>
            </w:pPr>
          </w:p>
        </w:tc>
        <w:tc>
          <w:tcPr>
            <w:tcW w:w="28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r>
      <w:tr>
        <w:trPr>
          <w:trHeight w:val="237"/>
        </w:trPr>
        <w:tc>
          <w:tcPr>
            <w:tcW w:w="4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Margin:</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00" w:type="dxa"/>
            <w:vAlign w:val="bottom"/>
          </w:tcPr>
          <w:p>
            <w:pPr>
              <w:ind w:left="220"/>
              <w:spacing w:after="0"/>
              <w:rPr>
                <w:sz w:val="20"/>
                <w:szCs w:val="20"/>
                <w:color w:val="auto"/>
              </w:rPr>
            </w:pPr>
            <w:r>
              <w:rPr>
                <w:rFonts w:ascii="Arial" w:cs="Arial" w:eastAsia="Arial" w:hAnsi="Arial"/>
                <w:sz w:val="16"/>
                <w:szCs w:val="16"/>
                <w:color w:val="auto"/>
              </w:rPr>
              <w:t>Medicaid</w:t>
            </w:r>
          </w:p>
        </w:tc>
        <w:tc>
          <w:tcPr>
            <w:tcW w:w="960" w:type="dxa"/>
            <w:vAlign w:val="bottom"/>
          </w:tcPr>
          <w:p>
            <w:pPr>
              <w:jc w:val="right"/>
              <w:ind w:right="78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2,188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2,242</w:t>
            </w:r>
          </w:p>
        </w:tc>
      </w:tr>
      <w:tr>
        <w:trPr>
          <w:trHeight w:val="217"/>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215"/>
        </w:trPr>
        <w:tc>
          <w:tcPr>
            <w:tcW w:w="480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17"/>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4800" w:type="dxa"/>
            <w:vAlign w:val="bottom"/>
          </w:tcPr>
          <w:p>
            <w:pPr>
              <w:ind w:left="360"/>
              <w:spacing w:after="0"/>
              <w:rPr>
                <w:sz w:val="20"/>
                <w:szCs w:val="20"/>
                <w:color w:val="auto"/>
              </w:rPr>
            </w:pPr>
            <w:r>
              <w:rPr>
                <w:rFonts w:ascii="Arial" w:cs="Arial" w:eastAsia="Arial" w:hAnsi="Arial"/>
                <w:sz w:val="16"/>
                <w:szCs w:val="16"/>
                <w:color w:val="auto"/>
              </w:rPr>
              <w:t>Total margin</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3,224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2,959</w:t>
            </w:r>
          </w:p>
        </w:tc>
      </w:tr>
      <w:tr>
        <w:trPr>
          <w:trHeight w:val="217"/>
        </w:trPr>
        <w:tc>
          <w:tcPr>
            <w:tcW w:w="48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16"/>
        </w:trPr>
        <w:tc>
          <w:tcPr>
            <w:tcW w:w="48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w:t>
            </w:r>
          </w:p>
        </w:tc>
      </w:tr>
      <w:tr>
        <w:trPr>
          <w:trHeight w:val="20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w:t>
            </w:r>
          </w:p>
        </w:tc>
      </w:tr>
      <w:tr>
        <w:trPr>
          <w:trHeight w:val="215"/>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 expense</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35"/>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8"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investment income, and certain other revenue.</w:t>
      </w:r>
    </w:p>
    <w:p>
      <w:pPr>
        <w:spacing w:after="0" w:line="21" w:lineRule="exact"/>
        <w:rPr>
          <w:rFonts w:ascii="Arial" w:cs="Arial" w:eastAsia="Arial" w:hAnsi="Arial"/>
          <w:sz w:val="16"/>
          <w:szCs w:val="16"/>
          <w:color w:val="auto"/>
        </w:rPr>
      </w:pPr>
    </w:p>
    <w:p>
      <w:pPr>
        <w:ind w:left="340" w:right="560" w:hanging="332"/>
        <w:spacing w:after="0" w:line="283" w:lineRule="auto"/>
        <w:tabs>
          <w:tab w:leader="none" w:pos="335"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depreciation and amortization, and certain other operating expenses.</w:t>
      </w:r>
    </w:p>
    <w:p>
      <w:pPr>
        <w:spacing w:after="0" w:line="45" w:lineRule="exact"/>
        <w:rPr>
          <w:sz w:val="20"/>
          <w:szCs w:val="20"/>
          <w:color w:val="auto"/>
        </w:rPr>
      </w:pPr>
    </w:p>
    <w:p>
      <w:pPr>
        <w:ind w:right="8080" w:firstLine="8"/>
        <w:spacing w:after="0" w:line="375" w:lineRule="auto"/>
        <w:tabs>
          <w:tab w:leader="none" w:pos="290" w:val="left"/>
        </w:tabs>
        <w:numPr>
          <w:ilvl w:val="0"/>
          <w:numId w:val="8"/>
        </w:numPr>
        <w:rPr>
          <w:rFonts w:ascii="Arial" w:cs="Arial" w:eastAsia="Arial" w:hAnsi="Arial"/>
          <w:sz w:val="18"/>
          <w:szCs w:val="18"/>
          <w:b w:val="1"/>
          <w:bCs w:val="1"/>
          <w:color w:val="828282"/>
        </w:rPr>
      </w:pPr>
      <w:r>
        <w:rPr>
          <w:rFonts w:ascii="Arial" w:cs="Arial" w:eastAsia="Arial" w:hAnsi="Arial"/>
          <w:sz w:val="18"/>
          <w:szCs w:val="18"/>
          <w:b w:val="1"/>
          <w:bCs w:val="1"/>
          <w:color w:val="828282"/>
        </w:rPr>
        <w:t xml:space="preserve">Commitments and Contingencies </w:t>
      </w:r>
      <w:r>
        <w:rPr>
          <w:rFonts w:ascii="Arial" w:cs="Arial" w:eastAsia="Arial" w:hAnsi="Arial"/>
          <w:sz w:val="18"/>
          <w:szCs w:val="18"/>
          <w:b w:val="1"/>
          <w:bCs w:val="1"/>
          <w:i w:val="1"/>
          <w:iCs w:val="1"/>
          <w:color w:val="000000"/>
        </w:rPr>
        <w:t>Legal Proceedings</w:t>
      </w:r>
    </w:p>
    <w:p>
      <w:pPr>
        <w:spacing w:after="0" w:line="1"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The healthcare industry is subject to numerous laws and regulations of federal, state, and local governments, as well as various contractual provisions, governing our operations. Compliance with these laws, regulations, and contractual provisions can be subject to government audit, review, and interpretation, as well as regulatory actions. Penalties associated with violations of these laws, regulations, and contractual provisions can include significant fines and penalties, temporary or permanent exclusion from participating in publicly funded programs, a limitation on our ability to market or sell products, the repayment of previously billed and collected revenues, and reputational damage.</w:t>
      </w:r>
    </w:p>
    <w:p>
      <w:pPr>
        <w:spacing w:after="0" w:line="5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or range of estimates, of reasonably possible losses and related disclosures, as necessary. We have accrued liabilities for legal matters for which we deem the loss to be both probable and reasonably estimable. These liability estimates could change as a result of further developments. The outcome of these legal actions are inherently uncertain. An adverse determination in one or more of these pending matters could have a material adverse effect on our consolidated financial position, results of operations, or cash flows.</w:t>
      </w:r>
    </w:p>
    <w:p>
      <w:pPr>
        <w:spacing w:after="0" w:line="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Kentucky RFP. </w:t>
      </w:r>
      <w:r>
        <w:rPr>
          <w:rFonts w:ascii="Arial" w:cs="Arial" w:eastAsia="Arial" w:hAnsi="Arial"/>
          <w:sz w:val="18"/>
          <w:szCs w:val="18"/>
          <w:color w:val="auto"/>
        </w:rPr>
        <w:t>On September 4, 2020, Anthem Kentucky Managed Care Plan, Inc. (“Anthem”) brought an action in Franklin County Circuit</w:t>
      </w:r>
      <w:r>
        <w:rPr>
          <w:rFonts w:ascii="Arial" w:cs="Arial" w:eastAsia="Arial" w:hAnsi="Arial"/>
          <w:sz w:val="18"/>
          <w:szCs w:val="18"/>
          <w:i w:val="1"/>
          <w:iCs w:val="1"/>
          <w:color w:val="auto"/>
        </w:rPr>
        <w:t xml:space="preserve"> </w:t>
      </w:r>
      <w:r>
        <w:rPr>
          <w:rFonts w:ascii="Arial" w:cs="Arial" w:eastAsia="Arial" w:hAnsi="Arial"/>
          <w:sz w:val="18"/>
          <w:szCs w:val="18"/>
          <w:color w:val="auto"/>
        </w:rPr>
        <w:t>Court against the Kentucky Finance and Administration Cabinet, the Kentucky Cabinet for Health and Family Services, and all of the five winning bidder health plans, including our Kentucky health plan. On September 9, 2022, the Kentucky Court of Appeals ruled that, with regard to the earlier Circuit Court ruling granting Anthem relief, the Circuit Court should not have invalidated the 2020 procurement and thus should not have awarded a contract to Anthem. Anthem sought discretionary review by the Kentucky Supreme Court (“KSC”) of the ruling by the Court of Appeals. On March 14, 2024, the KSC entered an Order affirming the Kentucky Court of Appeals. On April 3, 2024, Anthem filed a motion for reconsideration of the KSC Order, and the KSC has yet to rule. On September 9, 2024, Humana filed a motion in the Franklin Circuit Court to dissolve the injunction that retained Anthem as an additional awardee, and the Franklin Circuit Court has not yet ruled on the motion. Pending further KSC or Franklin Circuit Court orders, our Kentucky health plan will continue to operate for the foreseeable future under its current Medicaid contract.</w:t>
      </w:r>
    </w:p>
    <w:p>
      <w:pPr>
        <w:spacing w:after="0" w:line="7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i w:val="1"/>
          <w:iCs w:val="1"/>
          <w:color w:val="auto"/>
        </w:rPr>
        <w:t xml:space="preserve">Puerto Rico. </w:t>
      </w:r>
      <w:r>
        <w:rPr>
          <w:rFonts w:ascii="Arial" w:cs="Arial" w:eastAsia="Arial" w:hAnsi="Arial"/>
          <w:sz w:val="18"/>
          <w:szCs w:val="18"/>
          <w:color w:val="auto"/>
        </w:rPr>
        <w:t>In August 2021, Molina Healthcare of Puerto Rico, Inc. (“MHPR”) filed a complaint with the Commonwealth of Puerto Rico,</w:t>
      </w:r>
      <w:r>
        <w:rPr>
          <w:rFonts w:ascii="Arial" w:cs="Arial" w:eastAsia="Arial" w:hAnsi="Arial"/>
          <w:sz w:val="18"/>
          <w:szCs w:val="18"/>
          <w:i w:val="1"/>
          <w:iCs w:val="1"/>
          <w:color w:val="auto"/>
        </w:rPr>
        <w:t xml:space="preserve"> </w:t>
      </w:r>
      <w:r>
        <w:rPr>
          <w:rFonts w:ascii="Arial" w:cs="Arial" w:eastAsia="Arial" w:hAnsi="Arial"/>
          <w:sz w:val="18"/>
          <w:szCs w:val="18"/>
          <w:color w:val="auto"/>
        </w:rPr>
        <w:t>Court of First Instance, San Juan (State Court) asserting breach of contract against</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Puerto Rico Health Insurance Administration (“ASES”). In September 2021, ASES filed a counterclaim and a third-party complaint against MHPR and the Company. In October 2024, the parties finalized a settlement of all outstanding claims, the terms of which are not a material impact on the Company’s business, financial condition, cash flows, or results of operations.</w:t>
      </w:r>
    </w:p>
    <w:p>
      <w:pPr>
        <w:spacing w:after="0" w:line="6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Texas Qui Tam Litigation. </w:t>
      </w:r>
      <w:r>
        <w:rPr>
          <w:rFonts w:ascii="Arial" w:cs="Arial" w:eastAsia="Arial" w:hAnsi="Arial"/>
          <w:sz w:val="18"/>
          <w:szCs w:val="18"/>
          <w:color w:val="auto"/>
        </w:rPr>
        <w:t>On May 7, 2013, a relator filed under seal a qui tam action in Texas state court against Molina Healthcare, Inc. and</w:t>
      </w:r>
      <w:r>
        <w:rPr>
          <w:rFonts w:ascii="Arial" w:cs="Arial" w:eastAsia="Arial" w:hAnsi="Arial"/>
          <w:sz w:val="18"/>
          <w:szCs w:val="18"/>
          <w:i w:val="1"/>
          <w:iCs w:val="1"/>
          <w:color w:val="auto"/>
        </w:rPr>
        <w:t xml:space="preserve"> </w:t>
      </w:r>
      <w:r>
        <w:rPr>
          <w:rFonts w:ascii="Arial" w:cs="Arial" w:eastAsia="Arial" w:hAnsi="Arial"/>
          <w:sz w:val="18"/>
          <w:szCs w:val="18"/>
          <w:color w:val="auto"/>
        </w:rPr>
        <w:t>Molina Healthcare of Texas, Inc., asserting claims under the Texas Medicaid Fraud Prevention Act (“TMFPA”) on behalf of the State of Texas. As required by the TMFPA, the original petition was filed in camera and under seal, and without Molina’s awareness, to permit the State to decide whether to intervene. In 2019, the State declined to intervene. In June 2019, as a result of the State’s election to decline intervention, the trial court unsealed the original petition, at which time Molina became aware of the lawsuit. The relator’s third amended petition was filed on January 19, 2024. The petition alleges that, during the periods in question some ten years ago, Molina failed to assess STAR+PLUS members for personal attendant services, failed to provide those members with contractually required health care benefits, and misrepresented to the State Molina’s capacity to perform the assessments and the status of the assessments. Based on these allegations, the relator contends that Molina is liable to the State under the TMFPA for statutorily defined civil remedies, disgorgement of previous capitation payments, and interest. Molina denies the relator’s allegations as well as any liability in the lawsuit, and intends to defend against the relator’s allegations vigorously. The parties are currently engaged in settlement discussions. Molina does not believe this matter will have a material effect on our business, financial condition, cash flows, or results of operations.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ind w:right="120"/>
        <w:spacing w:after="0" w:line="285" w:lineRule="auto"/>
        <w:rPr>
          <w:sz w:val="20"/>
          <w:szCs w:val="20"/>
          <w:color w:val="auto"/>
        </w:rPr>
      </w:pPr>
      <w:r>
        <w:rPr>
          <w:rFonts w:ascii="Arial" w:cs="Arial" w:eastAsia="Arial" w:hAnsi="Arial"/>
          <w:sz w:val="22"/>
          <w:szCs w:val="22"/>
          <w:b w:val="1"/>
          <w:bCs w:val="1"/>
          <w:color w:val="0F7C7F"/>
        </w:rPr>
        <w:t>MANAGEMENT’S DISCUSSION AND ANALYSIS OF FINANCIAL CONDITION AND RESULTS OF OPERATIONS (“MD&amp;A”)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FORWARD-LOOKING STATEMENTS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Quarterly Report on Form 10-Q (this “Form 10-Q”) contains forward-looking statements. We intend such forward-looking statements to be covered under the safe harbor provisions for forward-looking statements contained in Section 27A of the Securities Act of 1933, or Securities Act, and Section 21E of the Securities Exchange Act of 1934, or Securities Exchange Act. Many of the forward-looking statements are located under the heading “Management’s Discussion and Analysis of Financial Condition and Results of Operations.” Forward-looking statements provide current expectations of future events based on certain assumptions, and all statements other than statements of historical fact contained in this Form 10-Q may be forward-looking statements. In some cases, you can identify forward-looking statements by words such as “guidance,” “future,” “anticipates,” “believes,” “embedded,” “estimates,” “expects,” “growth,” “intends,” “plans,” “predicts,” “projects,” “will,” “would,” “could,” “can,” “may,” or the negative of these terms or other similar expressions. Forward-looking statements contained in this Form 10-Q include, but are not limited to, statements regarding our future results of operations and financial position, industry and business trends, regulatory developments, business strategy, strategic transactions and commercial arrangements, membership and market growth and our objectives for future operations. Readers are cautioned not to place undue reliance on any forward-looking statements, as forward-looking statements are not guarantees of future performance and the Company’s actual results may differ significantly due to numerous known and unknown risks and uncertainties.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Those known risks and uncertainties include, but are not limited to, the risk factors identified in the section titled “Risk Factors” in our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including without limitation risks related to the following matters:</w:t>
      </w:r>
    </w:p>
    <w:p>
      <w:pPr>
        <w:spacing w:after="0" w:line="236" w:lineRule="exact"/>
        <w:rPr>
          <w:sz w:val="20"/>
          <w:szCs w:val="20"/>
          <w:color w:val="auto"/>
        </w:rPr>
      </w:pPr>
    </w:p>
    <w:p>
      <w:pPr>
        <w:ind w:left="340" w:right="440" w:hanging="332"/>
        <w:spacing w:after="0" w:line="259" w:lineRule="auto"/>
        <w:tabs>
          <w:tab w:leader="none" w:pos="33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continuing impact of Medicaid redeterminations, including the health acuity levels of our continuing members, and the actuarially sound adjustment of rates with regard to the members we retain;</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budget pressures on state governments and states’ efforts to reduce rates or limit rate increases;</w:t>
      </w:r>
    </w:p>
    <w:p>
      <w:pPr>
        <w:spacing w:after="0" w:line="9" w:lineRule="exact"/>
        <w:rPr>
          <w:rFonts w:ascii="Arial" w:cs="Arial" w:eastAsia="Arial" w:hAnsi="Arial"/>
          <w:sz w:val="18"/>
          <w:szCs w:val="18"/>
          <w:color w:val="auto"/>
        </w:rPr>
      </w:pPr>
    </w:p>
    <w:p>
      <w:pPr>
        <w:ind w:left="340" w:right="42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constantly evolving market dynamics surrounding the Affordable Care Act (</w:t>
      </w:r>
      <w:r>
        <w:rPr>
          <w:rFonts w:ascii="Arial" w:cs="Arial" w:eastAsia="Arial" w:hAnsi="Arial"/>
          <w:sz w:val="18"/>
          <w:szCs w:val="18"/>
          <w:color w:val="auto"/>
        </w:rPr>
        <w:t>“</w:t>
      </w:r>
      <w:r>
        <w:rPr>
          <w:rFonts w:ascii="Arial" w:cs="Arial" w:eastAsia="Arial" w:hAnsi="Arial"/>
          <w:sz w:val="18"/>
          <w:szCs w:val="18"/>
          <w:i w:val="1"/>
          <w:iCs w:val="1"/>
          <w:color w:val="auto"/>
        </w:rPr>
        <w:t>ACA”) Marketplaces, including issues impacting enrollment, special enrollment periods, member choice, premium subsidies, risk adjustment estimates and results, Marketplace plan insolvencies or receiverships, and the potential for disproportionate enrollment of higher acuity members;</w:t>
      </w:r>
    </w:p>
    <w:p>
      <w:pPr>
        <w:spacing w:after="0" w:line="1" w:lineRule="exact"/>
        <w:rPr>
          <w:rFonts w:ascii="Arial" w:cs="Arial" w:eastAsia="Arial" w:hAnsi="Arial"/>
          <w:sz w:val="18"/>
          <w:szCs w:val="18"/>
          <w:color w:val="auto"/>
        </w:rPr>
      </w:pPr>
    </w:p>
    <w:p>
      <w:pPr>
        <w:ind w:left="340" w:right="7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success of our efforts to retain existing or awarded government contracts, the success of our bid submissions in response to requests for proposal, and our ability to identify merger and acquisition targets to support our continued growth over time;</w:t>
      </w:r>
    </w:p>
    <w:p>
      <w:pPr>
        <w:ind w:left="340" w:right="6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success of the scaling up of our operations in new states in connection with request for proposal (“RFP”) wins, and the satisfaction of all readiness review requirements under the new Medicaid contracts;</w:t>
      </w:r>
    </w:p>
    <w:p>
      <w:pPr>
        <w:ind w:left="340" w:right="260" w:hanging="332"/>
        <w:spacing w:after="0" w:line="250" w:lineRule="auto"/>
        <w:tabs>
          <w:tab w:leader="none" w:pos="33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integrate, and realize benefits from acquisitions, including the completed acquisitions of My Choice Wisconsin, and Bright Health Medicare, and the timely closing of the announced acquisition of ConnectiCare;</w:t>
      </w:r>
    </w:p>
    <w:p>
      <w:pPr>
        <w:ind w:left="340" w:right="220" w:hanging="332"/>
        <w:spacing w:after="0" w:line="265" w:lineRule="auto"/>
        <w:tabs>
          <w:tab w:leader="none" w:pos="33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subsequent adjustments to reported premium revenue based upon subsequent developments or new information, including retroactive Medicaid rate adjustments in a state or changes to estimated amounts payable or receivable related to Marketplace risk adjustment;</w:t>
      </w: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effective management of our medical costs;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our ability to predict with a reasonable degree of accuracy utilization rates;</w:t>
      </w:r>
    </w:p>
    <w:p>
      <w:pPr>
        <w:spacing w:after="0" w:line="9" w:lineRule="exact"/>
        <w:rPr>
          <w:rFonts w:ascii="Arial" w:cs="Arial" w:eastAsia="Arial" w:hAnsi="Arial"/>
          <w:sz w:val="18"/>
          <w:szCs w:val="18"/>
          <w:color w:val="auto"/>
        </w:rPr>
      </w:pPr>
    </w:p>
    <w:p>
      <w:pPr>
        <w:ind w:left="340" w:right="10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cyber-attacks, ransomware attacks, or other privacy or data security incidents involving either ourselves or our contracted vendors, such as Change Healthcare or CrowdStrike, that result in an inadvertent unauthorized disclosure of protected information or operational delays, and the extent to which our working in a remote work environment heightens our exposure to these risks;</w:t>
      </w:r>
    </w:p>
    <w:p>
      <w:pPr>
        <w:spacing w:after="0" w:line="1" w:lineRule="exact"/>
        <w:rPr>
          <w:rFonts w:ascii="Arial" w:cs="Arial" w:eastAsia="Arial" w:hAnsi="Arial"/>
          <w:sz w:val="18"/>
          <w:szCs w:val="18"/>
          <w:color w:val="auto"/>
        </w:rPr>
      </w:pPr>
    </w:p>
    <w:p>
      <w:pPr>
        <w:ind w:left="340" w:right="122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340" w:right="160" w:hanging="332"/>
        <w:spacing w:after="0" w:line="250" w:lineRule="auto"/>
        <w:tabs>
          <w:tab w:leader="none" w:pos="33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operational improvements, efficiencies, and cost savings that are less than anticipated, or that result in unforeseen consequences, from our investments in artificial intelligence (“AI”) administrative tools and initiatives;</w:t>
      </w:r>
    </w:p>
    <w:p>
      <w:pPr>
        <w:ind w:left="340" w:right="40" w:hanging="332"/>
        <w:spacing w:after="0" w:line="250" w:lineRule="auto"/>
        <w:tabs>
          <w:tab w:leader="none" w:pos="33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our working in a permanent remote work environment, including any associated impairment charges or contract termination costs;</w:t>
      </w:r>
    </w:p>
    <w:p>
      <w:pPr>
        <w:ind w:left="340" w:right="200" w:hanging="332"/>
        <w:spacing w:after="0" w:line="266"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ind w:left="340" w:right="140" w:hanging="332"/>
        <w:spacing w:after="0" w:line="259"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our ability to operate profitably in an environment where the trend in premium rate increases lags behind the trend in increasing medical costs;</w:t>
      </w:r>
    </w:p>
    <w:p>
      <w:pPr>
        <w:spacing w:after="0" w:line="1" w:lineRule="exact"/>
        <w:rPr>
          <w:rFonts w:ascii="Arial" w:cs="Arial" w:eastAsia="Arial" w:hAnsi="Arial"/>
          <w:sz w:val="18"/>
          <w:szCs w:val="18"/>
          <w:color w:val="auto"/>
        </w:rPr>
      </w:pPr>
    </w:p>
    <w:p>
      <w:pPr>
        <w:ind w:left="340" w:right="12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profit-sharing arrangements, and risk adjustment provisions and requirements;</w:t>
      </w:r>
    </w:p>
    <w:p>
      <w:pPr>
        <w:ind w:left="340" w:right="48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our estimates of amounts owed for minimum medical loss ratio regulations and contractual provisions, administrative cost and profit ceilings, premium stabilization programs, profit-sharing arrangements, and risk adjustment provisions and requirements;</w:t>
      </w:r>
    </w:p>
    <w:p>
      <w:pPr>
        <w:ind w:left="340" w:right="20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ind w:left="340" w:right="14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transition of Medicare-Medicaid pilot programs in California, Illinois, Michigan, Ohio, South Carolina, and Texas serving those dually eligible for both Medicare and Medicaid, the increasing integration of Medicare and Medicaid programmatic and compliance requirements, and the extension or incorporation of federal Medicare requirements developed by CMS into state-administered Medicaid programs;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accurate estimation of incurred but not reported or paid medical costs across our health plans;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efforts by states to recoup previously paid and recognized premium amounts;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changes in our annual effective tax rate due to federal and/or state legislation, or changes in our mix of earnings and other factors;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efficient and effective operations of the vendors on whom our business relies;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complications, member confusion, or enrollment backlogs related to the renewal of Medicaid coverage;</w:t>
      </w:r>
    </w:p>
    <w:p>
      <w:pPr>
        <w:spacing w:after="0" w:line="9" w:lineRule="exact"/>
        <w:rPr>
          <w:rFonts w:ascii="Arial" w:cs="Arial" w:eastAsia="Arial" w:hAnsi="Arial"/>
          <w:sz w:val="18"/>
          <w:szCs w:val="18"/>
          <w:color w:val="auto"/>
        </w:rPr>
      </w:pPr>
    </w:p>
    <w:p>
      <w:pPr>
        <w:ind w:left="340" w:right="54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fraud, waste and abuse matters, government audits, reviews, or investigations, comment letters, and any fine, sanction, enrollment freeze, debarment, corrective action plan, monitoring program, or premium recovery that may result therefrom;</w:t>
      </w:r>
    </w:p>
    <w:p>
      <w:pPr>
        <w:ind w:left="340" w:right="54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success of our providers, including delegated providers, the adequacy of our provider networks, the successful maintenance of relations with our providers, and the potential loss of providers;</w:t>
      </w: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approval by state regulators of dividends and distributions by our health plan subsidiaries;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changes in funding under our contracts as a result of regulatory changes, programmatic adjustments, or other reforms;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favorable resolution of litigation, arbitration, or administrative proceedings;</w:t>
      </w:r>
    </w:p>
    <w:p>
      <w:pPr>
        <w:spacing w:after="0" w:line="9" w:lineRule="exact"/>
        <w:rPr>
          <w:rFonts w:ascii="Arial" w:cs="Arial" w:eastAsia="Arial" w:hAnsi="Arial"/>
          <w:sz w:val="18"/>
          <w:szCs w:val="18"/>
          <w:color w:val="auto"/>
        </w:rPr>
      </w:pPr>
    </w:p>
    <w:p>
      <w:pPr>
        <w:ind w:left="340" w:right="66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greater scale and revenues of our health plans in California, New York, Ohio, Texas, and Washington, and risks related to the concentration of our business in those states;</w:t>
      </w:r>
    </w:p>
    <w:p>
      <w:pPr>
        <w:ind w:left="340" w:right="14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failure to comply with the financial or other covenants in the credit agreement governing our revolving credit facility or the indentures governing our outstanding senior notes;</w:t>
      </w:r>
    </w:p>
    <w:p>
      <w:pPr>
        <w:ind w:left="34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availability of adequate financing on acceptable terms to fund and capitalize our expansion and growth, repay our outstanding indebtedness at maturity, and meet our general liquidity needs;</w:t>
      </w: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color w:val="auto"/>
        </w:rPr>
      </w:pPr>
    </w:p>
    <w:p>
      <w:pPr>
        <w:ind w:left="340" w:right="12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changes generally affecting the managed care industry, including any new federal or state legislation that impacts the business space in which we operate;</w:t>
      </w: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increases in government surcharges, taxes, and assessments;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impact of inflation on our medical costs and the cost of refinancing our outstanding indebtedness;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unexpected loss of the leadership of one or more of our senior executives;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increasing competition and consolidation in the Medicaid or general healthcare sector.</w:t>
      </w:r>
    </w:p>
    <w:p>
      <w:pPr>
        <w:spacing w:after="0" w:line="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Each of the terms “Molina Healthcare, Inc.” “Molina Healthcare,” “Company,” “we,” “our,” and “us,” as used herein, refers collectively to Molina Healthcare, Inc. and its wholly owned subsidiaries, unless otherwise stated. The forward-looking statements in this Form 10-Q are based upon information available to us as of the date of this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We qualify all of our forward-looking statements by these cautionary statements. These forward-looking statements speak only as of the date of this Form 10-Q. The Company assumes no obligation to revise or update any forward-looking statements for any reason, except as required by law.</w:t>
      </w:r>
    </w:p>
    <w:p>
      <w:pPr>
        <w:spacing w:after="0" w:line="7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This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2023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OVERVIEW</w:t>
      </w:r>
    </w:p>
    <w:p>
      <w:pPr>
        <w:spacing w:after="0" w:line="10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Molina Healthcare, Inc., a FORTUNE 500 company, provides managed healthcare services under the Medicaid and Medicare programs, and through the state insurance marketplaces (the “Marketplace”). We served approximately 5.6 million members as of September 30, 2024, located across 21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THIRD QUARTER 2024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reported net income of $326 million, or $5.65 per diluted share, for the third quarter of 2024, which reflected the following:</w:t>
      </w:r>
    </w:p>
    <w:p>
      <w:pPr>
        <w:spacing w:after="0" w:line="117" w:lineRule="exact"/>
        <w:rPr>
          <w:sz w:val="20"/>
          <w:szCs w:val="20"/>
          <w:color w:val="auto"/>
        </w:rPr>
      </w:pPr>
    </w:p>
    <w:p>
      <w:pPr>
        <w:ind w:left="660" w:right="34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Membership of 5.6 million at September 30, 2024 increased 392,000, or 8%, compared with September 30, 2023, across all segments, primarily due to the new Medicaid contract wins, acquisitions, and growth in our current footprint, partially offset by the impact of Medicaid redeterminations;</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Premium revenue of $9.7 billion, which increased 18% compared with the third quarter of 2023 due to the increased membership in all segments mentioned above;</w:t>
      </w:r>
    </w:p>
    <w:p>
      <w:pPr>
        <w:ind w:left="660" w:right="10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Consolidated medical care ratio (“MCR”) of 89.2% compared with 88.7% for the third quarter of 2023, and was higher than expected as we experienced medical cost pressure in our Medicaid and Medicare segments;</w:t>
      </w:r>
    </w:p>
    <w:p>
      <w:pPr>
        <w:ind w:left="660" w:right="68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 income of $118 million, which increased 5% compared with the third quarter of 2023, and continues to bolster our operating income results;</w:t>
      </w:r>
    </w:p>
    <w:p>
      <w:pPr>
        <w:ind w:left="660" w:right="38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and administrative expense (“G&amp;A”) ratio of 6.5%, compared with 7.1% for the third quarter of 2023, reflecting operating discipline and the continued benefit of fixed cost leverage as we grow our business; and</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After-tax margin of 3.2%, which was in line with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FINANCIAL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results of operations and other financial information for the periods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00" w:type="dxa"/>
            <w:vAlign w:val="bottom"/>
          </w:tcPr>
          <w:p>
            <w:pPr>
              <w:spacing w:after="0"/>
              <w:rPr>
                <w:sz w:val="17"/>
                <w:szCs w:val="17"/>
                <w:color w:val="auto"/>
              </w:rPr>
            </w:pPr>
          </w:p>
        </w:tc>
        <w:tc>
          <w:tcPr>
            <w:tcW w:w="34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7"/>
                <w:szCs w:val="17"/>
                <w:color w:val="auto"/>
              </w:rPr>
            </w:pPr>
          </w:p>
        </w:tc>
        <w:tc>
          <w:tcPr>
            <w:tcW w:w="3040" w:type="dxa"/>
            <w:vAlign w:val="bottom"/>
            <w:gridSpan w:val="4"/>
          </w:tcPr>
          <w:p>
            <w:pPr>
              <w:jc w:val="right"/>
              <w:ind w:right="399"/>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5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2023</w:t>
            </w:r>
          </w:p>
        </w:tc>
      </w:tr>
      <w:tr>
        <w:trPr>
          <w:trHeight w:val="250"/>
        </w:trPr>
        <w:tc>
          <w:tcPr>
            <w:tcW w:w="4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0" w:type="dxa"/>
            <w:vAlign w:val="bottom"/>
            <w:gridSpan w:val="5"/>
          </w:tcPr>
          <w:p>
            <w:pPr>
              <w:ind w:left="120"/>
              <w:spacing w:after="0"/>
              <w:rPr>
                <w:sz w:val="20"/>
                <w:szCs w:val="20"/>
                <w:color w:val="auto"/>
              </w:rPr>
            </w:pPr>
            <w:r>
              <w:rPr>
                <w:rFonts w:ascii="Arial" w:cs="Arial" w:eastAsia="Arial" w:hAnsi="Arial"/>
                <w:sz w:val="14"/>
                <w:szCs w:val="14"/>
                <w:b w:val="1"/>
                <w:bCs w:val="1"/>
                <w:color w:val="auto"/>
              </w:rPr>
              <w:t>(In millions, except per-share amounts)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revenue</w:t>
            </w:r>
          </w:p>
        </w:tc>
        <w:tc>
          <w:tcPr>
            <w:tcW w:w="98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4"/>
              </w:rPr>
              <w:t>9,694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8,240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28,644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24,167</w:t>
            </w:r>
          </w:p>
        </w:tc>
      </w:tr>
      <w:tr>
        <w:trPr>
          <w:trHeight w:val="215"/>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medical care costs</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8,643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7,306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25,425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21,215</w:t>
            </w: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margin</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4"/>
              </w:rPr>
              <w:t>1,051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3,219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2,952</w:t>
            </w:r>
          </w:p>
        </w:tc>
      </w:tr>
      <w:tr>
        <w:trPr>
          <w:trHeight w:val="216"/>
        </w:trPr>
        <w:tc>
          <w:tcPr>
            <w:tcW w:w="4500" w:type="dxa"/>
            <w:vAlign w:val="bottom"/>
          </w:tcPr>
          <w:p>
            <w:pPr>
              <w:ind w:left="140"/>
              <w:spacing w:after="0" w:line="216" w:lineRule="exact"/>
              <w:rPr>
                <w:sz w:val="20"/>
                <w:szCs w:val="20"/>
                <w:color w:val="auto"/>
              </w:rPr>
            </w:pPr>
            <w:r>
              <w:rPr>
                <w:rFonts w:ascii="Arial" w:cs="Arial" w:eastAsia="Arial" w:hAnsi="Arial"/>
                <w:sz w:val="25"/>
                <w:szCs w:val="25"/>
                <w:i w:val="1"/>
                <w:iCs w:val="1"/>
                <w:color w:val="auto"/>
                <w:vertAlign w:val="subscript"/>
              </w:rPr>
              <w:t>MCR</w:t>
            </w:r>
            <w:r>
              <w:rPr>
                <w:rFonts w:ascii="Arial" w:cs="Arial" w:eastAsia="Arial" w:hAnsi="Arial"/>
                <w:sz w:val="9"/>
                <w:szCs w:val="9"/>
                <w:i w:val="1"/>
                <w:iCs w:val="1"/>
                <w:color w:val="auto"/>
              </w:rPr>
              <w:t xml:space="preserve"> (1)</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89.2 %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i w:val="1"/>
                <w:iCs w:val="1"/>
                <w:color w:val="auto"/>
              </w:rPr>
              <w:t>88.7 %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88.8 %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87.8 %</w:t>
            </w:r>
          </w:p>
        </w:tc>
      </w:tr>
      <w:tr>
        <w:trPr>
          <w:trHeight w:val="257"/>
        </w:trPr>
        <w:tc>
          <w:tcPr>
            <w:tcW w:w="4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tax revenue</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517</w:t>
            </w: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Investment income</w:t>
            </w:r>
          </w:p>
        </w:tc>
        <w:tc>
          <w:tcPr>
            <w:tcW w:w="98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140"/>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280</w:t>
            </w: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w:t>
            </w:r>
          </w:p>
        </w:tc>
      </w:tr>
      <w:tr>
        <w:trPr>
          <w:trHeight w:val="257"/>
        </w:trPr>
        <w:tc>
          <w:tcPr>
            <w:tcW w:w="4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2,078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1,817</w:t>
            </w:r>
          </w:p>
        </w:tc>
      </w:tr>
      <w:tr>
        <w:trPr>
          <w:trHeight w:val="216"/>
        </w:trPr>
        <w:tc>
          <w:tcPr>
            <w:tcW w:w="4500" w:type="dxa"/>
            <w:vAlign w:val="bottom"/>
          </w:tcPr>
          <w:p>
            <w:pPr>
              <w:ind w:left="140"/>
              <w:spacing w:after="0" w:line="216" w:lineRule="exact"/>
              <w:rPr>
                <w:sz w:val="20"/>
                <w:szCs w:val="20"/>
                <w:color w:val="auto"/>
              </w:rPr>
            </w:pPr>
            <w:r>
              <w:rPr>
                <w:rFonts w:ascii="Arial" w:cs="Arial" w:eastAsia="Arial" w:hAnsi="Arial"/>
                <w:sz w:val="16"/>
                <w:szCs w:val="16"/>
                <w:i w:val="1"/>
                <w:iCs w:val="1"/>
                <w:color w:val="auto"/>
              </w:rPr>
              <w:t xml:space="preserve">G&amp;A ratio </w:t>
            </w:r>
            <w:r>
              <w:rPr>
                <w:rFonts w:ascii="Arial" w:cs="Arial" w:eastAsia="Arial" w:hAnsi="Arial"/>
                <w:sz w:val="21"/>
                <w:szCs w:val="21"/>
                <w:i w:val="1"/>
                <w:iCs w:val="1"/>
                <w:color w:val="auto"/>
                <w:vertAlign w:val="superscript"/>
              </w:rPr>
              <w:t>(2)</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6.5 %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i w:val="1"/>
                <w:iCs w:val="1"/>
                <w:color w:val="auto"/>
              </w:rPr>
              <w:t>7.1 %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6.9 %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7.3 %</w:t>
            </w:r>
          </w:p>
        </w:tc>
      </w:tr>
      <w:tr>
        <w:trPr>
          <w:trHeight w:val="257"/>
        </w:trPr>
        <w:tc>
          <w:tcPr>
            <w:tcW w:w="4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Premium tax expenses</w:t>
            </w:r>
          </w:p>
        </w:tc>
        <w:tc>
          <w:tcPr>
            <w:tcW w:w="98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140"/>
              <w:spacing w:after="0"/>
              <w:rPr>
                <w:sz w:val="20"/>
                <w:szCs w:val="20"/>
                <w:color w:val="auto"/>
              </w:rPr>
            </w:pPr>
            <w:r>
              <w:rPr>
                <w:rFonts w:ascii="Arial" w:cs="Arial" w:eastAsia="Arial" w:hAnsi="Arial"/>
                <w:sz w:val="16"/>
                <w:szCs w:val="16"/>
                <w:color w:val="auto"/>
              </w:rPr>
              <w:t>1,103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517</w:t>
            </w: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w:t>
            </w:r>
          </w:p>
        </w:tc>
      </w:tr>
      <w:tr>
        <w:trPr>
          <w:trHeight w:val="215"/>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90</w:t>
            </w: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1,327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1,257</w:t>
            </w:r>
          </w:p>
        </w:tc>
      </w:tr>
      <w:tr>
        <w:trPr>
          <w:trHeight w:val="209"/>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82</w:t>
            </w: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1,243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1,175</w:t>
            </w:r>
          </w:p>
        </w:tc>
      </w:tr>
      <w:tr>
        <w:trPr>
          <w:trHeight w:val="215"/>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315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300</w:t>
            </w:r>
          </w:p>
        </w:tc>
      </w:tr>
      <w:tr>
        <w:trPr>
          <w:trHeight w:val="23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928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875</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1"/>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98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15.97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15.08</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1"/>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9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58.1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58.1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58.1</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Key Statistics</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Ending Membership</w:t>
            </w:r>
          </w:p>
        </w:tc>
        <w:tc>
          <w:tcPr>
            <w:tcW w:w="98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14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5.2</w:t>
            </w: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25.5 %</w:t>
            </w:r>
          </w:p>
        </w:tc>
      </w:tr>
      <w:tr>
        <w:trPr>
          <w:trHeight w:val="285"/>
        </w:trPr>
        <w:tc>
          <w:tcPr>
            <w:tcW w:w="4500" w:type="dxa"/>
            <w:vAlign w:val="bottom"/>
          </w:tcPr>
          <w:p>
            <w:pPr>
              <w:ind w:left="20"/>
              <w:spacing w:after="0"/>
              <w:rPr>
                <w:sz w:val="20"/>
                <w:szCs w:val="20"/>
                <w:color w:val="auto"/>
              </w:rPr>
            </w:pPr>
            <w:r>
              <w:rPr>
                <w:rFonts w:ascii="Arial" w:cs="Arial" w:eastAsia="Arial" w:hAnsi="Arial"/>
                <w:sz w:val="16"/>
                <w:szCs w:val="16"/>
                <w:color w:val="auto"/>
              </w:rPr>
              <w:t xml:space="preserve">After-tax margin </w:t>
            </w:r>
            <w:r>
              <w:rPr>
                <w:rFonts w:ascii="Arial" w:cs="Arial" w:eastAsia="Arial" w:hAnsi="Arial"/>
                <w:sz w:val="21"/>
                <w:szCs w:val="21"/>
                <w:color w:val="auto"/>
                <w:vertAlign w:val="superscript"/>
              </w:rPr>
              <w:t>(3)</w:t>
            </w:r>
          </w:p>
        </w:tc>
        <w:tc>
          <w:tcPr>
            <w:tcW w:w="9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3.5 %</w:t>
            </w:r>
          </w:p>
        </w:tc>
      </w:tr>
    </w:tbl>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68"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w:t>
      </w:r>
    </w:p>
    <w:p>
      <w:pPr>
        <w:spacing w:after="0" w:line="21" w:lineRule="exact"/>
        <w:rPr>
          <w:rFonts w:ascii="Arial" w:cs="Arial" w:eastAsia="Arial" w:hAnsi="Arial"/>
          <w:sz w:val="16"/>
          <w:szCs w:val="16"/>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w:t>
      </w:r>
    </w:p>
    <w:p>
      <w:pPr>
        <w:spacing w:after="0" w:line="14" w:lineRule="exact"/>
        <w:rPr>
          <w:rFonts w:ascii="Arial" w:cs="Arial" w:eastAsia="Arial" w:hAnsi="Arial"/>
          <w:sz w:val="16"/>
          <w:szCs w:val="16"/>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After-tax margin represents net income as a percentage of total revenue.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NET INCOME AND OPERATING INCOME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income in the third quarter of 2024 amounted to $326 million, or $5.65 per diluted share, compared with $245 million, or $4.21 per diluted share, in the third quarter of 2023. Net income in the nine months ended September 30, 2024 amounted to $ 928 million, or $15.97 per diluted share, compared with $875 million, or $ 15.08 per diluted share, in the nine months ended September 30, 2023. The increase in net income for both periods is driven by the impact of increased premiums and medical margin stemming from our membership growth, improved G&amp;A expense ratio, and increased investment income, partially offset by an increase in the consolidated MCR. In addition,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three and nine months ended September 30, 2023 results reflect a $41 million credit loss on 2022 Marketplace risk adjustment receivables.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PREMIUM REVENUE</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Premium revenue increased $1.5 billion, or 18%, in the third quarter of 2024, when compared with the third quarter of 2023, and increased $4.5 billion, or 19%, in the nine months ended September 30, 2024, when compared with the nine months ended September 30, 2023. The higher premium revenue reflects the impact of a balanced combination of the new Medicaid contract wins, acquisitions, and growth in our current footprint, partially offset by the impact of Medicaid redeterminations. See further discussion in “Reportable Segments—Segment Financial Performance,” below.</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MEDICAL CARE RATIO</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consolidated MCR in the third quarter of 2024 increased to 89.2%, compared with 88.7% in the third quarter of 2023, or 50 basis points, and was higher than expected as we experienced medical cost pressure in our Medicaid and Medicare segments. The consolidated MCR in the nine months ended September 30, 2024 increased to 88.8%, compared with 87.8% MCR for the nine months ended September 30, 2023, or 100 basis points, and was slightly above our long-term range. The year-over-year increase in both periods is driven mainly by our Medicaid segment, reflecting the higher than expected medical cost pressure in our legacy portfolio, and higher initial MCRs related to new contracts, expansion and the MyChoice acquisition, partially offset by minimum MLRs and medical cost corridors, continued disciplined medical cost management and year-over-year improvement in our Medicaid and Marketplace segments. See further discussion in “Reportable Segments—Segment Financial Performance,” below.</w:t>
      </w:r>
    </w:p>
    <w:p>
      <w:pPr>
        <w:spacing w:after="0" w:line="77"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prior year reserve development in the nine months ended September 30, 2024 was favorable, but its impact on earnings has been mostly absorbed by minimum MLRs and medical cost corridors.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PREMIUM TAX REVENUE AND EXPENSES</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premium tax ratio (premium tax expense as a percentage of premium revenue plus premium tax revenue) was 5.0% and 2.1% for the third quarter of 2024 and 2023, respectively, and 3.7% and 2.1% for the nine months ended September 30, 2024 and 2023, respectively. The current year ratio increases were mainly due to the reinstatement of the California managed care organization tax by the state’s Department of Health Care Services in the fourth quarter of 2023 and changes in business mix.</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INVESTMENT INCOME</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Investment income increased to $118 million in the third quarter of 2024, compared with $112 million in the third quarter of 2023, and increased to $ 341 million in the nine months ended September 30, 2024, compared with $280 million in the nine months ended September 30, 2023. The increase in both periods was primarily driven by higher average yields on the investment portfolio.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OTHER REVENUE</w:t>
      </w:r>
    </w:p>
    <w:p>
      <w:pPr>
        <w:spacing w:after="0" w:line="11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Other revenue was consistent at $20 million in the third quarter of 2024 and 2023, and totaled $63 million in the nine months ended September 30, 2024, compared with $60 million in the nine months ended September 30, 2023. Other revenue mainly includes service revenue associated with long-term services and supports consultative services we provide in Wisconsin.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G&amp;A EXPENSES</w:t>
      </w:r>
    </w:p>
    <w:p>
      <w:pPr>
        <w:spacing w:after="0" w:line="104"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G&amp;A expense ratio was 6.5% in the third quarter of 2024, compared with 7.1% in the third quarter of 2023. The G&amp;A expense ratio was 6.9% in the nine months ended September 30, 2024, compared with 7.3% in the nine months ended September 30, 2023. G&amp;A expenses in the nine months ended September 30, 2024 reflect operating discipline, including labor cost management, one-time credits related to certain vendor contracts, and the continued benefit of fixed cost leverage as we grow our business, partially offset by new business implementation costs associated with the Nebraska and California Medicaid contracts wins that started in January 2024 and the New Mexico Medicaid contract that started on July 1, 2024.</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was $47 million in the third quarter of 2024, compared with $42 million in the third quarter of 2023, and was</w:t>
      </w:r>
    </w:p>
    <w:p>
      <w:pPr>
        <w:spacing w:after="0" w:line="2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$138 million in the nine months ended September 30, 2024, compared with $128 million in the nine months ended September 30, 2023. The increase in both periods is due to the closing of the My Choice Wisconsin and Bright Health Medicare acquisitions.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OTHER OPERATING EXPENSES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Other operating expenses decreased by $58 million in the third quarter of 2024, compared with the third quarter of 2023, and decreased by $10 million in the nine months ended September 30, 2024, compared with the nine months ended September 30, 2023. The decrease in both periods is primarily due to the $41 million credit loss on 2022 Marketplace risk adjustment receivables recorded in the third quarter of 2023. This was partially offset by increases in non-recurring costs associated with acquisitions, and costs for litigation dating back to 2013. Other operating expenses also include service costs associated with long-term services and supports consultative services we provide in Wisconsin, as noted above.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INTEREST EXPENSE</w:t>
      </w:r>
    </w:p>
    <w:p>
      <w:pPr>
        <w:spacing w:after="0" w:line="117"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Interest expense was $29 million and $27 million in the third quarter of 2024 and 2023, respectively, and $84 million and $82 million for the nine months ended September 30, 2024 and 2023, respectively. The increase is due to borrowings under the Credit Facility occurring in the third quarter of 2024.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INCOME TAXES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Income tax expense amounted to $112 million in the third quarter of 2024, or 25.7% of pretax income, compared with income tax expense of $87 million, or 26.3% of pretax income, in the third quarter of 2023. Income tax expense amounted to $315 million in the nine months ended September 30, 2024, or 25.3% of pretax income, compared with income tax expense of $300 million, or 25.5% of pretax income, in the nine months ended September 30, 2023. The difference in the effective tax rate is due to a decrease in nondeductible expenses, net of an increase in state income taxes, and differences in discrete tax benefits recognized in the respective periods.</w:t>
      </w: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TRENDS AND UNCERTAINTIES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REGULATORY DEVELOPMENTS AND RELATED TRENDS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Economic Stabilization and Other Programs</w:t>
      </w:r>
    </w:p>
    <w:p>
      <w:pPr>
        <w:spacing w:after="0" w:line="11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Public Health Emergency (“PHE”) officially ended on May 11, 2023. There are several healthcare programs tied to the PHE which are impacted by this change in policy. These include coverage of COVID-19 testing and vaccines, changes to the Medicare fee schedule for COVID-related treatments, and free coverage of at-home COVID-19 diagnostic tests. Per federal statutory and regulatory requirements, some of these programs concluded with the end of the PHE, while some will continue through 2024, and some will remain in place permanently.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Enrollment and Premium Revenue</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Excluding acquisitions and our exit from Puerto Rico, we estimate we added approximately one million new Medicaid members since March 31, 2020, when we first began to report on the impacts of the pandemic. We believe this membership increase was mainly due to the suspension of redeterminations for Medicaid eligibility. The Consolidated Appropriations Act of 2023 authorized states to resume redeterminations and terminate coverage for ineligible enrollees starting on April 1, 2023, irrespective of the status of the PHE. Consequently, during the third quarter of 2023, all states in which we operate had begun disenrolling members. In the third quarter of 2024, we estimate we lost approximately 50,000 members due to the net effect of redeterminations. This was on track with our expectations and brings the total count of members lost through redeterminations to 700,000, and we expect reconnects will continue, resulting in net membership additions of 50,000 in the fourth quarter of 2024. Although the medical cost profile of members who have been disenrolled is more favorable than the Medicaid segment average, when combined with the beneficial impact of corridor offsets and rates in several states, our Medicaid MCR for the nine months ended September 30, 2024 was in line with our expectations. Based on the experience to date, we expect that we will ultimately retain approximately 35% of the membership gained since March 31, 2020.</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OTHER RECENT DEVELOPMENTS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RFPs and Acquisitions</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auto"/>
        </w:rPr>
        <w:t xml:space="preserve">Michigan Procurement—Medicare. </w:t>
      </w:r>
      <w:r>
        <w:rPr>
          <w:rFonts w:ascii="Arial" w:cs="Arial" w:eastAsia="Arial" w:hAnsi="Arial"/>
          <w:sz w:val="18"/>
          <w:szCs w:val="18"/>
          <w:color w:val="auto"/>
        </w:rPr>
        <w:t>In October 2024, we were awarded a contract to provide benefits to the state’s Highly Integrated Dual</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(“HIDE”) Special Needs population in six service regions. This award facilitates the transition of our existing Medicaid-Medicare Plan (“MMP”) members to a HIDE product and ensures a new dual-eligibles growth opportunity by expanding our footprint from two regions to six, including Detroit. The new contract,</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which is expected to commence on January 1, 2026 in select regions, will be implemented statewide in 2027 and is expected to continue for seven years.</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i w:val="1"/>
          <w:iCs w:val="1"/>
          <w:color w:val="auto"/>
        </w:rPr>
        <w:t xml:space="preserve">Massachusetts Procurement—Medicare. </w:t>
      </w:r>
      <w:r>
        <w:rPr>
          <w:rFonts w:ascii="Arial" w:cs="Arial" w:eastAsia="Arial" w:hAnsi="Arial"/>
          <w:sz w:val="18"/>
          <w:szCs w:val="18"/>
          <w:color w:val="auto"/>
        </w:rPr>
        <w:t>In September 2024, we were selected to proceed to contract negotiations to operate both One Care</w:t>
      </w:r>
      <w:r>
        <w:rPr>
          <w:rFonts w:ascii="Arial" w:cs="Arial" w:eastAsia="Arial" w:hAnsi="Arial"/>
          <w:sz w:val="18"/>
          <w:szCs w:val="18"/>
          <w:i w:val="1"/>
          <w:iCs w:val="1"/>
          <w:color w:val="auto"/>
        </w:rPr>
        <w:t xml:space="preserve"> </w:t>
      </w:r>
      <w:r>
        <w:rPr>
          <w:rFonts w:ascii="Arial" w:cs="Arial" w:eastAsia="Arial" w:hAnsi="Arial"/>
          <w:sz w:val="18"/>
          <w:szCs w:val="18"/>
          <w:color w:val="auto"/>
        </w:rPr>
        <w:t>and Senior Care Options plans for 2026. This selection is expected to allow us to operate the One Care 21-64 program, and to retain our position in the Senior Care Options program. The programs provide physical, behavioral, long-term services and supports, and other community services to dual-eligibles. The new contract is expected to commence on January 1, 2026.</w:t>
      </w:r>
    </w:p>
    <w:p>
      <w:pPr>
        <w:spacing w:after="0" w:line="68"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i w:val="1"/>
          <w:iCs w:val="1"/>
          <w:color w:val="auto"/>
        </w:rPr>
        <w:t xml:space="preserve">Connecticut Acquisition—Marketplace and Medicare. </w:t>
      </w:r>
      <w:r>
        <w:rPr>
          <w:rFonts w:ascii="Arial" w:cs="Arial" w:eastAsia="Arial" w:hAnsi="Arial"/>
          <w:sz w:val="17"/>
          <w:szCs w:val="17"/>
          <w:color w:val="auto"/>
        </w:rPr>
        <w:t>On July 23, 2024, we announced a definitive agreement to acquire ConnectiCare</w:t>
      </w:r>
      <w:r>
        <w:rPr>
          <w:rFonts w:ascii="Arial" w:cs="Arial" w:eastAsia="Arial" w:hAnsi="Arial"/>
          <w:sz w:val="17"/>
          <w:szCs w:val="17"/>
          <w:i w:val="1"/>
          <w:iCs w:val="1"/>
          <w:color w:val="auto"/>
        </w:rPr>
        <w:t xml:space="preserve"> </w:t>
      </w:r>
      <w:r>
        <w:rPr>
          <w:rFonts w:ascii="Arial" w:cs="Arial" w:eastAsia="Arial" w:hAnsi="Arial"/>
          <w:sz w:val="17"/>
          <w:szCs w:val="17"/>
          <w:color w:val="auto"/>
        </w:rPr>
        <w:t>Holding Company, Inc. (“ConnectiCare”), a wholly owned subsidiary of EmblemHealth, Inc. ConnectiCare is a leading health plan in the state of Connecticut serving members across Marketplace, Medicare, and certain commercial products. The purchase price for the transaction is approximately $350 million, which we intend to fund with cash on hand. The transaction is subject to applicable federal and state regulatory approvals and the satisfaction of other customary closing conditions. We currently expect the transaction to close in the first quarter of 2025.</w:t>
      </w:r>
    </w:p>
    <w:p>
      <w:pPr>
        <w:spacing w:after="0" w:line="5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Florida Procurement—Medicaid. </w:t>
      </w:r>
      <w:r>
        <w:rPr>
          <w:rFonts w:ascii="Arial" w:cs="Arial" w:eastAsia="Arial" w:hAnsi="Arial"/>
          <w:sz w:val="18"/>
          <w:szCs w:val="18"/>
          <w:color w:val="auto"/>
        </w:rPr>
        <w:t>In July 2024, we were notified that the Florida Agency for Healthcare Administration awarded a Medicaid</w:t>
      </w:r>
      <w:r>
        <w:rPr>
          <w:rFonts w:ascii="Arial" w:cs="Arial" w:eastAsia="Arial" w:hAnsi="Arial"/>
          <w:sz w:val="18"/>
          <w:szCs w:val="18"/>
          <w:i w:val="1"/>
          <w:iCs w:val="1"/>
          <w:color w:val="auto"/>
        </w:rPr>
        <w:t xml:space="preserve"> </w:t>
      </w:r>
      <w:r>
        <w:rPr>
          <w:rFonts w:ascii="Arial" w:cs="Arial" w:eastAsia="Arial" w:hAnsi="Arial"/>
          <w:sz w:val="18"/>
          <w:szCs w:val="18"/>
          <w:color w:val="auto"/>
        </w:rPr>
        <w:t>managed care contract to Molina Healthcare of Florida. The contract term is expected to commence on February 1, 2025, and to run through December 31, 2030. We expect to serve approximately 90,000 Medicaid beneficiaries in Miami-Dade and Monroe Counties.</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i w:val="1"/>
          <w:iCs w:val="1"/>
          <w:color w:val="auto"/>
        </w:rPr>
        <w:t xml:space="preserve">New Mexico Procurement—Medicaid. </w:t>
      </w:r>
      <w:r>
        <w:rPr>
          <w:rFonts w:ascii="Arial" w:cs="Arial" w:eastAsia="Arial" w:hAnsi="Arial"/>
          <w:sz w:val="18"/>
          <w:szCs w:val="18"/>
          <w:color w:val="auto"/>
        </w:rPr>
        <w:t>Our new contract with the New Mexico Health Care Authority commenced on July 1, 2024 and will run</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December 31, 2026. The new contract added approximately 33,000 members.</w:t>
      </w:r>
    </w:p>
    <w:p>
      <w:pPr>
        <w:spacing w:after="0" w:line="4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Wisconsin Procurement—Medicaid. </w:t>
      </w:r>
      <w:r>
        <w:rPr>
          <w:rFonts w:ascii="Arial" w:cs="Arial" w:eastAsia="Arial" w:hAnsi="Arial"/>
          <w:sz w:val="18"/>
          <w:szCs w:val="18"/>
          <w:color w:val="auto"/>
        </w:rPr>
        <w:t>In May 2024, we were notified that the Wisconsin Department of Health Services intends to make an</w:t>
      </w:r>
      <w:r>
        <w:rPr>
          <w:rFonts w:ascii="Arial" w:cs="Arial" w:eastAsia="Arial" w:hAnsi="Arial"/>
          <w:sz w:val="18"/>
          <w:szCs w:val="18"/>
          <w:i w:val="1"/>
          <w:iCs w:val="1"/>
          <w:color w:val="auto"/>
        </w:rPr>
        <w:t xml:space="preserve"> </w:t>
      </w:r>
      <w:r>
        <w:rPr>
          <w:rFonts w:ascii="Arial" w:cs="Arial" w:eastAsia="Arial" w:hAnsi="Arial"/>
          <w:sz w:val="18"/>
          <w:szCs w:val="18"/>
          <w:color w:val="auto"/>
        </w:rPr>
        <w:t>award for the purchase of services under the Family Care and Family Care Partnership program in its Geographic Service Region 5 to Molina Healthcare of Wisconsin. The go-live date is expected to be January 1, 2025, and the contract is expected to have a duration of two years, with an option for three two-year extensions. Additionally, we were re-awarded our sole contract position in the self-directed long-term services and supports personal care program.</w:t>
      </w:r>
    </w:p>
    <w:p>
      <w:pPr>
        <w:spacing w:after="0" w:line="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i w:val="1"/>
          <w:iCs w:val="1"/>
          <w:color w:val="auto"/>
        </w:rPr>
        <w:t xml:space="preserve">Michigan Procurement—Medicaid. </w:t>
      </w:r>
      <w:r>
        <w:rPr>
          <w:rFonts w:ascii="Arial" w:cs="Arial" w:eastAsia="Arial" w:hAnsi="Arial"/>
          <w:sz w:val="18"/>
          <w:szCs w:val="18"/>
          <w:color w:val="auto"/>
        </w:rPr>
        <w:t>In April 2024, we announced that the Michigan Department of Health and Human Services intends to</w:t>
      </w:r>
      <w:r>
        <w:rPr>
          <w:rFonts w:ascii="Arial" w:cs="Arial" w:eastAsia="Arial" w:hAnsi="Arial"/>
          <w:sz w:val="18"/>
          <w:szCs w:val="18"/>
          <w:i w:val="1"/>
          <w:iCs w:val="1"/>
          <w:color w:val="auto"/>
        </w:rPr>
        <w:t xml:space="preserve"> </w:t>
      </w:r>
      <w:r>
        <w:rPr>
          <w:rFonts w:ascii="Arial" w:cs="Arial" w:eastAsia="Arial" w:hAnsi="Arial"/>
          <w:sz w:val="18"/>
          <w:szCs w:val="18"/>
          <w:color w:val="auto"/>
        </w:rPr>
        <w:t>award a Comprehensive Health Care Program contract to Molina Healthcare of Michigan. We were awarded the contract in six service regions. The new Medicaid contract commenced on October 1, 2024. The new contract is expected to have a duration of five years, with an option for three one-year extensions.</w:t>
      </w:r>
    </w:p>
    <w:p>
      <w:pPr>
        <w:spacing w:after="0" w:line="68"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i w:val="1"/>
          <w:iCs w:val="1"/>
          <w:color w:val="auto"/>
        </w:rPr>
        <w:t xml:space="preserve">Mississippi Procurement—Medicaid. </w:t>
      </w:r>
      <w:r>
        <w:rPr>
          <w:rFonts w:ascii="Arial" w:cs="Arial" w:eastAsia="Arial" w:hAnsi="Arial"/>
          <w:sz w:val="18"/>
          <w:szCs w:val="18"/>
          <w:color w:val="auto"/>
        </w:rPr>
        <w:t>In the second quarter of 2024, the Mississippi Division of Medicaid extended the existing contracts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state fiscal year that began on July 1, 2024. We now expect the new four-year contract, which will cover both TANF &amp; ABD and CHIP, to commence on July 1, 2025.</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Texas Procurement—Medicaid. </w:t>
      </w:r>
      <w:r>
        <w:rPr>
          <w:rFonts w:ascii="Arial" w:cs="Arial" w:eastAsia="Arial" w:hAnsi="Arial"/>
          <w:sz w:val="18"/>
          <w:szCs w:val="18"/>
          <w:color w:val="auto"/>
        </w:rPr>
        <w:t>In the first quarter of 2024, we were notified of the Texas Health and Human Services Commission’s intent to</w:t>
      </w:r>
      <w:r>
        <w:rPr>
          <w:rFonts w:ascii="Arial" w:cs="Arial" w:eastAsia="Arial" w:hAnsi="Arial"/>
          <w:sz w:val="18"/>
          <w:szCs w:val="18"/>
          <w:i w:val="1"/>
          <w:iCs w:val="1"/>
          <w:color w:val="auto"/>
        </w:rPr>
        <w:t xml:space="preserve"> </w:t>
      </w:r>
      <w:r>
        <w:rPr>
          <w:rFonts w:ascii="Arial" w:cs="Arial" w:eastAsia="Arial" w:hAnsi="Arial"/>
          <w:sz w:val="18"/>
          <w:szCs w:val="18"/>
          <w:color w:val="auto"/>
        </w:rPr>
        <w:t>award us a contract for Temporary Assistance for Needy Families (“TANF”) and Children’s Health Insurance Program (“CHIP”) (known in Texas as the STAR &amp; CHIP programs, and both existing contracts for Molina), expanding our footprint and expecting to grow our market share. The expected start of operations and other final contract terms are still pending. The new STAR+PLUS contract began on September 1, 2024 and grew our market share.</w:t>
      </w:r>
    </w:p>
    <w:p>
      <w:pPr>
        <w:spacing w:after="0" w:line="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Virginia Procurement—Medicaid. </w:t>
      </w:r>
      <w:r>
        <w:rPr>
          <w:rFonts w:ascii="Arial" w:cs="Arial" w:eastAsia="Arial" w:hAnsi="Arial"/>
          <w:sz w:val="18"/>
          <w:szCs w:val="18"/>
          <w:color w:val="auto"/>
        </w:rPr>
        <w:t>In the first quarter of 2024, the Virginia Department of Medical Assistance Services (“DMAS”) issued a</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intent to award which did not include Molina Healthcare of Virginia as an awardee for its Cardinal Care Managed Care (“CCMC”) procurement. We exercised our right to protest that decision. On April 19, 2024, DMAS upheld its notice of intent to award in response to our protest. On April 26, 2024, Molina filed a legal action in Virginia Circuit Court over DMAS’s decision not to award Molina a CCMC contract. In addition, DMAS separately notified us that they were exercising the contractual extension option for the period from July 1, 2024 through June 30, 2025. The noticed CCMC awards are subject to a statutory stay pending the resolution of Molina’s legal action.</w:t>
      </w:r>
    </w:p>
    <w:p>
      <w:pPr>
        <w:spacing w:after="0" w:line="7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i w:val="1"/>
          <w:iCs w:val="1"/>
          <w:color w:val="auto"/>
        </w:rPr>
        <w:t xml:space="preserve">California Acquisition—Medicare. </w:t>
      </w:r>
      <w:r>
        <w:rPr>
          <w:rFonts w:ascii="Arial" w:cs="Arial" w:eastAsia="Arial" w:hAnsi="Arial"/>
          <w:sz w:val="18"/>
          <w:szCs w:val="18"/>
          <w:color w:val="auto"/>
        </w:rPr>
        <w:t>Effective January 1, 2024, we closed on our acquisition of 100% of the issued and outstanding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stock of Brand New Day and Central Health Plan of California (“Bright Health Medicare”), which added approximately 109,000 members.</w:t>
      </w:r>
    </w:p>
    <w:p>
      <w:pPr>
        <w:spacing w:after="0" w:line="45"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i w:val="1"/>
          <w:iCs w:val="1"/>
          <w:color w:val="auto"/>
        </w:rPr>
        <w:t xml:space="preserve">California Procurement—Medicaid. </w:t>
      </w:r>
      <w:r>
        <w:rPr>
          <w:rFonts w:ascii="Arial" w:cs="Arial" w:eastAsia="Arial" w:hAnsi="Arial"/>
          <w:sz w:val="18"/>
          <w:szCs w:val="18"/>
          <w:color w:val="auto"/>
        </w:rPr>
        <w:t>Our new contract with the California Department of Health Care Services commenced on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2024, which enables us to continue servicing Medi-Cal members in most of our existing counties and expand our footprint in Los Angeles County.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i w:val="1"/>
          <w:iCs w:val="1"/>
          <w:color w:val="auto"/>
        </w:rPr>
        <w:t xml:space="preserve">Nebraska Procurement—Medicaid. </w:t>
      </w:r>
      <w:r>
        <w:rPr>
          <w:rFonts w:ascii="Arial" w:cs="Arial" w:eastAsia="Arial" w:hAnsi="Arial"/>
          <w:sz w:val="18"/>
          <w:szCs w:val="18"/>
          <w:color w:val="auto"/>
        </w:rPr>
        <w:t>Our new contract with the Nebraska Department of Health and Human Services commenced on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1, 2024, which added approximately 114,000 members.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Healthcare Cybersecurity Incident</w:t>
      </w:r>
    </w:p>
    <w:p>
      <w:pPr>
        <w:spacing w:after="0" w:line="11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February 21, 2024, Change Healthcare (“CHC”), a major claims processing vendor to Molina, experienced a significant cybersecurity incident. Immediately upon becoming aware of the incident, Molina disconnected and isolated its systems from CHC, and confirmed that no Molina owned or operated systems were compromised by any pre-incident interaction or connectivity with CHC. As a result of the disconnection of our systems from CHC, Molina’s ability to receive claims submissions and process remits and payments to providers was partially and temporarily impaired. We promptly enacted our incident response and business continuity plans, which included the implementation of alternative, work-around solutions in order to resume electronic claims intake and payment to providers, and, as a result, we experienced minimal impact to our claims payment operations. To date the event has not had a material impact on the Company’s financial condition or results of operations. We have implemented enhanced vendor-related security protocols to mitigate potential risks to providers and members related to this incident.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UnitedHealth Group Incorporated, the parent company to CHC, has indicated a substantial portion of U.S. residents may have had their</w:t>
      </w:r>
    </w:p>
    <w:p>
      <w:pPr>
        <w:spacing w:after="0" w:line="5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PHI/PII affected by the incident. CHC has notified Molina that certain members’ data has been breached. CHC is in the process of notifying the individuals impacted by this data breach.</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For a discussion of additional segment trends, uncertainties and other developments, refer to our 2023 Annual Report on Form 10-K, “Item 1. Business—Our Business,” and “—Legislative and Political Environment.”</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REPORTABLE SEGMENTS</w:t>
      </w:r>
    </w:p>
    <w:p>
      <w:pPr>
        <w:spacing w:after="0" w:line="108"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As of September 30, 2024, we served approximately 5.6 million members eligible for Medicaid, Medicare, and other government-sponsored healthcare programs for low-income families and individuals, including Marketplace members, most of whom receive government premium subsidies.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four reportable segments consisting of: 1) Medicaid; 2) Medicare; 3) Marketplace; and 4) Other.</w:t>
      </w:r>
    </w:p>
    <w:p>
      <w:pPr>
        <w:spacing w:after="0" w:line="117" w:lineRule="exact"/>
        <w:rPr>
          <w:sz w:val="20"/>
          <w:szCs w:val="20"/>
          <w:color w:val="auto"/>
        </w:rPr>
      </w:pPr>
    </w:p>
    <w:p>
      <w:pPr>
        <w:jc w:val="both"/>
        <w:ind w:right="700"/>
        <w:spacing w:after="0" w:line="268"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HOW WE ASSESS PERFORMANCE</w:t>
      </w:r>
    </w:p>
    <w:p>
      <w:pPr>
        <w:spacing w:after="0" w:line="11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We derive our revenues primarily from health insurance premiums. Our primary customers are state Medicaid agencies and the federal government.</w:t>
      </w:r>
    </w:p>
    <w:p>
      <w:pPr>
        <w:spacing w:after="0" w:line="4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w:t>
      </w:r>
    </w:p>
    <w:p>
      <w:pPr>
        <w:spacing w:after="0" w:line="7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Management’s discussion and analysis of the change in medical margin is discussed below under “Segment Financial Performance.” For more information, see Notes to Consolidated Financial Statements, Note 10, “Segments.”</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SEGMENT MEMBERSHIP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membership by segment as of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154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Pr>
          <w:p>
            <w:pPr>
              <w:jc w:val="right"/>
              <w:ind w:right="162"/>
              <w:spacing w:after="0"/>
              <w:rPr>
                <w:sz w:val="20"/>
                <w:szCs w:val="20"/>
                <w:color w:val="auto"/>
              </w:rPr>
            </w:pPr>
            <w:r>
              <w:rPr>
                <w:rFonts w:ascii="Arial" w:cs="Arial" w:eastAsia="Arial" w:hAnsi="Arial"/>
                <w:sz w:val="14"/>
                <w:szCs w:val="14"/>
                <w:b w:val="1"/>
                <w:bCs w:val="1"/>
                <w:color w:val="auto"/>
              </w:rPr>
              <w:t>September 30,</w:t>
            </w:r>
          </w:p>
        </w:tc>
      </w:tr>
      <w:tr>
        <w:trPr>
          <w:trHeight w:val="203"/>
        </w:trPr>
        <w:tc>
          <w:tcPr>
            <w:tcW w:w="67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4,941,000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4,542,000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4,757,000</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Medicare</w:t>
            </w: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247,000</w:t>
            </w:r>
          </w:p>
        </w:tc>
        <w:tc>
          <w:tcPr>
            <w:tcW w:w="10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172,000</w:t>
            </w:r>
          </w:p>
        </w:tc>
        <w:tc>
          <w:tcPr>
            <w:tcW w:w="10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173,000</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410,000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281,000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276,000</w:t>
            </w:r>
          </w:p>
        </w:tc>
      </w:tr>
      <w:tr>
        <w:trPr>
          <w:trHeight w:val="210"/>
        </w:trPr>
        <w:tc>
          <w:tcPr>
            <w:tcW w:w="6700" w:type="dxa"/>
            <w:vAlign w:val="bottom"/>
          </w:tcPr>
          <w:p>
            <w:pPr>
              <w:ind w:left="14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5,598,000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4,995,000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5,206,000</w:t>
            </w:r>
          </w:p>
        </w:tc>
      </w:tr>
      <w:tr>
        <w:trPr>
          <w:trHeight w:val="21"/>
        </w:trPr>
        <w:tc>
          <w:tcPr>
            <w:tcW w:w="6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SEGMENT FINANCIAL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premium revenue, medical margin, and MCR by segment for the periods indicated (dollars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7"/>
          </w:tcPr>
          <w:p>
            <w:pPr>
              <w:jc w:val="right"/>
              <w:ind w:right="79"/>
              <w:spacing w:after="0"/>
              <w:rPr>
                <w:sz w:val="20"/>
                <w:szCs w:val="20"/>
                <w:color w:val="auto"/>
              </w:rPr>
            </w:pPr>
            <w:r>
              <w:rPr>
                <w:rFonts w:ascii="Arial" w:cs="Arial" w:eastAsia="Arial" w:hAnsi="Arial"/>
                <w:sz w:val="14"/>
                <w:szCs w:val="14"/>
                <w:b w:val="1"/>
                <w:bCs w:val="1"/>
                <w:color w:val="auto"/>
              </w:rPr>
              <w:t>Three Months Ended September 30,</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60"/>
              <w:spacing w:after="0" w:line="157" w:lineRule="exact"/>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center"/>
              <w:ind w:right="83"/>
              <w:spacing w:after="0" w:line="157" w:lineRule="exact"/>
              <w:rPr>
                <w:sz w:val="20"/>
                <w:szCs w:val="20"/>
                <w:color w:val="auto"/>
              </w:rPr>
            </w:pPr>
            <w:r>
              <w:rPr>
                <w:rFonts w:ascii="Arial" w:cs="Arial" w:eastAsia="Arial" w:hAnsi="Arial"/>
                <w:sz w:val="14"/>
                <w:szCs w:val="14"/>
                <w:b w:val="1"/>
                <w:bCs w:val="1"/>
                <w:color w:val="auto"/>
              </w:rPr>
              <w:t>Medical</w:t>
            </w:r>
          </w:p>
        </w:tc>
        <w:tc>
          <w:tcPr>
            <w:tcW w:w="120" w:type="dxa"/>
            <w:vAlign w:val="bottom"/>
          </w:tcPr>
          <w:p>
            <w:pPr>
              <w:spacing w:after="0"/>
              <w:rPr>
                <w:sz w:val="13"/>
                <w:szCs w:val="13"/>
                <w:color w:val="auto"/>
              </w:rPr>
            </w:pP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160" w:type="dxa"/>
            <w:vAlign w:val="bottom"/>
          </w:tcPr>
          <w:p>
            <w:pPr>
              <w:spacing w:after="0"/>
              <w:rPr>
                <w:sz w:val="13"/>
                <w:szCs w:val="13"/>
                <w:color w:val="auto"/>
              </w:rPr>
            </w:pPr>
          </w:p>
        </w:tc>
        <w:tc>
          <w:tcPr>
            <w:tcW w:w="980" w:type="dxa"/>
            <w:vAlign w:val="bottom"/>
            <w:gridSpan w:val="2"/>
          </w:tcPr>
          <w:p>
            <w:pPr>
              <w:ind w:left="60"/>
              <w:spacing w:after="0" w:line="157" w:lineRule="exact"/>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center"/>
              <w:ind w:right="123"/>
              <w:spacing w:after="0" w:line="157" w:lineRule="exact"/>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3"/>
                <w:szCs w:val="13"/>
                <w:color w:val="auto"/>
              </w:rPr>
            </w:pPr>
          </w:p>
        </w:tc>
        <w:tc>
          <w:tcPr>
            <w:tcW w:w="11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840" w:type="dxa"/>
            <w:vAlign w:val="bottom"/>
          </w:tcPr>
          <w:p>
            <w:pPr>
              <w:jc w:val="center"/>
              <w:ind w:right="83"/>
              <w:spacing w:after="0"/>
              <w:rPr>
                <w:sz w:val="20"/>
                <w:szCs w:val="20"/>
                <w:color w:val="auto"/>
              </w:rPr>
            </w:pPr>
            <w:r>
              <w:rPr>
                <w:rFonts w:ascii="Arial" w:cs="Arial" w:eastAsia="Arial" w:hAnsi="Arial"/>
                <w:sz w:val="14"/>
                <w:szCs w:val="14"/>
                <w:b w:val="1"/>
                <w:bCs w:val="1"/>
                <w:color w:val="auto"/>
              </w:rPr>
              <w:t>Margin</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840" w:type="dxa"/>
            <w:vAlign w:val="bottom"/>
          </w:tcPr>
          <w:p>
            <w:pPr>
              <w:jc w:val="center"/>
              <w:ind w:right="123"/>
              <w:spacing w:after="0"/>
              <w:rPr>
                <w:sz w:val="20"/>
                <w:szCs w:val="20"/>
                <w:color w:val="auto"/>
              </w:rPr>
            </w:pPr>
            <w:r>
              <w:rPr>
                <w:rFonts w:ascii="Arial" w:cs="Arial" w:eastAsia="Arial" w:hAnsi="Arial"/>
                <w:sz w:val="14"/>
                <w:szCs w:val="14"/>
                <w:b w:val="1"/>
                <w:bCs w:val="1"/>
                <w:color w:val="auto"/>
              </w:rPr>
              <w:t>Margin</w:t>
            </w: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7,668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90.5 %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6,711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752</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88.8 %</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Medicare</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1,367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142</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1,032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78</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659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73.0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104</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10"/>
        </w:trPr>
        <w:tc>
          <w:tcPr>
            <w:tcW w:w="432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9,694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89.2 %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8,240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934</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88.7 %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4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center"/>
              <w:ind w:right="83"/>
              <w:spacing w:after="0"/>
              <w:rPr>
                <w:sz w:val="20"/>
                <w:szCs w:val="20"/>
                <w:color w:val="auto"/>
              </w:rPr>
            </w:pPr>
            <w:r>
              <w:rPr>
                <w:rFonts w:ascii="Arial" w:cs="Arial" w:eastAsia="Arial" w:hAnsi="Arial"/>
                <w:sz w:val="14"/>
                <w:szCs w:val="14"/>
                <w:b w:val="1"/>
                <w:bCs w:val="1"/>
                <w:color w:val="auto"/>
              </w:rPr>
              <w:t>Medical</w:t>
            </w:r>
          </w:p>
        </w:tc>
        <w:tc>
          <w:tcPr>
            <w:tcW w:w="120" w:type="dxa"/>
            <w:vAlign w:val="bottom"/>
          </w:tcPr>
          <w:p>
            <w:pPr>
              <w:spacing w:after="0"/>
              <w:rPr>
                <w:sz w:val="13"/>
                <w:szCs w:val="13"/>
                <w:color w:val="auto"/>
              </w:rPr>
            </w:pP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16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center"/>
              <w:ind w:right="123"/>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3"/>
                <w:szCs w:val="13"/>
                <w:color w:val="auto"/>
              </w:rPr>
            </w:pPr>
          </w:p>
        </w:tc>
        <w:tc>
          <w:tcPr>
            <w:tcW w:w="11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840" w:type="dxa"/>
            <w:vAlign w:val="bottom"/>
          </w:tcPr>
          <w:p>
            <w:pPr>
              <w:jc w:val="center"/>
              <w:ind w:right="83"/>
              <w:spacing w:after="0"/>
              <w:rPr>
                <w:sz w:val="20"/>
                <w:szCs w:val="20"/>
                <w:color w:val="auto"/>
              </w:rPr>
            </w:pPr>
            <w:r>
              <w:rPr>
                <w:rFonts w:ascii="Arial" w:cs="Arial" w:eastAsia="Arial" w:hAnsi="Arial"/>
                <w:sz w:val="14"/>
                <w:szCs w:val="14"/>
                <w:b w:val="1"/>
                <w:bCs w:val="1"/>
                <w:color w:val="auto"/>
              </w:rPr>
              <w:t>Margin</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840" w:type="dxa"/>
            <w:vAlign w:val="bottom"/>
          </w:tcPr>
          <w:p>
            <w:pPr>
              <w:jc w:val="center"/>
              <w:ind w:right="123"/>
              <w:spacing w:after="0"/>
              <w:rPr>
                <w:sz w:val="20"/>
                <w:szCs w:val="20"/>
                <w:color w:val="auto"/>
              </w:rPr>
            </w:pPr>
            <w:r>
              <w:rPr>
                <w:rFonts w:ascii="Arial" w:cs="Arial" w:eastAsia="Arial" w:hAnsi="Arial"/>
                <w:sz w:val="14"/>
                <w:szCs w:val="14"/>
                <w:b w:val="1"/>
                <w:bCs w:val="1"/>
                <w:color w:val="auto"/>
              </w:rPr>
              <w:t>Margin</w:t>
            </w: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22,538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2,188</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90.3 %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19,545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2,242</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88.5 %</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Medicare</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4,250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522</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3,122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317</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1,856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72.6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393</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10"/>
        </w:trPr>
        <w:tc>
          <w:tcPr>
            <w:tcW w:w="432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28,644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3,219</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88.8 %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24,167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2,952</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87.8 %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Medicaid premium revenue increased $957 million, or 14%, in the third quarter of 2024, when compared with the third quarter of 2023. Medicaid premium revenue increased $3.0 billion, or 15%, in the nine months ended September 30, 2024, when compared with the nine months ended September 30, 2023. The higher premium revenue reflects new contract wins in Iowa (commenced in July 2023), Nebraska (commenced in January 2024), and New Mexico (commenced in July 2024), expansions in California and Texas that commenced in January 2024, and September 2024, respectively, and the My Choice acquisition that closed in September 2023. These increases were partially offset by the impact of Medicaid redeterminations.</w:t>
      </w:r>
    </w:p>
    <w:p>
      <w:pPr>
        <w:spacing w:after="0" w:line="7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medical margin in our Medicaid program decreased $22 million, or 3%, in the third quarter of 2024 when compared with the third quarter of 2023, and decreased $ 54 million, or 2%, in the nine months ended September 30, 2024 when compared with the nine months ended September 30, 2023. The decrease in both periods was driven by an increase in the MCR, as discussed below, partially offset by the impact of increased premium revenues and margin associated with the membership growth discussed above.</w:t>
      </w:r>
    </w:p>
    <w:p>
      <w:pPr>
        <w:spacing w:after="0" w:line="6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Medicaid MCR increased 170 basis points to 90.5% in the third quarter of 2024, from 88.8% in the third quarter of 2023, and increased 180 basis points to 90.3% in the nine months ended September 30, 2024, from 88.5% in the nine months ended September 30, 2023. The increase for both periods was mainly attributable to higher than expected medical costs in our legacy portfolio from the continued impact of redetermination-related acuity shifts and higher utilization among our continuing population, particularly for LTSS, pharmacy, and behavioral health services. The increase is also driven by the higher initial MCR associated with the start of new contracts, the My Choice acquisition, and a short-term disparity in timing between premium rates and medical trend. Additionally, the MCR in the third quarter included a 50 basis point impact from a premium rate reduction retroactive to January 1, 2024 in our California business. For the nine months ended September 30, 2024, the MCR was impacted by 40 basis points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from retroactive premium rate reductions in our California business, including the intra-year adjustment mentioned above and the prior year adjustment recognized in the second quarter of 2024. The increases in both periods were partially offset by minimum MLR and medical cost corridors, on-cycle and off-cycle rate adjustments that went into effect in several states during the quarter, and medical cost management.</w:t>
      </w:r>
    </w:p>
    <w:p>
      <w:pPr>
        <w:spacing w:after="0" w:line="1" w:lineRule="exact"/>
        <w:rPr>
          <w:sz w:val="20"/>
          <w:szCs w:val="20"/>
          <w:color w:val="auto"/>
        </w:rPr>
      </w:pPr>
    </w:p>
    <w:p>
      <w:pPr>
        <w:ind w:right="1480"/>
        <w:spacing w:after="0" w:line="365" w:lineRule="auto"/>
        <w:rPr>
          <w:sz w:val="20"/>
          <w:szCs w:val="20"/>
          <w:color w:val="auto"/>
        </w:rPr>
      </w:pPr>
      <w:r>
        <w:rPr>
          <w:rFonts w:ascii="Arial" w:cs="Arial" w:eastAsia="Arial" w:hAnsi="Arial"/>
          <w:sz w:val="18"/>
          <w:szCs w:val="18"/>
          <w:color w:val="auto"/>
        </w:rPr>
        <w:t xml:space="preserve">Excluding new contracts and the recent acquisition, our legacy Medicaid MCR in 2024 is above our long-term target range. </w:t>
      </w:r>
      <w:r>
        <w:rPr>
          <w:rFonts w:ascii="Arial" w:cs="Arial" w:eastAsia="Arial" w:hAnsi="Arial"/>
          <w:sz w:val="18"/>
          <w:szCs w:val="18"/>
          <w:b w:val="1"/>
          <w:bCs w:val="1"/>
          <w:i w:val="1"/>
          <w:iCs w:val="1"/>
          <w:color w:val="auto"/>
        </w:rPr>
        <w:t>Medicare</w:t>
      </w:r>
    </w:p>
    <w:p>
      <w:pPr>
        <w:ind w:right="60"/>
        <w:spacing w:after="0" w:line="259" w:lineRule="auto"/>
        <w:rPr>
          <w:sz w:val="20"/>
          <w:szCs w:val="20"/>
          <w:color w:val="auto"/>
        </w:rPr>
      </w:pPr>
      <w:r>
        <w:rPr>
          <w:rFonts w:ascii="Arial" w:cs="Arial" w:eastAsia="Arial" w:hAnsi="Arial"/>
          <w:sz w:val="18"/>
          <w:szCs w:val="18"/>
          <w:color w:val="auto"/>
        </w:rPr>
        <w:t>Medicare premium revenue increased $335 million, or 32%, in the third quarter of 2024 compared to the third quarter of 2023, and increased $1,128 million, or 36%, in the nine months ended September 30, 2024 compared to the nine months ended September 30, 2023. The increases were primarily due to the Bright Health Medicare acquisition that closed on January 1, 2024, the impact of MAPD and D-SNP membership expansion and organic membership growth in existing states, and increased premiums that are more commensurate with the acuity of our population.</w:t>
      </w:r>
    </w:p>
    <w:p>
      <w:pPr>
        <w:spacing w:after="0" w:line="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medical margin for Medicare increased $64 million in the third quarter of 2024, and increased $205 million in the nine months ended September 30, 2024, when compared to the same periods in 2023. The increase in both periods was mainly due to the year-over-year growth in membership and premium revenues combined with the decrease in MCR discussed below.</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Medicare MCR decreased to 89.6% in the third quarter of 2024, or 280 basis points, compared to the third quarter of 2023, and decreased to 87.7% in the nine months ended September 30, 2024, or 210 basis points, compared to the nine months ended September 30, 2023. The decreases in each period were primarily driven by higher risk adjustment premiums that are more commensurate with the acuity of our membership, pricing and benefit design changes implemented in 2024 and operational improvements, partially offset by elevated LTSS and pharmacy costs and higher outpatient utilization. The Medicare MCR for the third quarter of 2024 is slightly above our long-term target range due to elevated LTSS and pharmacy costs and higher outpatient utilization.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Marketplace premium revenue increased $162 million in the third quarter of 2024 compared to the third quarter of 2023, and increased $356 million in the nine months ended September 30, 2024 compared to the nine months ended September 30, 2023, mainly driven by an increase in membership. Our Marketplace membership as of September 30, 2024, amounted to 410,000 members, representing an increase of 134,000 members compared to September 30, 2023, which is in line with our product and pricing strategy to achieve growth, while maintaining target margins in this segment, and membership gained from redeterminations this year.</w:t>
      </w:r>
    </w:p>
    <w:p>
      <w:pPr>
        <w:spacing w:after="0" w:line="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Marketplace medical margin increased $75 million in the third quarter of 2024 when compared with the third quarter of 2023, and increased $116 million in the nine months ended September 30, 2024 when compared with the nine months ended September 30, 2023. The increase in each period is primarily due to the growth in premiums and margin associated with the higher membership and the impact of MCR changes discussed below.</w:t>
      </w:r>
    </w:p>
    <w:p>
      <w:pPr>
        <w:spacing w:after="0" w:line="55"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The Marketplace MCR decreased to 73.0% in the third quarter of 2024, or 590 basis points, compared to 78.9% in the third quarter of 2023, and decreased to 72.6% in the nine months ended September 30, 2024, or 120 basis points, compared to 73.8% in the nine months ended September 30, 2023. The changes in both periods reflect our product and pricing strategy to achieve growth, changes in membership mix, risk adjustment premiums that are more commensurate with the acuity of our membership, and continued operational improvements. Silver metal tier products incur less MCR seasonality than bronze metal tier products due to lower deductibles. The Marketplace MCR for the nine months ended September 30, 2024 is performing better than our expectations.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Other segment includes service revenues and costs associated with long-term services and supports consultative services we provide in Wisconsin, and also includes certain corporate amounts not allocated to the Medicaid, Medicare, or Marketplace segments. Such amounts were immaterial to our consolidated results of operations for the three and nine months ended September 30, 2024 and 2023.</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LIQUIDITY, FINANCIAL CONDITION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LIQUIDITY</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We maintain liquidity at two levels: 1) the regulated health plan subsidiaries; and 2) the parent company.</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regulated health plan subsidiaries’ primary liquidity requirements include payment of medical claims and other health care services; payment of certain settlements with our state and federal customers, such as minimum medical loss ratio and risk corridors and Marketplace risk transfers on behalf of CMS; general and administrative costs directly incurred or paid through an administrative services agreement to the parent company; and federal tax payments to the parent company under an intercompany tax sharing agreement. Our regulated health plan subsidiaries meet their liquidity needs by generating cash flows from operating activities, primarily from premium revenue; cash flows from investing activities, including investment income and sales of investments; and capital contributions received from our parent company.</w:t>
      </w:r>
    </w:p>
    <w:p>
      <w:pPr>
        <w:spacing w:after="0" w:line="7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regulated health plan subsidiaries are each subject to applicable state regulations that, among other things, require the maintenance of minimum levels of capital and surplus. We continue to maintain levels of aggregate excess statutory capital and surplus in our regulated health plan subsidiaries that we believe are appropriate. See further discussion under “Regulatory Capital and Dividend Restrictions” below. When available and as permitted by applicable regulations, cash in excess of the capital needs of our regulated health plan subsidiaries is generally paid in the form of dividends to our parent company to be used for general corporate purposes. In the third quarter and the nine months ended September 30, 2024, the parent company received $385 million and $670 million, respectively, in dividends and return of capital from the regulated health plan subsidiaries. See further discussion of dividends below in “Future Sources and Uses of Liquidity— Future Sources.”</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Parent company liquidity requirements generally consist of payment of administrative costs not directly incurred by our regulated operations, including, but not limited to, staffing costs, lease payments, branding and certain information technology services; capital contributions paid to our regulated health plan subsidiaries, including funding for newer health plans; capital expenditures; debt service; funding for common stock purchases, acquisitions and other growth-related activities; and federal tax payments. In the third quarter and nine months ended September 30, 2024, the parent company contributed capital in the aggregate amount of $70 million and $345 million, respectively, to our regulated health plan subsidiaries to satisfy statutory capital and surplus requirements and to fund growth in California health plans acquired in the Bright Health Medicare acquisition and our Iowa and Nebraska health plans. Our parent company normally meets its liquidity requirements from administrative services fees earned under administrative services agreements; dividends received from our regulated subsidiaries; federal tax payments collected from the regulated subsidiaries; proceeds received from the issuance of debt and equity securities; and cash flows from investing activities, including investment income and sales of investments.</w:t>
      </w:r>
    </w:p>
    <w:p>
      <w:pPr>
        <w:spacing w:after="0" w:line="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Cash, cash equivalents and investments at the parent company amounted to $195 million and $742 million as of September 30, 2024, and December 31, 2023, respectively. The decrease as of September 30, 2024, was primarily due to funding our Bright Health Medicare acquisition for $441 million, the purchase of approximately 1.5 million shares of our stock for $500 million in the third quarter of 2024 and capital contributions to regulated health plan subsidiaries, partially offset by the timing of corporate payments, and dividends received from regulated health plan subsidiaries and net proceeds of $150 million from borrowings under the Credit Facility.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15 years, or less than 15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7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overall rating of our portfolio is AA-. Our investment policy has directives in conjunction with state guidelines to minimize risks and exposures in volatile markets. Additionally, our portfolio managers assist us in navigating the current volatility in the capital markets.</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Our restricted investments are invested principally in cash, cash equivalents, U.S. Treasury securities, and corporate debt securities; we have the ability to hold such restricted investments until maturity. All of our unrestricted investments are classified as current assets.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as follows: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center"/>
              <w:ind w:left="1"/>
              <w:spacing w:after="0"/>
              <w:rPr>
                <w:sz w:val="20"/>
                <w:szCs w:val="20"/>
                <w:color w:val="auto"/>
              </w:rPr>
            </w:pPr>
            <w:r>
              <w:rPr>
                <w:rFonts w:ascii="Arial" w:cs="Arial" w:eastAsia="Arial" w:hAnsi="Arial"/>
                <w:sz w:val="14"/>
                <w:szCs w:val="14"/>
                <w:b w:val="1"/>
                <w:bCs w:val="1"/>
                <w:color w:val="auto"/>
              </w:rPr>
              <w:t>Nine Months Ended September 30,</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2,352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w:t>
            </w:r>
          </w:p>
        </w:tc>
        <w:tc>
          <w:tcPr>
            <w:tcW w:w="0" w:type="dxa"/>
            <w:vAlign w:val="bottom"/>
          </w:tcPr>
          <w:p>
            <w:pPr>
              <w:spacing w:after="0"/>
              <w:rPr>
                <w:sz w:val="1"/>
                <w:szCs w:val="1"/>
                <w:color w:val="auto"/>
              </w:rPr>
            </w:pPr>
          </w:p>
        </w:tc>
      </w:tr>
      <w:tr>
        <w:trPr>
          <w:trHeight w:val="215"/>
        </w:trPr>
        <w:tc>
          <w:tcPr>
            <w:tcW w:w="66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142"/>
        </w:trPr>
        <w:tc>
          <w:tcPr>
            <w:tcW w:w="6680" w:type="dxa"/>
            <w:vAlign w:val="bottom"/>
          </w:tcPr>
          <w:p>
            <w:pPr>
              <w:ind w:left="140"/>
              <w:spacing w:after="0" w:line="142" w:lineRule="exact"/>
              <w:rPr>
                <w:sz w:val="20"/>
                <w:szCs w:val="20"/>
                <w:color w:val="auto"/>
              </w:rPr>
            </w:pPr>
            <w:r>
              <w:rPr>
                <w:rFonts w:ascii="Arial" w:cs="Arial" w:eastAsia="Arial" w:hAnsi="Arial"/>
                <w:sz w:val="16"/>
                <w:szCs w:val="16"/>
                <w:color w:val="auto"/>
              </w:rPr>
              <w:t>Net (decrease) increase in cash, cash equivalents, and restricted cash and cash</w:t>
            </w:r>
          </w:p>
        </w:tc>
        <w:tc>
          <w:tcPr>
            <w:tcW w:w="940" w:type="dxa"/>
            <w:vAlign w:val="bottom"/>
            <w:vMerge w:val="restart"/>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2"/>
                <w:szCs w:val="12"/>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2"/>
              <w:spacing w:after="0"/>
              <w:rPr>
                <w:sz w:val="20"/>
                <w:szCs w:val="20"/>
                <w:color w:val="auto"/>
              </w:rPr>
            </w:pPr>
            <w:r>
              <w:rPr>
                <w:rFonts w:ascii="Arial" w:cs="Arial" w:eastAsia="Arial" w:hAnsi="Arial"/>
                <w:sz w:val="16"/>
                <w:szCs w:val="16"/>
                <w:color w:val="auto"/>
              </w:rPr>
              <w:t>1,572</w:t>
            </w:r>
          </w:p>
        </w:tc>
        <w:tc>
          <w:tcPr>
            <w:tcW w:w="100" w:type="dxa"/>
            <w:vAlign w:val="bottom"/>
          </w:tcPr>
          <w:p>
            <w:pPr>
              <w:spacing w:after="0"/>
              <w:rPr>
                <w:sz w:val="12"/>
                <w:szCs w:val="12"/>
                <w:color w:val="auto"/>
              </w:rPr>
            </w:pPr>
          </w:p>
        </w:tc>
        <w:tc>
          <w:tcPr>
            <w:tcW w:w="42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(1,601)</w:t>
            </w:r>
          </w:p>
        </w:tc>
        <w:tc>
          <w:tcPr>
            <w:tcW w:w="0" w:type="dxa"/>
            <w:vAlign w:val="bottom"/>
          </w:tcPr>
          <w:p>
            <w:pPr>
              <w:spacing w:after="0"/>
              <w:rPr>
                <w:sz w:val="1"/>
                <w:szCs w:val="1"/>
                <w:color w:val="auto"/>
              </w:rPr>
            </w:pPr>
          </w:p>
        </w:tc>
      </w:tr>
      <w:tr>
        <w:trPr>
          <w:trHeight w:val="194"/>
        </w:trPr>
        <w:tc>
          <w:tcPr>
            <w:tcW w:w="6680" w:type="dxa"/>
            <w:vAlign w:val="bottom"/>
          </w:tcPr>
          <w:p>
            <w:pPr>
              <w:ind w:left="300"/>
              <w:spacing w:after="0"/>
              <w:rPr>
                <w:sz w:val="20"/>
                <w:szCs w:val="20"/>
                <w:color w:val="auto"/>
              </w:rPr>
            </w:pPr>
            <w:r>
              <w:rPr>
                <w:rFonts w:ascii="Arial" w:cs="Arial" w:eastAsia="Arial" w:hAnsi="Arial"/>
                <w:sz w:val="16"/>
                <w:szCs w:val="16"/>
                <w:color w:val="auto"/>
              </w:rPr>
              <w:t>equivalents</w:t>
            </w:r>
          </w:p>
        </w:tc>
        <w:tc>
          <w:tcPr>
            <w:tcW w:w="9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Net cash provided by operations for the nine months ended September 30, 2024 was $868 million, compared with $2,352 million in the nine months ended September 30, 2023. The lower cash flow in 2024 mainly results from timing differences in government receivables and payables, including Medicare and Medicaid premium prepayments benefiting the 2023 period and increased risk corridor settlement activity in 2024, and the timing benefit of income tax payments in 2023.</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in investing activities was $483 million in the nine months ended September 30, 2024, compared with $719 million used in the nine months ended September 30, 2023, an increase in cash flow of $236 million. This change in cash flow was primarily due to a $295 million net cash outflow related to the Bright Health Medicare acquisition in January 2024, and $49 million for final purchase consideration for My Choice Wisconsin, offset by the net activity of proceeds and purchases of investments, which were net purchases of $118 million in the nine months ended September 30, 2024 and net purchases of $625 million in the nine months ended September 30, 2023.</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used in financing activities was $414 million in the nine months ended September 30, 2024, compared with $61 million used in the nine months ended September 30, 2023, a decrease in cash flow of $353 million. In the nine months ended September 30, 2024, financing activity included common stock purchases of $ 500 million and $150 million in net borrowings under the Credit Facility. In addition, in the nine months ended September 30, 2024 and 2023, financing cash outflows included $57 million and $60 million, respectively, for common stock withheld to settle employee tax obligations.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FINANCIAL CONDITION</w:t>
      </w:r>
    </w:p>
    <w:p>
      <w:pPr>
        <w:spacing w:after="0" w:line="11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We believe that our cash resources, borrowing capacity available under our Amended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6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a consolidated basis, at September 30, 2024, our working capital was $4.5 billion, compared with $ 4.4 billion at December 31, 2023. At September 30, 2024, our cash and investments amounted to $9.5 billion, compared with $9.4 billion at December 31, 2023. A significant portion of our portfolio is held in cash and cash equivalents and we do not anticipate the fluctuations in the aggregate fair value of our financial assets to have a material impact on our liquidity or capital position since we intend to hold our securities to maturity. Net unrealized losses on our investments classified as current and available for sale decreased to $12 million at September 30, 2024 compared to $ 108 million at December 31, 2023. We have determined that the unrealized losses primarily resulted from fluctuating interest rates, rather than a deterioration of the creditworthiness of the issuers.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Because of the statutory restrictions that inhibit the ability of our health plan subsidiaries to transfer net assets to us, the amount of retained earnings readily available to pay dividends to our stockholders is generally limited to cash, cash equivalents and investments held by our unregulated parent. For more information, see the “Liquidity” discussion presented above.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and Dividend Restrictions</w:t>
      </w:r>
    </w:p>
    <w:p>
      <w:pPr>
        <w:spacing w:after="0" w:line="1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Each of our regulated, wholly owned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subsidiaries must comply with these regulations, they may not have the financial flexibility to transfer funds to us. Based upon current statutes and regulations, the minimum capital and surplus requirement for these subsidiaries was estimated to be approximately $2.5 billion at September 30, 2024 and $2.3 billion at December 31, 2023. The aggregate capital and surplus of our wholly owned subsidiaries was in excess of these minimum capital requirements as of both dates.</w:t>
      </w:r>
    </w:p>
    <w:p>
      <w:pPr>
        <w:spacing w:after="0" w:line="7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Under applicable regulatory requirements, the amount of dividends that may be paid by our wholly owned subsidiaries without prior approval by regulatory authorities as of September 30, 2024, was approximately $260 million in the aggregate. The subsidiaries may pay dividends over this amount, but only after approval is granted by the regulatory authorities.</w:t>
      </w:r>
    </w:p>
    <w:p>
      <w:pPr>
        <w:spacing w:after="0" w:line="6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Based on our cash and investments balances as of September 30, 2024, management believes that our regulated, wholly owned subsidiaries remain well capitalized and exceed their regulatory minimum requirements. We have the ability, and have committed to provide, additional capital to each of our health plans as necessary to ensure compliance with minimum statutory capital requirements.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Ratings</w:t>
      </w:r>
    </w:p>
    <w:p>
      <w:pPr>
        <w:spacing w:after="0" w:line="11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Each of our senior notes is rated “BB” by Standard &amp; Poor’s, and “Ba2” by Moody’s Investor Service, Inc. A downgrade in our ratings could adversely affect our borrowing capacity and increase our borrowing costs.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1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Our Amended Credit Agreement contains customary non-financial and financial covenants, including a net leverage ratio and an interest coverage ratio. Such ratios are computed as defined by the terms of the Amended Credit Agreement.</w:t>
      </w:r>
    </w:p>
    <w:p>
      <w:pPr>
        <w:spacing w:after="0" w:line="4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In addition, the indentures governing each of our outstanding senior notes contain cross-default provisions that are triggered upon default by us or any of our subsidiaries on any indebtedness in excess of the amount specified in the applicable indenture. As of September 30, 2024, we were in compliance with all financial and non-financial covenants under the Amended Credit Agreement and other long-term debt.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FUTURE SOURCES AND USES OF LIQUIDITY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w:t>
      </w:r>
    </w:p>
    <w:p>
      <w:pPr>
        <w:spacing w:after="0" w:line="115"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spacing w:after="0" w:line="6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Regulatory Developments</w:t>
      </w:r>
      <w:r>
        <w:rPr>
          <w:rFonts w:ascii="Arial" w:cs="Arial" w:eastAsia="Arial" w:hAnsi="Arial"/>
          <w:sz w:val="18"/>
          <w:szCs w:val="18"/>
          <w:color w:val="auto"/>
        </w:rPr>
        <w:t>. Excluding acquisitions and our exit from Puerto Rico, we estimate we added approximately one million new</w:t>
      </w:r>
      <w:r>
        <w:rPr>
          <w:rFonts w:ascii="Arial" w:cs="Arial" w:eastAsia="Arial" w:hAnsi="Arial"/>
          <w:sz w:val="18"/>
          <w:szCs w:val="18"/>
          <w:i w:val="1"/>
          <w:iCs w:val="1"/>
          <w:color w:val="auto"/>
        </w:rPr>
        <w:t xml:space="preserve"> </w:t>
      </w:r>
      <w:r>
        <w:rPr>
          <w:rFonts w:ascii="Arial" w:cs="Arial" w:eastAsia="Arial" w:hAnsi="Arial"/>
          <w:sz w:val="18"/>
          <w:szCs w:val="18"/>
          <w:color w:val="auto"/>
        </w:rPr>
        <w:t>Medicaid members since March 31, 2020, when we first began to report on the impacts of the pandemic. We believe this membership increase was mainly due to the suspension of redeterminations for Medicaid eligibility. The Consolidated Appropriations Act of 2023 authorized states to resume redeterminations and terminate coverage for ineligible enrollees starting on April 1, 2023, irrespective of the status of the PHE. Consequently, during the third quarter of 2023, all states in which we operate had begun disenrolling members. In the third quarter of 2024, we estimate we lost approximately 50,000 members due to the net effect of redeterminations. This was on track with our expectations and brings the total count of members lost through redeterminations to 700,000, and we expect reconnects will continue, resulting in net membership additions of 50,000 in the fourth quarter of 2024. Although the medical cost profile of members who have been disenrolled is more favorable than the Medicaid segment average, when combined with the beneficial impact of corridor offsets and rates in several states, our Medicaid MCR for the nine months ended September 30, 2024 was in line with our expectations. Based on the experience to date, we expect that we will ultimately retain approximately 35% of the membership gained since March 31, 2020.</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w:t>
      </w:r>
    </w:p>
    <w:p>
      <w:pPr>
        <w:spacing w:after="0" w:line="4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Credit Agreement Borrowing Capacity. </w:t>
      </w:r>
      <w:r>
        <w:rPr>
          <w:rFonts w:ascii="Arial" w:cs="Arial" w:eastAsia="Arial" w:hAnsi="Arial"/>
          <w:sz w:val="18"/>
          <w:szCs w:val="18"/>
          <w:color w:val="auto"/>
        </w:rPr>
        <w:t>On September 20, 2024, we entered into a Second Amendment to our credit agreement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Credit Agreement”), which, among other things, increased available commitments under our revolving credit facility (“Credit Facility”) to $1.25 billion, and extended the termination date of lending commitments to September 20, 2029. The Amended Credit Agreement also provides for a $15 million swingline sub-facility and a $100 million letter of credit sub-facility, as well as incremental term loans available to finance certain acquisitions up to $800 million, plus an unlimited amount of such term loans as long as we maintain a minimum consolidated net leverage ratio. As of September 30, 2024, we had available borrowing capacity of $1.1 billion under the Amended Credit Agreement. See further discussion in the Notes to Consolidated Financial Statements, Note 8, “Debt.”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Common Stock Purchases. </w:t>
      </w:r>
      <w:r>
        <w:rPr>
          <w:rFonts w:ascii="Arial" w:cs="Arial" w:eastAsia="Arial" w:hAnsi="Arial"/>
          <w:sz w:val="18"/>
          <w:szCs w:val="18"/>
          <w:color w:val="auto"/>
        </w:rPr>
        <w:t>In October 2024, our board of directors authorized the purchase of up to $1 billion of our common stock. This</w:t>
      </w:r>
      <w:r>
        <w:rPr>
          <w:rFonts w:ascii="Arial" w:cs="Arial" w:eastAsia="Arial" w:hAnsi="Arial"/>
          <w:sz w:val="18"/>
          <w:szCs w:val="18"/>
          <w:i w:val="1"/>
          <w:iCs w:val="1"/>
          <w:color w:val="auto"/>
        </w:rPr>
        <w:t xml:space="preserve"> </w:t>
      </w:r>
      <w:r>
        <w:rPr>
          <w:rFonts w:ascii="Arial" w:cs="Arial" w:eastAsia="Arial" w:hAnsi="Arial"/>
          <w:sz w:val="18"/>
          <w:szCs w:val="18"/>
          <w:color w:val="auto"/>
        </w:rPr>
        <w:t>new program extends through December 31, 2025 and supersedes the stock purchase program previously approved by our board of directors in September 2023. The exact timing and amount of any repurchase is determined by management based on market conditions and share price, in addition to other factors, and repurchases generally will be made in accordance with the volume, price, and timing parameters under Rule 10b-18 of the Securities Exchange Act of 1934, as amended. No shares have been repurchased under this program.</w:t>
      </w:r>
    </w:p>
    <w:p>
      <w:pPr>
        <w:spacing w:after="0" w:line="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Acquisitions. Connecticut Acquisition—Marketplace and Medicare. </w:t>
      </w:r>
      <w:r>
        <w:rPr>
          <w:rFonts w:ascii="Arial" w:cs="Arial" w:eastAsia="Arial" w:hAnsi="Arial"/>
          <w:sz w:val="18"/>
          <w:szCs w:val="18"/>
          <w:color w:val="auto"/>
        </w:rPr>
        <w:t>On July 23, 2024, we announced a definitive agreement to acquire</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ConnectiCare Holding Company, Inc. (“ConnectiCare”), a wholly owned subsidiary of EmblemHealth, Inc. ConnectiCare is a leading health plan in the state of Connecticut serving members across Marketplace, Medicare, and certain commercial products. The purchase price for the transaction is approximately $350 million, which we intend to fund with cash on hand. The transaction is subject to applicable federal and state regulatory approvals and the satisfaction of other customary closing conditions. We currently expect the transaction to close in the first quarter of 2025.</w:t>
      </w:r>
    </w:p>
    <w:p>
      <w:pPr>
        <w:spacing w:after="0" w:line="7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i w:val="1"/>
          <w:iCs w:val="1"/>
          <w:color w:val="auto"/>
        </w:rPr>
        <w:t xml:space="preserve">Regulatory Capital Requirements and Dividend Restrictions. </w:t>
      </w:r>
      <w:r>
        <w:rPr>
          <w:rFonts w:ascii="Arial" w:cs="Arial" w:eastAsia="Arial" w:hAnsi="Arial"/>
          <w:sz w:val="18"/>
          <w:szCs w:val="18"/>
          <w:color w:val="auto"/>
        </w:rPr>
        <w:t>We have the ability, and have committed to provide, additional capital to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our health plans as necessary to ensure compliance with minimum statutory capital requirements.</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CONTRACTUAL OBLIGATIONS</w:t>
      </w:r>
    </w:p>
    <w:p>
      <w:pPr>
        <w:spacing w:after="0" w:line="10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 summary of future obligations under our various contractual obligations and commitments as of December 31, 2023 was disclosed in our 2023 Annual Report on Form 10-K.</w:t>
      </w:r>
    </w:p>
    <w:p>
      <w:pPr>
        <w:spacing w:after="0" w:line="4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There were no significant changes to our contractual obligations and commitments outside the ordinary course of business during the nine months ended September 30, 2024.</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CRITICAL ACCOUNTING ESTIMATES</w:t>
      </w:r>
    </w:p>
    <w:p>
      <w:pPr>
        <w:spacing w:after="0" w:line="10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When we prepare our consolidated financial statements, we use estimates based on assumptions that may affect reported amounts and disclosures; actual results could differ from these estimates. Our critical accounting estimates relate to:</w:t>
      </w:r>
    </w:p>
    <w:p>
      <w:pPr>
        <w:spacing w:after="0" w:line="45" w:lineRule="exact"/>
        <w:rPr>
          <w:sz w:val="20"/>
          <w:szCs w:val="20"/>
          <w:color w:val="auto"/>
        </w:rPr>
      </w:pPr>
    </w:p>
    <w:p>
      <w:pPr>
        <w:ind w:left="660" w:right="100" w:hanging="328"/>
        <w:spacing w:after="0" w:line="278" w:lineRule="auto"/>
        <w:tabs>
          <w:tab w:leader="none" w:pos="65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Medical costs, claims and benefits payable</w:t>
      </w:r>
      <w:r>
        <w:rPr>
          <w:rFonts w:ascii="Arial" w:cs="Arial" w:eastAsia="Arial" w:hAnsi="Arial"/>
          <w:sz w:val="17"/>
          <w:szCs w:val="17"/>
          <w:color w:val="auto"/>
        </w:rPr>
        <w:t>. Refer to Notes to Consolidated Financial Statements, Note 7, “Medical Claims and</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Payable,” for a table that 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in the nine months ended September 30, 2024 there were no significant changes to our disclosure reported in “Critical Accounting Estimates” in our 2023 Annual Report on Form 10-K.</w:t>
      </w:r>
    </w:p>
    <w:p>
      <w:pPr>
        <w:spacing w:after="0" w:line="55" w:lineRule="exact"/>
        <w:rPr>
          <w:rFonts w:ascii="Arial" w:cs="Arial" w:eastAsia="Arial" w:hAnsi="Arial"/>
          <w:sz w:val="17"/>
          <w:szCs w:val="17"/>
          <w:i w:val="1"/>
          <w:iCs w:val="1"/>
          <w:color w:val="auto"/>
        </w:rPr>
      </w:pPr>
    </w:p>
    <w:p>
      <w:pPr>
        <w:ind w:left="660" w:right="10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Premium Revenue Recognition and Amounts Due Government Agencies: Risk Adjustment</w:t>
      </w:r>
      <w:r>
        <w:rPr>
          <w:rFonts w:ascii="Arial" w:cs="Arial" w:eastAsia="Arial" w:hAnsi="Arial"/>
          <w:sz w:val="18"/>
          <w:szCs w:val="18"/>
          <w:color w:val="auto"/>
        </w:rPr>
        <w:t>. For a discussion of this topic,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recorded in our consolidated financial statements, refer to Notes to Consolidated Financial Statements, Note 2,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40" w:hanging="328"/>
        <w:spacing w:after="0" w:line="262" w:lineRule="auto"/>
        <w:tabs>
          <w:tab w:leader="none" w:pos="6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Business Combinations, and Goodwill and intangible assets, net. </w:t>
      </w:r>
      <w:r>
        <w:rPr>
          <w:rFonts w:ascii="Arial" w:cs="Arial" w:eastAsia="Arial" w:hAnsi="Arial"/>
          <w:sz w:val="18"/>
          <w:szCs w:val="18"/>
          <w:color w:val="auto"/>
        </w:rPr>
        <w:t>For a discussion of this topic, including amounts recorded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refer to Notes to Consolidated Financial Statements, Note 4, “Business Combinations.” Other than the discussion as noted above, in the nine months ended September 30, 2024, there were no significant changes to our disclosure reported in “Critical Accounting Estimates” in our 2023 Annual Report on Form 10-K.</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QUANTITATIVE AND QUALITATIVE DISCLOSURES ABOUT MARKET RISK</w:t>
      </w:r>
    </w:p>
    <w:p>
      <w:pPr>
        <w:spacing w:after="0" w:line="10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4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Substantially all of our investments and restricted investments are subject to interest rate risk and will decrease in value if market interest rates increase. Assuming a hypothetical and immediate 1% increase in market interest rates at September 30, 2024, the fair value of our fixed income investments would decrease by approximately $117 million. Declines in interest rates over time will reduce our investment income.</w:t>
      </w:r>
    </w:p>
    <w:p>
      <w:pPr>
        <w:spacing w:after="0" w:line="6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For further information on fair value measurements and our investment portfolio, please refer to Notes to Consolidated Financial Statements, Note 5, “Fair Value Measurements,” and Note 6, “Investments.”</w:t>
      </w:r>
    </w:p>
    <w:p>
      <w:pPr>
        <w:spacing w:after="0" w:line="4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Borrowings under the Amended Credit Agreement bear interest based, at our election, on a base rate or other defined rate, plus in each case, the applicable margin. For further information, see Notes to Consolidated Financial Statements, Note 8, “Debt.”</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CONTROLS AND PROCEDURES</w:t>
      </w:r>
    </w:p>
    <w:p>
      <w:pPr>
        <w:spacing w:after="0" w:line="10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evaluated, as of the end of the period covered by this Quarterly Report on Form 10-Q, the effectiveness of our disclosure controls and procedures (as defined in Rules 13a-15(e) and 15d-15(e) under the Securities Exchange Act). Based on that evaluation, our chief executive officer and chief financial officer concluded that, as of September 30, 2024, our disclosure controls and procedures were effective at the reasonable assurance level.</w:t>
      </w:r>
    </w:p>
    <w:p>
      <w:pPr>
        <w:spacing w:after="0" w:line="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September 30, 2024, that materially affected, or are reasonably likely to materially affect, our internal controls over financial reporting.</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Notes to Consolidated Financial Statements, Note 11, “Commitments and Contingencies.”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RISK FACTORS</w:t>
      </w:r>
    </w:p>
    <w:p>
      <w:pPr>
        <w:spacing w:after="0" w:line="108"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color w:val="auto"/>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discussed under the caption “Risk Factors,” in our 2023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UNREGISTERED SALES OF EQUITY SECURITIES AND USE OF PROCEEDS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ISSUER PURCHASES OF EQUITY SECURITIES</w:t>
      </w:r>
    </w:p>
    <w:p>
      <w:pPr>
        <w:spacing w:after="0" w:line="11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Purchases of common stock made by us, or on our behalf, during the third quarter of 2024, including shares withheld by us to satisfy our employees’ income tax obligations, are set forth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4"/>
                <w:szCs w:val="14"/>
                <w:color w:val="auto"/>
              </w:rPr>
            </w:pPr>
          </w:p>
        </w:tc>
        <w:tc>
          <w:tcPr>
            <w:tcW w:w="2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w:t>
            </w:r>
          </w:p>
        </w:tc>
        <w:tc>
          <w:tcPr>
            <w:tcW w:w="1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Average Price Paid</w:t>
            </w: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Announced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rPr>
              <w:t>of Shares that May Yet</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Plans or</w:t>
            </w:r>
          </w:p>
        </w:tc>
        <w:tc>
          <w:tcPr>
            <w:tcW w:w="100" w:type="dxa"/>
            <w:vAlign w:val="bottom"/>
          </w:tcPr>
          <w:p>
            <w:pPr>
              <w:spacing w:after="0"/>
              <w:rPr>
                <w:sz w:val="14"/>
                <w:szCs w:val="14"/>
                <w:color w:val="auto"/>
              </w:rPr>
            </w:pPr>
          </w:p>
        </w:tc>
        <w:tc>
          <w:tcPr>
            <w:tcW w:w="202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Be Purchased Under the</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38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per Share</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Programs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right"/>
              <w:ind w:right="119"/>
              <w:spacing w:after="0" w:line="216" w:lineRule="exact"/>
              <w:rPr>
                <w:sz w:val="20"/>
                <w:szCs w:val="20"/>
                <w:color w:val="auto"/>
              </w:rPr>
            </w:pPr>
            <w:r>
              <w:rPr>
                <w:rFonts w:ascii="Arial" w:cs="Arial" w:eastAsia="Arial" w:hAnsi="Arial"/>
                <w:sz w:val="16"/>
                <w:szCs w:val="16"/>
                <w:b w:val="1"/>
                <w:bCs w:val="1"/>
                <w:color w:val="auto"/>
              </w:rPr>
              <w:t xml:space="preserve">Plans or Programs </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July 1 - July 31</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292.16</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750,000,000</w:t>
            </w:r>
          </w:p>
        </w:tc>
        <w:tc>
          <w:tcPr>
            <w:tcW w:w="0" w:type="dxa"/>
            <w:vAlign w:val="bottom"/>
          </w:tcPr>
          <w:p>
            <w:pPr>
              <w:spacing w:after="0"/>
              <w:rPr>
                <w:sz w:val="1"/>
                <w:szCs w:val="1"/>
                <w:color w:val="auto"/>
              </w:rPr>
            </w:pPr>
          </w:p>
        </w:tc>
      </w:tr>
      <w:tr>
        <w:trPr>
          <w:trHeight w:val="215"/>
        </w:trPr>
        <w:tc>
          <w:tcPr>
            <w:tcW w:w="4080" w:type="dxa"/>
            <w:vAlign w:val="bottom"/>
          </w:tcPr>
          <w:p>
            <w:pPr>
              <w:ind w:left="20"/>
              <w:spacing w:after="0"/>
              <w:rPr>
                <w:sz w:val="20"/>
                <w:szCs w:val="20"/>
                <w:color w:val="auto"/>
              </w:rPr>
            </w:pPr>
            <w:r>
              <w:rPr>
                <w:rFonts w:ascii="Arial" w:cs="Arial" w:eastAsia="Arial" w:hAnsi="Arial"/>
                <w:sz w:val="16"/>
                <w:szCs w:val="16"/>
                <w:color w:val="auto"/>
              </w:rPr>
              <w:t>August 1 - August 31</w:t>
            </w:r>
          </w:p>
        </w:tc>
        <w:tc>
          <w:tcPr>
            <w:tcW w:w="1380" w:type="dxa"/>
            <w:vAlign w:val="bottom"/>
          </w:tcPr>
          <w:p>
            <w:pPr>
              <w:jc w:val="right"/>
              <w:spacing w:after="0"/>
              <w:rPr>
                <w:sz w:val="20"/>
                <w:szCs w:val="20"/>
                <w:color w:val="auto"/>
              </w:rPr>
            </w:pPr>
            <w:r>
              <w:rPr>
                <w:rFonts w:ascii="Arial" w:cs="Arial" w:eastAsia="Arial" w:hAnsi="Arial"/>
                <w:sz w:val="16"/>
                <w:szCs w:val="16"/>
                <w:color w:val="auto"/>
              </w:rPr>
              <w:t>886,500</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344.45</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886,500</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444,634,000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1 - September 30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578,800</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336.34</w:t>
            </w:r>
          </w:p>
        </w:tc>
        <w:tc>
          <w:tcPr>
            <w:tcW w:w="100" w:type="dxa"/>
            <w:vAlign w:val="bottom"/>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578,700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250,000,000</w:t>
            </w:r>
          </w:p>
        </w:tc>
        <w:tc>
          <w:tcPr>
            <w:tcW w:w="0" w:type="dxa"/>
            <w:vAlign w:val="bottom"/>
          </w:tcPr>
          <w:p>
            <w:pPr>
              <w:spacing w:after="0"/>
              <w:rPr>
                <w:sz w:val="1"/>
                <w:szCs w:val="1"/>
                <w:color w:val="auto"/>
              </w:rPr>
            </w:pPr>
          </w:p>
        </w:tc>
      </w:tr>
      <w:tr>
        <w:trPr>
          <w:trHeight w:val="210"/>
        </w:trPr>
        <w:tc>
          <w:tcPr>
            <w:tcW w:w="4080" w:type="dxa"/>
            <w:vAlign w:val="bottom"/>
          </w:tcPr>
          <w:p>
            <w:pPr>
              <w:ind w:left="14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1,468,000</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341.16</w:t>
            </w: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1,465,200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30" w:lineRule="exact"/>
        <w:rPr>
          <w:sz w:val="20"/>
          <w:szCs w:val="20"/>
          <w:color w:val="auto"/>
        </w:rPr>
      </w:pPr>
    </w:p>
    <w:p>
      <w:pPr>
        <w:ind w:left="340" w:right="120" w:hanging="332"/>
        <w:spacing w:after="0" w:line="254"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the third quarter of 2024, there were approximately 1,465,200 shares repurchased as part of our publicly announced share repurchase program and we withheld approximately 2,800 shares of common stock to settle employee income tax obligations for releases of awards granted under the Molina Healthcare, Inc. 2019 Equity Incentive Plan. For further information refer to Notes to Consolidated Financial Statements, Note 9, “Stockholders' Equity.”</w:t>
      </w:r>
    </w:p>
    <w:p>
      <w:pPr>
        <w:ind w:left="320" w:hanging="312"/>
        <w:spacing w:after="0"/>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further information on our stock repurchase programs, refer to Notes to Consolidated Financial Statements, Note 9, “Stockholders' Equity.”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OTHER INFORMATION</w:t>
      </w:r>
    </w:p>
    <w:p>
      <w:pPr>
        <w:spacing w:after="0" w:line="94"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jc w:val="both"/>
        <w:ind w:left="340" w:right="80" w:hanging="332"/>
        <w:spacing w:after="0" w:line="291" w:lineRule="auto"/>
        <w:tabs>
          <w:tab w:leader="none" w:pos="426"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 director or officer (as defined in 17 CFR § 240.16a-1(f)) of the Company adopted or terminated (i) any contract, instruction or written plan for the purchase or sale of securities of the Company intended to satisfy the affirmative defense conditions of Rule 10b5-1(c), or (ii) any “non-Rule 10b5-1 trading arrangement” (as defined in 17 CFR § 229.408(c)) during the three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INDEX TO EXHIBITS</w:t>
      </w:r>
    </w:p>
    <w:p>
      <w:pPr>
        <w:spacing w:after="0" w:line="158" w:lineRule="exact"/>
        <w:rPr>
          <w:sz w:val="20"/>
          <w:szCs w:val="20"/>
          <w:color w:val="auto"/>
        </w:rPr>
      </w:pPr>
    </w:p>
    <w:p>
      <w:pPr>
        <w:ind w:left="20"/>
        <w:spacing w:after="0"/>
        <w:tabs>
          <w:tab w:leader="none" w:pos="1140" w:val="left"/>
          <w:tab w:leader="none" w:pos="682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4"/>
          <w:szCs w:val="14"/>
          <w:color w:val="auto"/>
        </w:rPr>
        <w:t>Title</w:t>
      </w:r>
      <w:r>
        <w:rPr>
          <w:sz w:val="20"/>
          <w:szCs w:val="20"/>
          <w:color w:val="auto"/>
        </w:rPr>
        <w:tab/>
      </w:r>
      <w:r>
        <w:rPr>
          <w:rFonts w:ascii="Arial" w:cs="Arial" w:eastAsia="Arial" w:hAnsi="Arial"/>
          <w:sz w:val="14"/>
          <w:szCs w:val="14"/>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23495</wp:posOffset>
            </wp:positionV>
            <wp:extent cx="28117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40" w:type="dxa"/>
            <w:vAlign w:val="bottom"/>
            <w:tcBorders>
              <w:top w:val="single" w:sz="8" w:color="auto"/>
            </w:tcBorders>
          </w:tcPr>
          <w:p>
            <w:pPr>
              <w:ind w:left="20"/>
              <w:spacing w:after="0" w:line="177" w:lineRule="exact"/>
              <w:rPr>
                <w:sz w:val="20"/>
                <w:szCs w:val="20"/>
                <w:color w:val="auto"/>
              </w:rPr>
            </w:pPr>
            <w:r>
              <w:rPr>
                <w:rFonts w:ascii="Arial" w:cs="Arial" w:eastAsia="Arial" w:hAnsi="Arial"/>
                <w:sz w:val="16"/>
                <w:szCs w:val="16"/>
                <w:color w:val="auto"/>
              </w:rPr>
              <w:t>10.1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540" w:type="dxa"/>
            <w:vAlign w:val="bottom"/>
            <w:tcBorders>
              <w:top w:val="single" w:sz="8" w:color="auto"/>
            </w:tcBorders>
            <w:gridSpan w:val="16"/>
          </w:tcPr>
          <w:p>
            <w:pPr>
              <w:spacing w:after="0" w:line="177" w:lineRule="exact"/>
              <w:rPr>
                <w:rFonts w:ascii="Arial" w:cs="Arial" w:eastAsia="Arial" w:hAnsi="Arial"/>
                <w:sz w:val="16"/>
                <w:szCs w:val="16"/>
                <w:color w:val="0F7C7F"/>
              </w:rPr>
            </w:pPr>
            <w:hyperlink r:id="rId60">
              <w:r>
                <w:rPr>
                  <w:rFonts w:ascii="Arial" w:cs="Arial" w:eastAsia="Arial" w:hAnsi="Arial"/>
                  <w:sz w:val="16"/>
                  <w:szCs w:val="16"/>
                  <w:color w:val="0F7C7F"/>
                </w:rPr>
                <w:t>Performance Stock Unit Agreement, dated October 16, 2024, by and</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tcBorders>
              <w:top w:val="single" w:sz="8" w:color="0F7C7F"/>
              <w:bottom w:val="single" w:sz="8" w:color="0F7C7F"/>
            </w:tcBorders>
            <w:gridSpan w:val="4"/>
          </w:tcPr>
          <w:p>
            <w:pPr>
              <w:spacing w:after="0" w:line="142" w:lineRule="exact"/>
              <w:rPr>
                <w:rFonts w:ascii="Arial" w:cs="Arial" w:eastAsia="Arial" w:hAnsi="Arial"/>
                <w:sz w:val="16"/>
                <w:szCs w:val="16"/>
                <w:color w:val="0F7C7F"/>
              </w:rPr>
            </w:pPr>
            <w:hyperlink r:id="rId60">
              <w:r>
                <w:rPr>
                  <w:rFonts w:ascii="Arial" w:cs="Arial" w:eastAsia="Arial" w:hAnsi="Arial"/>
                  <w:sz w:val="16"/>
                  <w:szCs w:val="16"/>
                  <w:color w:val="0F7C7F"/>
                </w:rPr>
                <w:t>between Molina Healthcare, Inc. and Mark L. Keim</w:t>
              </w:r>
            </w:hyperlink>
          </w:p>
        </w:tc>
        <w:tc>
          <w:tcPr>
            <w:tcW w:w="1280" w:type="dxa"/>
            <w:vAlign w:val="bottom"/>
            <w:tcBorders>
              <w:top w:val="single" w:sz="8" w:color="0F7C7F"/>
            </w:tcBorders>
            <w:gridSpan w:val="4"/>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16"/>
          </w:tcPr>
          <w:p>
            <w:pPr>
              <w:spacing w:after="0"/>
              <w:rPr>
                <w:rFonts w:ascii="Arial" w:cs="Arial" w:eastAsia="Arial" w:hAnsi="Arial"/>
                <w:sz w:val="16"/>
                <w:szCs w:val="16"/>
                <w:color w:val="0F7C7F"/>
              </w:rPr>
            </w:pPr>
            <w:hyperlink r:id="rId61">
              <w:r>
                <w:rPr>
                  <w:rFonts w:ascii="Arial" w:cs="Arial" w:eastAsia="Arial" w:hAnsi="Arial"/>
                  <w:sz w:val="16"/>
                  <w:szCs w:val="16"/>
                  <w:color w:val="0F7C7F"/>
                </w:rPr>
                <w:t>Amendment to the Employment Agreement, dated August 19, 2024, by and</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tcBorders>
              <w:top w:val="single" w:sz="8" w:color="0F7C7F"/>
              <w:bottom w:val="single" w:sz="8" w:color="0F7C7F"/>
            </w:tcBorders>
            <w:gridSpan w:val="5"/>
          </w:tcPr>
          <w:p>
            <w:pPr>
              <w:spacing w:after="0" w:line="142" w:lineRule="exact"/>
              <w:rPr>
                <w:rFonts w:ascii="Arial" w:cs="Arial" w:eastAsia="Arial" w:hAnsi="Arial"/>
                <w:sz w:val="16"/>
                <w:szCs w:val="16"/>
                <w:color w:val="0F7C7F"/>
              </w:rPr>
            </w:pPr>
            <w:hyperlink r:id="rId61">
              <w:r>
                <w:rPr>
                  <w:rFonts w:ascii="Arial" w:cs="Arial" w:eastAsia="Arial" w:hAnsi="Arial"/>
                  <w:sz w:val="16"/>
                  <w:szCs w:val="16"/>
                  <w:color w:val="0F7C7F"/>
                </w:rPr>
                <w:t>between Molina Healthcare, Inc. and Joseph M. Zubretsky</w:t>
              </w:r>
            </w:hyperlink>
          </w:p>
        </w:tc>
        <w:tc>
          <w:tcPr>
            <w:tcW w:w="1220" w:type="dxa"/>
            <w:vAlign w:val="bottom"/>
            <w:tcBorders>
              <w:top w:val="single" w:sz="8" w:color="0F7C7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16"/>
          </w:tcPr>
          <w:p>
            <w:pPr>
              <w:spacing w:after="0"/>
              <w:rPr>
                <w:rFonts w:ascii="Arial" w:cs="Arial" w:eastAsia="Arial" w:hAnsi="Arial"/>
                <w:sz w:val="16"/>
                <w:szCs w:val="16"/>
                <w:color w:val="0F7C7F"/>
              </w:rPr>
            </w:pPr>
            <w:hyperlink r:id="rId62">
              <w:r>
                <w:rPr>
                  <w:rFonts w:ascii="Arial" w:cs="Arial" w:eastAsia="Arial" w:hAnsi="Arial"/>
                  <w:sz w:val="16"/>
                  <w:szCs w:val="16"/>
                  <w:color w:val="0F7C7F"/>
                </w:rPr>
                <w:t>Performance Stock Unit Agreement, dated August 19, 2024, by and between</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00" w:type="dxa"/>
            <w:vAlign w:val="bottom"/>
            <w:tcBorders>
              <w:top w:val="single" w:sz="8" w:color="0F7C7F"/>
            </w:tcBorders>
            <w:gridSpan w:val="14"/>
          </w:tcPr>
          <w:p>
            <w:pPr>
              <w:spacing w:after="0" w:line="142" w:lineRule="exact"/>
              <w:rPr>
                <w:rFonts w:ascii="Arial" w:cs="Arial" w:eastAsia="Arial" w:hAnsi="Arial"/>
                <w:sz w:val="16"/>
                <w:szCs w:val="16"/>
                <w:color w:val="0F7C7F"/>
              </w:rPr>
            </w:pPr>
            <w:hyperlink r:id="rId62">
              <w:r>
                <w:rPr>
                  <w:rFonts w:ascii="Arial" w:cs="Arial" w:eastAsia="Arial" w:hAnsi="Arial"/>
                  <w:sz w:val="16"/>
                  <w:szCs w:val="16"/>
                  <w:color w:val="0F7C7F"/>
                </w:rPr>
                <w:t>Molina Healthcare, Inc. and Joseph M. Zubretsky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shd w:val="clear" w:color="auto" w:fill="0F7C7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16"/>
          </w:tcPr>
          <w:p>
            <w:pPr>
              <w:spacing w:after="0"/>
              <w:rPr>
                <w:rFonts w:ascii="Arial" w:cs="Arial" w:eastAsia="Arial" w:hAnsi="Arial"/>
                <w:sz w:val="16"/>
                <w:szCs w:val="16"/>
                <w:color w:val="0F7C7F"/>
              </w:rPr>
            </w:pPr>
            <w:hyperlink r:id="rId63">
              <w:r>
                <w:rPr>
                  <w:rFonts w:ascii="Arial" w:cs="Arial" w:eastAsia="Arial" w:hAnsi="Arial"/>
                  <w:sz w:val="16"/>
                  <w:szCs w:val="16"/>
                  <w:color w:val="0F7C7F"/>
                </w:rPr>
                <w:t>Second Amendment to Credit Agreement, dated as of September 20, 2024,</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20" w:type="dxa"/>
            <w:vAlign w:val="bottom"/>
            <w:tcBorders>
              <w:top w:val="single" w:sz="8" w:color="0F7C7F"/>
            </w:tcBorders>
            <w:gridSpan w:val="13"/>
          </w:tcPr>
          <w:p>
            <w:pPr>
              <w:spacing w:after="0" w:line="142" w:lineRule="exact"/>
              <w:rPr>
                <w:rFonts w:ascii="Arial" w:cs="Arial" w:eastAsia="Arial" w:hAnsi="Arial"/>
                <w:sz w:val="16"/>
                <w:szCs w:val="16"/>
                <w:color w:val="0F7C7F"/>
              </w:rPr>
            </w:pPr>
            <w:hyperlink r:id="rId63">
              <w:r>
                <w:rPr>
                  <w:rFonts w:ascii="Arial" w:cs="Arial" w:eastAsia="Arial" w:hAnsi="Arial"/>
                  <w:sz w:val="16"/>
                  <w:szCs w:val="16"/>
                  <w:color w:val="0F7C7F"/>
                </w:rPr>
                <w:t>by and among Molina Healthcare, Inc., the Lenders party thereto and Truist</w:t>
              </w:r>
            </w:hyperlink>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80" w:type="dxa"/>
            <w:vAlign w:val="bottom"/>
            <w:tcBorders>
              <w:top w:val="single" w:sz="8" w:color="0F7C7F"/>
            </w:tcBorders>
            <w:gridSpan w:val="11"/>
          </w:tcPr>
          <w:p>
            <w:pPr>
              <w:spacing w:after="0" w:line="142" w:lineRule="exact"/>
              <w:rPr>
                <w:rFonts w:ascii="Arial" w:cs="Arial" w:eastAsia="Arial" w:hAnsi="Arial"/>
                <w:sz w:val="16"/>
                <w:szCs w:val="16"/>
                <w:color w:val="0F7C7F"/>
              </w:rPr>
            </w:pPr>
            <w:hyperlink r:id="rId63">
              <w:r>
                <w:rPr>
                  <w:rFonts w:ascii="Arial" w:cs="Arial" w:eastAsia="Arial" w:hAnsi="Arial"/>
                  <w:sz w:val="16"/>
                  <w:szCs w:val="16"/>
                  <w:color w:val="0F7C7F"/>
                </w:rPr>
                <w:t>Bank, as Administrative Agent, Issuing Bank and Swingline Lender</w:t>
              </w:r>
            </w:hyperlink>
          </w:p>
        </w:tc>
        <w:tc>
          <w:tcPr>
            <w:tcW w:w="14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top w:val="single" w:sz="8" w:color="0F7C7F"/>
            </w:tcBorders>
            <w:gridSpan w:val="6"/>
          </w:tcPr>
          <w:p>
            <w:pPr>
              <w:spacing w:after="0"/>
              <w:rPr>
                <w:sz w:val="20"/>
                <w:szCs w:val="20"/>
                <w:color w:val="auto"/>
              </w:rPr>
            </w:pPr>
            <w:r>
              <w:rPr>
                <w:rFonts w:ascii="Arial" w:cs="Arial" w:eastAsia="Arial" w:hAnsi="Arial"/>
                <w:sz w:val="16"/>
                <w:szCs w:val="16"/>
                <w:color w:val="0F7C7F"/>
              </w:rPr>
              <w:t>Section 302 Certification of Chief Executive Officer</w:t>
            </w:r>
          </w:p>
        </w:tc>
        <w:tc>
          <w:tcPr>
            <w:tcW w:w="760" w:type="dxa"/>
            <w:vAlign w:val="bottom"/>
            <w:gridSpan w:val="10"/>
          </w:tcPr>
          <w:p>
            <w:pPr>
              <w:spacing w:after="0"/>
              <w:rPr>
                <w:sz w:val="17"/>
                <w:szCs w:val="17"/>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top w:val="single" w:sz="8" w:color="0F7C7F"/>
              <w:bottom w:val="single" w:sz="8" w:color="0F7C7F"/>
            </w:tcBorders>
            <w:gridSpan w:val="2"/>
          </w:tcPr>
          <w:p>
            <w:pPr>
              <w:spacing w:after="0"/>
              <w:rPr>
                <w:sz w:val="20"/>
                <w:szCs w:val="20"/>
                <w:color w:val="auto"/>
              </w:rPr>
            </w:pPr>
            <w:r>
              <w:rPr>
                <w:rFonts w:ascii="Arial" w:cs="Arial" w:eastAsia="Arial" w:hAnsi="Arial"/>
                <w:sz w:val="16"/>
                <w:szCs w:val="16"/>
                <w:color w:val="0F7C7F"/>
              </w:rPr>
              <w:t>Section 302 Certification of Chief Financial Officer</w:t>
            </w:r>
          </w:p>
        </w:tc>
        <w:tc>
          <w:tcPr>
            <w:tcW w:w="40" w:type="dxa"/>
            <w:vAlign w:val="bottom"/>
            <w:tcBorders>
              <w:top w:val="single" w:sz="8" w:color="0F7C7F"/>
            </w:tcBorders>
          </w:tcPr>
          <w:p>
            <w:pPr>
              <w:spacing w:after="0"/>
              <w:rPr>
                <w:sz w:val="17"/>
                <w:szCs w:val="17"/>
                <w:color w:val="auto"/>
              </w:rPr>
            </w:pPr>
          </w:p>
        </w:tc>
        <w:tc>
          <w:tcPr>
            <w:tcW w:w="1920" w:type="dxa"/>
            <w:vAlign w:val="bottom"/>
            <w:gridSpan w:val="13"/>
          </w:tcPr>
          <w:p>
            <w:pPr>
              <w:spacing w:after="0"/>
              <w:rPr>
                <w:sz w:val="17"/>
                <w:szCs w:val="17"/>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16"/>
          </w:tcPr>
          <w:p>
            <w:pPr>
              <w:spacing w:after="0"/>
              <w:rPr>
                <w:sz w:val="20"/>
                <w:szCs w:val="20"/>
                <w:color w:val="auto"/>
              </w:rPr>
            </w:pPr>
            <w:r>
              <w:rPr>
                <w:rFonts w:ascii="Arial" w:cs="Arial" w:eastAsia="Arial" w:hAnsi="Arial"/>
                <w:sz w:val="16"/>
                <w:szCs w:val="16"/>
                <w:color w:val="0F7C7F"/>
              </w:rPr>
              <w:t>Certification of Chief Executive Officer pursuant to 18 U.S.C. Section 1350,</w:t>
            </w: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60" w:type="dxa"/>
            <w:vAlign w:val="bottom"/>
            <w:tcBorders>
              <w:top w:val="single" w:sz="8" w:color="0F7C7F"/>
            </w:tcBorders>
            <w:gridSpan w:val="10"/>
          </w:tcPr>
          <w:p>
            <w:pPr>
              <w:spacing w:after="0" w:line="142" w:lineRule="exact"/>
              <w:rPr>
                <w:sz w:val="20"/>
                <w:szCs w:val="20"/>
                <w:color w:val="auto"/>
              </w:rPr>
            </w:pPr>
            <w:r>
              <w:rPr>
                <w:rFonts w:ascii="Arial" w:cs="Arial" w:eastAsia="Arial" w:hAnsi="Arial"/>
                <w:sz w:val="16"/>
                <w:szCs w:val="16"/>
                <w:color w:val="0F7C7F"/>
              </w:rPr>
              <w:t>as adopted pursuant to Section 906 of the Sarbanes-Oxley Act of 2002.</w:t>
            </w:r>
          </w:p>
        </w:tc>
        <w:tc>
          <w:tcPr>
            <w:tcW w:w="16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7"/>
            <w:shd w:val="clear" w:color="auto" w:fill="0F7C7F"/>
          </w:tcPr>
          <w:p>
            <w:pPr>
              <w:spacing w:after="0" w:line="20" w:lineRule="exact"/>
              <w:rPr>
                <w:sz w:val="1"/>
                <w:szCs w:val="1"/>
                <w:color w:val="auto"/>
              </w:rPr>
            </w:pPr>
          </w:p>
        </w:tc>
        <w:tc>
          <w:tcPr>
            <w:tcW w:w="220" w:type="dxa"/>
            <w:vAlign w:val="bottom"/>
            <w:gridSpan w:val="2"/>
            <w:shd w:val="clear" w:color="auto" w:fill="0F7C7F"/>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16"/>
          </w:tcPr>
          <w:p>
            <w:pPr>
              <w:spacing w:after="0"/>
              <w:rPr>
                <w:sz w:val="20"/>
                <w:szCs w:val="20"/>
                <w:color w:val="auto"/>
              </w:rPr>
            </w:pPr>
            <w:r>
              <w:rPr>
                <w:rFonts w:ascii="Arial" w:cs="Arial" w:eastAsia="Arial" w:hAnsi="Arial"/>
                <w:sz w:val="16"/>
                <w:szCs w:val="16"/>
                <w:color w:val="0F7C7F"/>
              </w:rPr>
              <w:t>Certification of Chief Financial Officer pursuant to 18 U.S.C. Section 1350, as</w:t>
            </w: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20" w:type="dxa"/>
            <w:vAlign w:val="bottom"/>
            <w:tcBorders>
              <w:top w:val="single" w:sz="8" w:color="0F7C7F"/>
            </w:tcBorders>
            <w:gridSpan w:val="15"/>
          </w:tcPr>
          <w:p>
            <w:pPr>
              <w:spacing w:after="0" w:line="142" w:lineRule="exact"/>
              <w:rPr>
                <w:sz w:val="20"/>
                <w:szCs w:val="20"/>
                <w:color w:val="auto"/>
              </w:rPr>
            </w:pPr>
            <w:r>
              <w:rPr>
                <w:rFonts w:ascii="Arial" w:cs="Arial" w:eastAsia="Arial" w:hAnsi="Arial"/>
                <w:sz w:val="16"/>
                <w:szCs w:val="16"/>
                <w:color w:val="0F7C7F"/>
              </w:rPr>
              <w:t>adopted pursuant to Section 906 of the Sarbanes-Oxley Act of 2002.</w:t>
            </w:r>
          </w:p>
        </w:tc>
        <w:tc>
          <w:tcPr>
            <w:tcW w:w="20" w:type="dxa"/>
            <w:vAlign w:val="bottom"/>
          </w:tcPr>
          <w:p>
            <w:pPr>
              <w:spacing w:after="0"/>
              <w:rPr>
                <w:sz w:val="12"/>
                <w:szCs w:val="12"/>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7"/>
            <w:shd w:val="clear" w:color="auto" w:fill="0F7C7F"/>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r>
      <w:tr>
        <w:trPr>
          <w:trHeight w:val="183"/>
        </w:trPr>
        <w:tc>
          <w:tcPr>
            <w:tcW w:w="114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101.INS</w:t>
            </w:r>
          </w:p>
        </w:tc>
        <w:tc>
          <w:tcPr>
            <w:tcW w:w="20" w:type="dxa"/>
            <w:vAlign w:val="bottom"/>
          </w:tcPr>
          <w:p>
            <w:pPr>
              <w:spacing w:after="0"/>
              <w:rPr>
                <w:sz w:val="15"/>
                <w:szCs w:val="15"/>
                <w:color w:val="auto"/>
              </w:rPr>
            </w:pPr>
          </w:p>
        </w:tc>
        <w:tc>
          <w:tcPr>
            <w:tcW w:w="5540" w:type="dxa"/>
            <w:vAlign w:val="bottom"/>
            <w:gridSpan w:val="16"/>
          </w:tcPr>
          <w:p>
            <w:pPr>
              <w:spacing w:after="0" w:line="183" w:lineRule="exact"/>
              <w:rPr>
                <w:sz w:val="20"/>
                <w:szCs w:val="20"/>
                <w:color w:val="auto"/>
              </w:rPr>
            </w:pPr>
            <w:r>
              <w:rPr>
                <w:rFonts w:ascii="Arial" w:cs="Arial" w:eastAsia="Arial" w:hAnsi="Arial"/>
                <w:sz w:val="16"/>
                <w:szCs w:val="16"/>
                <w:color w:val="auto"/>
              </w:rPr>
              <w:t>Inline XBRL Taxonomy Instance Document - the instance document does not</w:t>
            </w:r>
          </w:p>
        </w:tc>
      </w:tr>
      <w:tr>
        <w:trPr>
          <w:trHeight w:val="162"/>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40" w:type="dxa"/>
            <w:vAlign w:val="bottom"/>
            <w:gridSpan w:val="16"/>
          </w:tcPr>
          <w:p>
            <w:pPr>
              <w:spacing w:after="0" w:line="162" w:lineRule="exact"/>
              <w:rPr>
                <w:sz w:val="20"/>
                <w:szCs w:val="20"/>
                <w:color w:val="auto"/>
              </w:rPr>
            </w:pPr>
            <w:r>
              <w:rPr>
                <w:rFonts w:ascii="Arial" w:cs="Arial" w:eastAsia="Arial" w:hAnsi="Arial"/>
                <w:sz w:val="16"/>
                <w:szCs w:val="16"/>
                <w:color w:val="auto"/>
              </w:rPr>
              <w:t>appear in the Interactive Data File because its XBRL tags are embedded</w:t>
            </w:r>
          </w:p>
        </w:tc>
      </w:tr>
      <w:tr>
        <w:trPr>
          <w:trHeight w:val="215"/>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40" w:type="dxa"/>
            <w:vAlign w:val="bottom"/>
            <w:gridSpan w:val="16"/>
          </w:tcPr>
          <w:p>
            <w:pPr>
              <w:spacing w:after="0"/>
              <w:rPr>
                <w:sz w:val="20"/>
                <w:szCs w:val="20"/>
                <w:color w:val="auto"/>
              </w:rPr>
            </w:pPr>
            <w:r>
              <w:rPr>
                <w:rFonts w:ascii="Arial" w:cs="Arial" w:eastAsia="Arial" w:hAnsi="Arial"/>
                <w:sz w:val="16"/>
                <w:szCs w:val="16"/>
                <w:color w:val="auto"/>
              </w:rPr>
              <w:t>within the inline XBRL document.</w:t>
            </w:r>
          </w:p>
        </w:tc>
      </w:tr>
    </w:tbl>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260"/>
        <w:spacing w:after="0" w:line="246" w:lineRule="auto"/>
        <w:rPr>
          <w:sz w:val="20"/>
          <w:szCs w:val="20"/>
          <w:color w:val="auto"/>
        </w:rPr>
      </w:pPr>
      <w:r>
        <w:rPr>
          <w:rFonts w:ascii="Arial" w:cs="Arial" w:eastAsia="Arial" w:hAnsi="Arial"/>
          <w:sz w:val="16"/>
          <w:szCs w:val="16"/>
          <w:color w:val="auto"/>
        </w:rPr>
        <w:t>Filed as Exhibit 10.1 to registrant’s Form 8-K filed October 17, 2024</w:t>
      </w:r>
    </w:p>
    <w:p>
      <w:pPr>
        <w:spacing w:after="0" w:line="1"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Filed as Exhibit 10.1 to registrant’s Form 8-K filed August 20, 2024</w:t>
      </w:r>
    </w:p>
    <w:p>
      <w:pPr>
        <w:spacing w:after="0" w:line="1"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Filed as Exhibit 10.2 to registrant’s Form 8-K filed August 20, 2024</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Filed as Exhibit 10.1 to registrant’s Form 8-K filed September 23, 2024</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56" w:lineRule="exact"/>
        <w:rPr>
          <w:sz w:val="20"/>
          <w:szCs w:val="20"/>
          <w:color w:val="auto"/>
        </w:rPr>
      </w:pPr>
    </w:p>
    <w:p>
      <w:pPr>
        <w:sectPr>
          <w:pgSz w:w="11900" w:h="16838" w:orient="portrait"/>
          <w:cols w:equalWidth="0" w:num="2">
            <w:col w:w="6700" w:space="140"/>
            <w:col w:w="440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15"/>
        </w:trPr>
        <w:tc>
          <w:tcPr>
            <w:tcW w:w="900" w:type="dxa"/>
            <w:vAlign w:val="bottom"/>
          </w:tcPr>
          <w:p>
            <w:pPr>
              <w:spacing w:after="0"/>
              <w:rPr>
                <w:sz w:val="20"/>
                <w:szCs w:val="20"/>
                <w:color w:val="auto"/>
              </w:rPr>
            </w:pPr>
            <w:r>
              <w:rPr>
                <w:rFonts w:ascii="Arial" w:cs="Arial" w:eastAsia="Arial" w:hAnsi="Arial"/>
                <w:sz w:val="16"/>
                <w:szCs w:val="16"/>
                <w:color w:val="auto"/>
              </w:rPr>
              <w:t>101.SCH</w:t>
            </w:r>
          </w:p>
        </w:tc>
        <w:tc>
          <w:tcPr>
            <w:tcW w:w="5740" w:type="dxa"/>
            <w:vAlign w:val="bottom"/>
          </w:tcPr>
          <w:p>
            <w:pPr>
              <w:ind w:left="240"/>
              <w:spacing w:after="0"/>
              <w:rPr>
                <w:sz w:val="20"/>
                <w:szCs w:val="20"/>
                <w:color w:val="auto"/>
              </w:rPr>
            </w:pPr>
            <w:r>
              <w:rPr>
                <w:rFonts w:ascii="Arial" w:cs="Arial" w:eastAsia="Arial" w:hAnsi="Arial"/>
                <w:sz w:val="16"/>
                <w:szCs w:val="16"/>
                <w:color w:val="auto"/>
              </w:rPr>
              <w:t>Inline XBRL Taxonomy Extension Schema Document.</w:t>
            </w:r>
          </w:p>
        </w:tc>
        <w:tc>
          <w:tcPr>
            <w:tcW w:w="1220" w:type="dxa"/>
            <w:vAlign w:val="bottom"/>
          </w:tcPr>
          <w:p>
            <w:pPr>
              <w:ind w:left="180"/>
              <w:spacing w:after="0"/>
              <w:rPr>
                <w:sz w:val="20"/>
                <w:szCs w:val="20"/>
                <w:color w:val="auto"/>
              </w:rPr>
            </w:pPr>
            <w:r>
              <w:rPr>
                <w:rFonts w:ascii="Arial" w:cs="Arial" w:eastAsia="Arial" w:hAnsi="Arial"/>
                <w:sz w:val="16"/>
                <w:szCs w:val="16"/>
                <w:color w:val="auto"/>
                <w:w w:val="97"/>
              </w:rPr>
              <w:t>Filed herewith.</w:t>
            </w:r>
          </w:p>
        </w:tc>
      </w:tr>
      <w:tr>
        <w:trPr>
          <w:trHeight w:val="216"/>
        </w:trPr>
        <w:tc>
          <w:tcPr>
            <w:tcW w:w="900" w:type="dxa"/>
            <w:vAlign w:val="bottom"/>
          </w:tcPr>
          <w:p>
            <w:pPr>
              <w:spacing w:after="0"/>
              <w:rPr>
                <w:sz w:val="20"/>
                <w:szCs w:val="20"/>
                <w:color w:val="auto"/>
              </w:rPr>
            </w:pPr>
            <w:r>
              <w:rPr>
                <w:rFonts w:ascii="Arial" w:cs="Arial" w:eastAsia="Arial" w:hAnsi="Arial"/>
                <w:sz w:val="16"/>
                <w:szCs w:val="16"/>
                <w:color w:val="auto"/>
              </w:rPr>
              <w:t>101.CAL</w:t>
            </w:r>
          </w:p>
        </w:tc>
        <w:tc>
          <w:tcPr>
            <w:tcW w:w="5740" w:type="dxa"/>
            <w:vAlign w:val="bottom"/>
          </w:tcPr>
          <w:p>
            <w:pPr>
              <w:ind w:left="240"/>
              <w:spacing w:after="0"/>
              <w:rPr>
                <w:sz w:val="20"/>
                <w:szCs w:val="20"/>
                <w:color w:val="auto"/>
              </w:rPr>
            </w:pPr>
            <w:r>
              <w:rPr>
                <w:rFonts w:ascii="Arial" w:cs="Arial" w:eastAsia="Arial" w:hAnsi="Arial"/>
                <w:sz w:val="16"/>
                <w:szCs w:val="16"/>
                <w:color w:val="auto"/>
              </w:rPr>
              <w:t>Inline XBRL Taxonomy Extension Calculation Linkbase Document.</w:t>
            </w:r>
          </w:p>
        </w:tc>
        <w:tc>
          <w:tcPr>
            <w:tcW w:w="1220" w:type="dxa"/>
            <w:vAlign w:val="bottom"/>
          </w:tcPr>
          <w:p>
            <w:pPr>
              <w:ind w:left="180"/>
              <w:spacing w:after="0"/>
              <w:rPr>
                <w:sz w:val="20"/>
                <w:szCs w:val="20"/>
                <w:color w:val="auto"/>
              </w:rPr>
            </w:pPr>
            <w:r>
              <w:rPr>
                <w:rFonts w:ascii="Arial" w:cs="Arial" w:eastAsia="Arial" w:hAnsi="Arial"/>
                <w:sz w:val="16"/>
                <w:szCs w:val="16"/>
                <w:color w:val="auto"/>
                <w:w w:val="97"/>
              </w:rPr>
              <w:t>Filed herewith.</w:t>
            </w:r>
          </w:p>
        </w:tc>
      </w:tr>
      <w:tr>
        <w:trPr>
          <w:trHeight w:val="216"/>
        </w:trPr>
        <w:tc>
          <w:tcPr>
            <w:tcW w:w="900" w:type="dxa"/>
            <w:vAlign w:val="bottom"/>
          </w:tcPr>
          <w:p>
            <w:pPr>
              <w:spacing w:after="0"/>
              <w:rPr>
                <w:sz w:val="20"/>
                <w:szCs w:val="20"/>
                <w:color w:val="auto"/>
              </w:rPr>
            </w:pPr>
            <w:r>
              <w:rPr>
                <w:rFonts w:ascii="Arial" w:cs="Arial" w:eastAsia="Arial" w:hAnsi="Arial"/>
                <w:sz w:val="16"/>
                <w:szCs w:val="16"/>
                <w:color w:val="auto"/>
              </w:rPr>
              <w:t>101.DEF</w:t>
            </w:r>
          </w:p>
        </w:tc>
        <w:tc>
          <w:tcPr>
            <w:tcW w:w="5740" w:type="dxa"/>
            <w:vAlign w:val="bottom"/>
          </w:tcPr>
          <w:p>
            <w:pPr>
              <w:ind w:left="240"/>
              <w:spacing w:after="0"/>
              <w:rPr>
                <w:sz w:val="20"/>
                <w:szCs w:val="20"/>
                <w:color w:val="auto"/>
              </w:rPr>
            </w:pPr>
            <w:r>
              <w:rPr>
                <w:rFonts w:ascii="Arial" w:cs="Arial" w:eastAsia="Arial" w:hAnsi="Arial"/>
                <w:sz w:val="16"/>
                <w:szCs w:val="16"/>
                <w:color w:val="auto"/>
              </w:rPr>
              <w:t>Inline XBRL Taxonomy Extension Definition Linkbase Document.</w:t>
            </w:r>
          </w:p>
        </w:tc>
        <w:tc>
          <w:tcPr>
            <w:tcW w:w="1220" w:type="dxa"/>
            <w:vAlign w:val="bottom"/>
          </w:tcPr>
          <w:p>
            <w:pPr>
              <w:ind w:left="180"/>
              <w:spacing w:after="0"/>
              <w:rPr>
                <w:sz w:val="20"/>
                <w:szCs w:val="20"/>
                <w:color w:val="auto"/>
              </w:rPr>
            </w:pPr>
            <w:r>
              <w:rPr>
                <w:rFonts w:ascii="Arial" w:cs="Arial" w:eastAsia="Arial" w:hAnsi="Arial"/>
                <w:sz w:val="16"/>
                <w:szCs w:val="16"/>
                <w:color w:val="auto"/>
                <w:w w:val="97"/>
              </w:rPr>
              <w:t>Filed herewith.</w:t>
            </w:r>
          </w:p>
        </w:tc>
      </w:tr>
      <w:tr>
        <w:trPr>
          <w:trHeight w:val="216"/>
        </w:trPr>
        <w:tc>
          <w:tcPr>
            <w:tcW w:w="900" w:type="dxa"/>
            <w:vAlign w:val="bottom"/>
          </w:tcPr>
          <w:p>
            <w:pPr>
              <w:spacing w:after="0"/>
              <w:rPr>
                <w:sz w:val="20"/>
                <w:szCs w:val="20"/>
                <w:color w:val="auto"/>
              </w:rPr>
            </w:pPr>
            <w:r>
              <w:rPr>
                <w:rFonts w:ascii="Arial" w:cs="Arial" w:eastAsia="Arial" w:hAnsi="Arial"/>
                <w:sz w:val="16"/>
                <w:szCs w:val="16"/>
                <w:color w:val="auto"/>
              </w:rPr>
              <w:t>101.LAB</w:t>
            </w:r>
          </w:p>
        </w:tc>
        <w:tc>
          <w:tcPr>
            <w:tcW w:w="5740" w:type="dxa"/>
            <w:vAlign w:val="bottom"/>
          </w:tcPr>
          <w:p>
            <w:pPr>
              <w:ind w:left="240"/>
              <w:spacing w:after="0"/>
              <w:rPr>
                <w:sz w:val="20"/>
                <w:szCs w:val="20"/>
                <w:color w:val="auto"/>
              </w:rPr>
            </w:pPr>
            <w:r>
              <w:rPr>
                <w:rFonts w:ascii="Arial" w:cs="Arial" w:eastAsia="Arial" w:hAnsi="Arial"/>
                <w:sz w:val="16"/>
                <w:szCs w:val="16"/>
                <w:color w:val="auto"/>
              </w:rPr>
              <w:t>Inline XBRL Taxonomy Extension Label Linkbase Document.</w:t>
            </w:r>
          </w:p>
        </w:tc>
        <w:tc>
          <w:tcPr>
            <w:tcW w:w="1220" w:type="dxa"/>
            <w:vAlign w:val="bottom"/>
          </w:tcPr>
          <w:p>
            <w:pPr>
              <w:ind w:left="180"/>
              <w:spacing w:after="0"/>
              <w:rPr>
                <w:sz w:val="20"/>
                <w:szCs w:val="20"/>
                <w:color w:val="auto"/>
              </w:rPr>
            </w:pPr>
            <w:r>
              <w:rPr>
                <w:rFonts w:ascii="Arial" w:cs="Arial" w:eastAsia="Arial" w:hAnsi="Arial"/>
                <w:sz w:val="16"/>
                <w:szCs w:val="16"/>
                <w:color w:val="auto"/>
                <w:w w:val="97"/>
              </w:rPr>
              <w:t>Filed herewith.</w:t>
            </w:r>
          </w:p>
        </w:tc>
      </w:tr>
      <w:tr>
        <w:trPr>
          <w:trHeight w:val="216"/>
        </w:trPr>
        <w:tc>
          <w:tcPr>
            <w:tcW w:w="900" w:type="dxa"/>
            <w:vAlign w:val="bottom"/>
          </w:tcPr>
          <w:p>
            <w:pPr>
              <w:spacing w:after="0"/>
              <w:rPr>
                <w:sz w:val="20"/>
                <w:szCs w:val="20"/>
                <w:color w:val="auto"/>
              </w:rPr>
            </w:pPr>
            <w:r>
              <w:rPr>
                <w:rFonts w:ascii="Arial" w:cs="Arial" w:eastAsia="Arial" w:hAnsi="Arial"/>
                <w:sz w:val="16"/>
                <w:szCs w:val="16"/>
                <w:color w:val="auto"/>
              </w:rPr>
              <w:t>101.PRE</w:t>
            </w:r>
          </w:p>
        </w:tc>
        <w:tc>
          <w:tcPr>
            <w:tcW w:w="5740" w:type="dxa"/>
            <w:vAlign w:val="bottom"/>
          </w:tcPr>
          <w:p>
            <w:pPr>
              <w:ind w:left="240"/>
              <w:spacing w:after="0"/>
              <w:rPr>
                <w:sz w:val="20"/>
                <w:szCs w:val="20"/>
                <w:color w:val="auto"/>
              </w:rPr>
            </w:pPr>
            <w:r>
              <w:rPr>
                <w:rFonts w:ascii="Arial" w:cs="Arial" w:eastAsia="Arial" w:hAnsi="Arial"/>
                <w:sz w:val="16"/>
                <w:szCs w:val="16"/>
                <w:color w:val="auto"/>
              </w:rPr>
              <w:t>Inline XBRL Taxonomy Extension Presentation Linkbase Document.</w:t>
            </w:r>
          </w:p>
        </w:tc>
        <w:tc>
          <w:tcPr>
            <w:tcW w:w="1220" w:type="dxa"/>
            <w:vAlign w:val="bottom"/>
          </w:tcPr>
          <w:p>
            <w:pPr>
              <w:ind w:left="180"/>
              <w:spacing w:after="0"/>
              <w:rPr>
                <w:sz w:val="20"/>
                <w:szCs w:val="20"/>
                <w:color w:val="auto"/>
              </w:rPr>
            </w:pPr>
            <w:r>
              <w:rPr>
                <w:rFonts w:ascii="Arial" w:cs="Arial" w:eastAsia="Arial" w:hAnsi="Arial"/>
                <w:sz w:val="16"/>
                <w:szCs w:val="16"/>
                <w:color w:val="auto"/>
                <w:w w:val="97"/>
              </w:rPr>
              <w:t>Filed herewith.</w:t>
            </w:r>
          </w:p>
        </w:tc>
      </w:tr>
      <w:tr>
        <w:trPr>
          <w:trHeight w:val="164"/>
        </w:trPr>
        <w:tc>
          <w:tcPr>
            <w:tcW w:w="900" w:type="dxa"/>
            <w:vAlign w:val="bottom"/>
          </w:tcPr>
          <w:p>
            <w:pPr>
              <w:spacing w:after="0" w:line="164" w:lineRule="exact"/>
              <w:rPr>
                <w:sz w:val="20"/>
                <w:szCs w:val="20"/>
                <w:color w:val="auto"/>
              </w:rPr>
            </w:pPr>
            <w:r>
              <w:rPr>
                <w:rFonts w:ascii="Arial" w:cs="Arial" w:eastAsia="Arial" w:hAnsi="Arial"/>
                <w:sz w:val="16"/>
                <w:szCs w:val="16"/>
                <w:color w:val="auto"/>
              </w:rPr>
              <w:t>104</w:t>
            </w:r>
          </w:p>
        </w:tc>
        <w:tc>
          <w:tcPr>
            <w:tcW w:w="5740" w:type="dxa"/>
            <w:vAlign w:val="bottom"/>
          </w:tcPr>
          <w:p>
            <w:pPr>
              <w:ind w:left="240"/>
              <w:spacing w:after="0" w:line="164" w:lineRule="exact"/>
              <w:rPr>
                <w:sz w:val="20"/>
                <w:szCs w:val="20"/>
                <w:color w:val="auto"/>
              </w:rPr>
            </w:pPr>
            <w:r>
              <w:rPr>
                <w:rFonts w:ascii="Arial" w:cs="Arial" w:eastAsia="Arial" w:hAnsi="Arial"/>
                <w:sz w:val="16"/>
                <w:szCs w:val="16"/>
                <w:color w:val="auto"/>
              </w:rPr>
              <w:t>Cover Page Interactive Data file (formatted as Inline XBRL and embedded</w:t>
            </w:r>
          </w:p>
        </w:tc>
        <w:tc>
          <w:tcPr>
            <w:tcW w:w="1220" w:type="dxa"/>
            <w:vAlign w:val="bottom"/>
          </w:tcPr>
          <w:p>
            <w:pPr>
              <w:ind w:left="180"/>
              <w:spacing w:after="0" w:line="164" w:lineRule="exact"/>
              <w:rPr>
                <w:sz w:val="20"/>
                <w:szCs w:val="20"/>
                <w:color w:val="auto"/>
              </w:rPr>
            </w:pPr>
            <w:r>
              <w:rPr>
                <w:rFonts w:ascii="Arial" w:cs="Arial" w:eastAsia="Arial" w:hAnsi="Arial"/>
                <w:sz w:val="16"/>
                <w:szCs w:val="16"/>
                <w:color w:val="auto"/>
                <w:w w:val="97"/>
              </w:rPr>
              <w:t>Filed herewith.</w:t>
            </w:r>
          </w:p>
        </w:tc>
      </w:tr>
      <w:tr>
        <w:trPr>
          <w:trHeight w:val="215"/>
        </w:trPr>
        <w:tc>
          <w:tcPr>
            <w:tcW w:w="900" w:type="dxa"/>
            <w:vAlign w:val="bottom"/>
          </w:tcPr>
          <w:p>
            <w:pPr>
              <w:spacing w:after="0"/>
              <w:rPr>
                <w:sz w:val="18"/>
                <w:szCs w:val="18"/>
                <w:color w:val="auto"/>
              </w:rPr>
            </w:pPr>
          </w:p>
        </w:tc>
        <w:tc>
          <w:tcPr>
            <w:tcW w:w="5740" w:type="dxa"/>
            <w:vAlign w:val="bottom"/>
          </w:tcPr>
          <w:p>
            <w:pPr>
              <w:ind w:left="240"/>
              <w:spacing w:after="0"/>
              <w:rPr>
                <w:sz w:val="20"/>
                <w:szCs w:val="20"/>
                <w:color w:val="auto"/>
              </w:rPr>
            </w:pPr>
            <w:r>
              <w:rPr>
                <w:rFonts w:ascii="Arial" w:cs="Arial" w:eastAsia="Arial" w:hAnsi="Arial"/>
                <w:sz w:val="16"/>
                <w:szCs w:val="16"/>
                <w:color w:val="auto"/>
              </w:rPr>
              <w:t>within Exhibit 101)</w:t>
            </w:r>
          </w:p>
        </w:tc>
        <w:tc>
          <w:tcPr>
            <w:tcW w:w="1220" w:type="dxa"/>
            <w:vAlign w:val="bottom"/>
          </w:tcPr>
          <w:p>
            <w:pPr>
              <w:spacing w:after="0"/>
              <w:rPr>
                <w:sz w:val="18"/>
                <w:szCs w:val="18"/>
                <w:color w:val="auto"/>
              </w:rPr>
            </w:pPr>
          </w:p>
        </w:tc>
      </w:tr>
    </w:tbl>
    <w:p>
      <w:pPr>
        <w:spacing w:after="0" w:line="109" w:lineRule="exact"/>
        <w:rPr>
          <w:sz w:val="20"/>
          <w:szCs w:val="20"/>
          <w:color w:val="auto"/>
        </w:rPr>
      </w:pPr>
    </w:p>
    <w:p>
      <w:pPr>
        <w:ind w:left="20" w:right="120"/>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color w:val="FFFFFF"/>
        </w:rPr>
        <w:t>-</w:t>
      </w:r>
      <w:r>
        <w:rPr>
          <w:rFonts w:ascii="Arial" w:cs="Arial" w:eastAsia="Arial" w:hAnsi="Arial"/>
          <w:sz w:val="16"/>
          <w:szCs w:val="16"/>
          <w:color w:val="auto"/>
        </w:rPr>
        <w:t>Certain schedules (or similar attachments) to this exhibit have been omitted pursuant to Regulation S-K, Item 601(a)(5). The registrant agrees to furnish a copy of any omitted schedule (or similar attachment)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SIGNATURES</w:t>
      </w:r>
    </w:p>
    <w:p>
      <w:pPr>
        <w:spacing w:after="0" w:line="10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MOLINA HEALTHCARE, INC.</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(Registrant)</w:t>
      </w:r>
    </w:p>
    <w:p>
      <w:pPr>
        <w:spacing w:after="0" w:line="289"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October 24, 2024</w:t>
      </w:r>
      <w:r>
        <w:rPr>
          <w:sz w:val="20"/>
          <w:szCs w:val="20"/>
          <w:color w:val="auto"/>
        </w:rPr>
        <w:tab/>
      </w:r>
      <w:r>
        <w:rPr>
          <w:rFonts w:ascii="Arial" w:cs="Arial" w:eastAsia="Arial" w:hAnsi="Arial"/>
          <w:sz w:val="16"/>
          <w:szCs w:val="16"/>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20955</wp:posOffset>
            </wp:positionV>
            <wp:extent cx="30003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6"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Joseph M. Zubretsky</w:t>
      </w:r>
    </w:p>
    <w:p>
      <w:pPr>
        <w:spacing w:after="0" w:line="39"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Executive Officer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Executive Officer)</w:t>
      </w:r>
    </w:p>
    <w:p>
      <w:pPr>
        <w:spacing w:after="0" w:line="282"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October 24, 2024</w:t>
      </w:r>
      <w:r>
        <w:rPr>
          <w:sz w:val="20"/>
          <w:szCs w:val="20"/>
          <w:color w:val="auto"/>
        </w:rPr>
        <w:tab/>
      </w:r>
      <w:r>
        <w:rPr>
          <w:rFonts w:ascii="Arial" w:cs="Arial" w:eastAsia="Arial" w:hAnsi="Arial"/>
          <w:sz w:val="16"/>
          <w:szCs w:val="16"/>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20955</wp:posOffset>
            </wp:positionV>
            <wp:extent cx="30003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6"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Mark L. Keim</w:t>
      </w:r>
    </w:p>
    <w:p>
      <w:pPr>
        <w:spacing w:after="0" w:line="39"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2024 Form 10-Q | 39</w:t>
      </w:r>
    </w:p>
    <w:p>
      <w:pPr>
        <w:sectPr>
          <w:pgSz w:w="11900" w:h="16838" w:orient="portrait"/>
          <w:cols w:equalWidth="0" w:num="1">
            <w:col w:w="11240"/>
          </w:cols>
          <w:pgMar w:left="320" w:top="122"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117" w:lineRule="exact"/>
        <w:rPr>
          <w:sz w:val="20"/>
          <w:szCs w:val="20"/>
          <w:color w:val="auto"/>
        </w:rPr>
      </w:pPr>
    </w:p>
    <w:p>
      <w:pPr>
        <w:ind w:left="660" w:hanging="20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2024 of Molina Healthcare, Inc.;</w:t>
      </w:r>
    </w:p>
    <w:p>
      <w:pPr>
        <w:spacing w:after="0" w:line="117" w:lineRule="exact"/>
        <w:rPr>
          <w:rFonts w:ascii="Arial" w:cs="Arial" w:eastAsia="Arial" w:hAnsi="Arial"/>
          <w:sz w:val="18"/>
          <w:szCs w:val="18"/>
          <w:color w:val="auto"/>
        </w:rPr>
      </w:pPr>
    </w:p>
    <w:p>
      <w:pPr>
        <w:ind w:right="80" w:firstLine="453"/>
        <w:spacing w:after="0" w:line="268" w:lineRule="auto"/>
        <w:tabs>
          <w:tab w:leader="none" w:pos="6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right="120" w:firstLine="453"/>
        <w:spacing w:after="0" w:line="287" w:lineRule="auto"/>
        <w:tabs>
          <w:tab w:leader="none" w:pos="6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ind w:right="40" w:firstLine="453"/>
        <w:spacing w:after="0" w:line="268" w:lineRule="auto"/>
        <w:tabs>
          <w:tab w:leader="none" w:pos="6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right="140" w:firstLine="899"/>
        <w:spacing w:after="0" w:line="268" w:lineRule="auto"/>
        <w:tabs>
          <w:tab w:leader="none" w:pos="11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120" w:firstLine="899"/>
        <w:spacing w:after="0" w:line="268" w:lineRule="auto"/>
        <w:tabs>
          <w:tab w:leader="none" w:pos="11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80" w:firstLine="899"/>
        <w:spacing w:after="0" w:line="268" w:lineRule="auto"/>
        <w:tabs>
          <w:tab w:leader="none" w:pos="1151"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240" w:firstLine="899"/>
        <w:spacing w:after="0" w:line="268" w:lineRule="auto"/>
        <w:tabs>
          <w:tab w:leader="none" w:pos="11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right="340" w:firstLine="453"/>
        <w:spacing w:after="0" w:line="268" w:lineRule="auto"/>
        <w:tabs>
          <w:tab w:leader="none" w:pos="6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right="60" w:firstLine="899"/>
        <w:spacing w:after="0" w:line="287" w:lineRule="auto"/>
        <w:tabs>
          <w:tab w:leader="none" w:pos="11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right="900" w:firstLine="899"/>
        <w:spacing w:after="0" w:line="287" w:lineRule="auto"/>
        <w:tabs>
          <w:tab w:leader="none" w:pos="11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October 24, 2024</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Joseph M. Zubretsky</w:t>
      </w:r>
    </w:p>
    <w:p>
      <w:pPr>
        <w:spacing w:after="0" w:line="40"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Executive Officer, President and Director</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0"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I, Mark L. Keim, certify that:</w:t>
      </w:r>
    </w:p>
    <w:p>
      <w:pPr>
        <w:spacing w:after="0" w:line="117" w:lineRule="exact"/>
        <w:rPr>
          <w:sz w:val="20"/>
          <w:szCs w:val="20"/>
          <w:color w:val="auto"/>
        </w:rPr>
      </w:pPr>
    </w:p>
    <w:p>
      <w:pPr>
        <w:ind w:left="660" w:hanging="20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2024 of Molina Healthcare, Inc.;</w:t>
      </w:r>
    </w:p>
    <w:p>
      <w:pPr>
        <w:spacing w:after="0" w:line="117" w:lineRule="exact"/>
        <w:rPr>
          <w:rFonts w:ascii="Arial" w:cs="Arial" w:eastAsia="Arial" w:hAnsi="Arial"/>
          <w:sz w:val="18"/>
          <w:szCs w:val="18"/>
          <w:color w:val="auto"/>
        </w:rPr>
      </w:pPr>
    </w:p>
    <w:p>
      <w:pPr>
        <w:ind w:right="80" w:firstLine="453"/>
        <w:spacing w:after="0" w:line="268" w:lineRule="auto"/>
        <w:tabs>
          <w:tab w:leader="none" w:pos="6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right="120" w:firstLine="453"/>
        <w:spacing w:after="0" w:line="287" w:lineRule="auto"/>
        <w:tabs>
          <w:tab w:leader="none" w:pos="6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ind w:right="40" w:firstLine="453"/>
        <w:spacing w:after="0" w:line="268" w:lineRule="auto"/>
        <w:tabs>
          <w:tab w:leader="none" w:pos="6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right="140" w:firstLine="899"/>
        <w:spacing w:after="0" w:line="268" w:lineRule="auto"/>
        <w:tabs>
          <w:tab w:leader="none" w:pos="116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120" w:firstLine="899"/>
        <w:spacing w:after="0" w:line="268" w:lineRule="auto"/>
        <w:tabs>
          <w:tab w:leader="none" w:pos="116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80" w:firstLine="899"/>
        <w:spacing w:after="0" w:line="268" w:lineRule="auto"/>
        <w:tabs>
          <w:tab w:leader="none" w:pos="1151"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240" w:firstLine="899"/>
        <w:spacing w:after="0" w:line="268" w:lineRule="auto"/>
        <w:tabs>
          <w:tab w:leader="none" w:pos="116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right="340" w:firstLine="453"/>
        <w:spacing w:after="0" w:line="268" w:lineRule="auto"/>
        <w:tabs>
          <w:tab w:leader="none" w:pos="6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right="60" w:firstLine="899"/>
        <w:spacing w:after="0" w:line="287" w:lineRule="auto"/>
        <w:tabs>
          <w:tab w:leader="none" w:pos="116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right="900" w:firstLine="899"/>
        <w:spacing w:after="0" w:line="287" w:lineRule="auto"/>
        <w:tabs>
          <w:tab w:leader="none" w:pos="116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October 24, 2024</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71151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Mark L. Keim</w:t>
      </w:r>
    </w:p>
    <w:p>
      <w:pPr>
        <w:spacing w:after="0" w:line="40"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0" w:right="339" w:bottom="1440" w:gutter="0" w:footer="0" w:header="0"/>
        </w:sectPr>
      </w:pPr>
    </w:p>
    <w:bookmarkStart w:id="41" w:name="page42"/>
    <w:bookmarkEnd w:id="41"/>
    <w:p>
      <w:pPr>
        <w:ind w:left="10140"/>
        <w:spacing w:after="0"/>
        <w:rPr>
          <w:sz w:val="20"/>
          <w:szCs w:val="20"/>
          <w:color w:val="auto"/>
        </w:rPr>
      </w:pPr>
      <w:r>
        <w:rPr>
          <w:rFonts w:ascii="Arial" w:cs="Arial" w:eastAsia="Arial" w:hAnsi="Arial"/>
          <w:sz w:val="17"/>
          <w:szCs w:val="17"/>
          <w:b w:val="1"/>
          <w:bCs w:val="1"/>
          <w:color w:val="auto"/>
        </w:rPr>
        <w:t>EXHIBIT 32.1</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80" w:firstLine="445"/>
        <w:spacing w:after="0" w:line="268" w:lineRule="auto"/>
        <w:rPr>
          <w:sz w:val="20"/>
          <w:szCs w:val="20"/>
          <w:color w:val="auto"/>
        </w:rPr>
      </w:pPr>
      <w:r>
        <w:rPr>
          <w:rFonts w:ascii="Arial" w:cs="Arial" w:eastAsia="Arial" w:hAnsi="Arial"/>
          <w:sz w:val="18"/>
          <w:szCs w:val="18"/>
          <w:color w:val="auto"/>
        </w:rPr>
        <w:t>In connection with the Quarterly Report of Molina Healthcare, Inc. (the “Company”) on Form 10-Q for the period ended September 30, 2024 (the “Report”), I, Joseph M. Zubretsky, Chief Executive Officer of the Company, certify, pursuant to 18 U.S.C. Section 1350, as adopted pursuant to Section 906 of the Sarbanes-Oxley Act of 2002, that:</w:t>
      </w:r>
    </w:p>
    <w:p>
      <w:pPr>
        <w:spacing w:after="0" w:line="63" w:lineRule="exact"/>
        <w:rPr>
          <w:sz w:val="20"/>
          <w:szCs w:val="20"/>
          <w:color w:val="auto"/>
        </w:rPr>
      </w:pPr>
    </w:p>
    <w:p>
      <w:pPr>
        <w:ind w:left="1160" w:hanging="26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99" w:lineRule="exact"/>
        <w:rPr>
          <w:rFonts w:ascii="Arial" w:cs="Arial" w:eastAsia="Arial" w:hAnsi="Arial"/>
          <w:sz w:val="18"/>
          <w:szCs w:val="18"/>
          <w:color w:val="auto"/>
        </w:rPr>
      </w:pPr>
    </w:p>
    <w:p>
      <w:pPr>
        <w:ind w:firstLine="899"/>
        <w:spacing w:after="0" w:line="287" w:lineRule="auto"/>
        <w:tabs>
          <w:tab w:leader="none" w:pos="116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tabs>
          <w:tab w:leader="none" w:pos="6220" w:val="left"/>
        </w:tabs>
        <w:rPr>
          <w:sz w:val="20"/>
          <w:szCs w:val="20"/>
          <w:color w:val="auto"/>
        </w:rPr>
      </w:pPr>
      <w:r>
        <w:rPr>
          <w:rFonts w:ascii="Arial" w:cs="Arial" w:eastAsia="Arial" w:hAnsi="Arial"/>
          <w:sz w:val="18"/>
          <w:szCs w:val="18"/>
          <w:color w:val="auto"/>
        </w:rPr>
        <w:t>Dated: October 24, 2024</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71062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Joseph M. Zubretsky</w:t>
      </w:r>
    </w:p>
    <w:p>
      <w:pPr>
        <w:spacing w:after="0" w:line="40"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Executive Officer, President and Director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0" w:right="339" w:bottom="1440" w:gutter="0" w:footer="0" w:header="0"/>
        </w:sectPr>
      </w:pPr>
    </w:p>
    <w:bookmarkStart w:id="42" w:name="page43"/>
    <w:bookmarkEnd w:id="42"/>
    <w:p>
      <w:pPr>
        <w:ind w:left="10140"/>
        <w:spacing w:after="0"/>
        <w:rPr>
          <w:sz w:val="20"/>
          <w:szCs w:val="20"/>
          <w:color w:val="auto"/>
        </w:rPr>
      </w:pPr>
      <w:r>
        <w:rPr>
          <w:rFonts w:ascii="Arial" w:cs="Arial" w:eastAsia="Arial" w:hAnsi="Arial"/>
          <w:sz w:val="17"/>
          <w:szCs w:val="17"/>
          <w:b w:val="1"/>
          <w:bCs w:val="1"/>
          <w:color w:val="auto"/>
        </w:rPr>
        <w:t>EXHIBIT 32.2</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Quarterly Report of Molina Healthcare, Inc. (the “Company”) on Form 10-Q for the period ended September 30,</w:t>
      </w:r>
    </w:p>
    <w:p>
      <w:pPr>
        <w:spacing w:after="0" w:line="27" w:lineRule="exact"/>
        <w:rPr>
          <w:sz w:val="20"/>
          <w:szCs w:val="20"/>
          <w:color w:val="auto"/>
        </w:rPr>
      </w:pPr>
    </w:p>
    <w:p>
      <w:pPr>
        <w:ind w:right="740"/>
        <w:spacing w:after="0" w:line="266" w:lineRule="auto"/>
        <w:rPr>
          <w:sz w:val="20"/>
          <w:szCs w:val="20"/>
          <w:color w:val="auto"/>
        </w:rPr>
      </w:pPr>
      <w:r>
        <w:rPr>
          <w:rFonts w:ascii="Arial" w:cs="Arial" w:eastAsia="Arial" w:hAnsi="Arial"/>
          <w:sz w:val="18"/>
          <w:szCs w:val="18"/>
          <w:color w:val="auto"/>
        </w:rPr>
        <w:t>2024 (the “Report”), I, Mark L. Keim, Chief Financial Officer of the Company, certify, pursuant to 18 U.S.C. Section 1350, as adopted pursuant to Section 906 of the Sarbanes-Oxley Act of 2002, that:</w:t>
      </w:r>
    </w:p>
    <w:p>
      <w:pPr>
        <w:spacing w:after="0" w:line="63" w:lineRule="exact"/>
        <w:rPr>
          <w:sz w:val="20"/>
          <w:szCs w:val="20"/>
          <w:color w:val="auto"/>
        </w:rPr>
      </w:pPr>
    </w:p>
    <w:p>
      <w:pPr>
        <w:ind w:left="1160" w:hanging="26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99" w:lineRule="exact"/>
        <w:rPr>
          <w:rFonts w:ascii="Arial" w:cs="Arial" w:eastAsia="Arial" w:hAnsi="Arial"/>
          <w:sz w:val="18"/>
          <w:szCs w:val="18"/>
          <w:color w:val="auto"/>
        </w:rPr>
      </w:pPr>
    </w:p>
    <w:p>
      <w:pPr>
        <w:ind w:firstLine="899"/>
        <w:spacing w:after="0" w:line="287" w:lineRule="auto"/>
        <w:tabs>
          <w:tab w:leader="none" w:pos="116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October 24, 2024</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Mark L. Keim</w:t>
      </w:r>
    </w:p>
    <w:p>
      <w:pPr>
        <w:spacing w:after="0" w:line="40"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6"/>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60" Type="http://schemas.openxmlformats.org/officeDocument/2006/relationships/hyperlink" Target="https://www.sec.gov/ix?doc=/Archives/edgar/data/1179929/000143774924031432/moh20241016c_8k.htm" TargetMode="External"/><Relationship Id="rId61" Type="http://schemas.openxmlformats.org/officeDocument/2006/relationships/hyperlink" Target="https://www.sec.gov/ix?doc=/Archives/edgar/data/1179929/000143774924027304/moh20240819_8k.htm" TargetMode="External"/><Relationship Id="rId62" Type="http://schemas.openxmlformats.org/officeDocument/2006/relationships/hyperlink" Target="https://www.sec.gov/Archives/edgar/data/1179929/000143774924027304/ex_716231.htm" TargetMode="External"/><Relationship Id="rId63" Type="http://schemas.openxmlformats.org/officeDocument/2006/relationships/hyperlink" Target="https://www.sec.gov/ix?doc=/Archives/edgar/data/1179929/000143774924029806/moh20240922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2024-10-24T09:37:14Z</dcterms:created>
  <dcterms:modified xsi:type="dcterms:W3CDTF">2024-10-24T09:37:14Z</dcterms:modified>
</cp:coreProperties>
</file>