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1411605</wp:posOffset>
            </wp:positionH>
            <wp:positionV relativeFrom="paragraph">
              <wp:posOffset>-179705</wp:posOffset>
            </wp:positionV>
            <wp:extent cx="4433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357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196850</wp:posOffset>
            </wp:positionV>
            <wp:extent cx="4408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720" w:hanging="685"/>
        <w:spacing w:after="0" w:line="238" w:lineRule="auto"/>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 the quarterly period ended September 30, 2019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169545</wp:posOffset>
            </wp:positionV>
            <wp:extent cx="4476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314960</wp:posOffset>
            </wp:positionV>
            <wp:extent cx="188658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165100</wp:posOffset>
            </wp:positionV>
            <wp:extent cx="4476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Delaware</w:t>
            </w:r>
          </w:p>
        </w:tc>
        <w:tc>
          <w:tcPr>
            <w:tcW w:w="2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60" w:type="dxa"/>
            <w:vAlign w:val="bottom"/>
            <w:gridSpan w:val="2"/>
          </w:tcPr>
          <w:p>
            <w:pPr>
              <w:jc w:val="right"/>
              <w:ind w:right="2160"/>
              <w:spacing w:after="0"/>
              <w:rPr>
                <w:sz w:val="20"/>
                <w:szCs w:val="20"/>
                <w:color w:val="auto"/>
              </w:rPr>
            </w:pPr>
            <w:r>
              <w:rPr>
                <w:rFonts w:ascii="Arial" w:cs="Arial" w:eastAsia="Arial" w:hAnsi="Arial"/>
                <w:sz w:val="16"/>
                <w:szCs w:val="16"/>
                <w:b w:val="1"/>
                <w:bCs w:val="1"/>
                <w:color w:val="auto"/>
              </w:rPr>
              <w:t>13-4204626</w:t>
            </w:r>
          </w:p>
        </w:tc>
      </w:tr>
      <w:tr>
        <w:trPr>
          <w:trHeight w:val="224"/>
        </w:trPr>
        <w:tc>
          <w:tcPr>
            <w:tcW w:w="7380" w:type="dxa"/>
            <w:vAlign w:val="bottom"/>
            <w:gridSpan w:val="5"/>
          </w:tcPr>
          <w:p>
            <w:pPr>
              <w:jc w:val="center"/>
              <w:ind w:right="120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rPr>
              <w:t>(I.R.S. Employer Identification No.)</w:t>
            </w:r>
          </w:p>
        </w:tc>
      </w:tr>
      <w:tr>
        <w:trPr>
          <w:trHeight w:val="384"/>
        </w:trPr>
        <w:tc>
          <w:tcPr>
            <w:tcW w:w="4120" w:type="dxa"/>
            <w:vAlign w:val="bottom"/>
            <w:gridSpan w:val="3"/>
          </w:tcPr>
          <w:p>
            <w:pPr>
              <w:jc w:val="center"/>
              <w:ind w:left="1984"/>
              <w:spacing w:after="0"/>
              <w:rPr>
                <w:sz w:val="20"/>
                <w:szCs w:val="20"/>
                <w:color w:val="auto"/>
              </w:rPr>
            </w:pPr>
            <w:r>
              <w:rPr>
                <w:rFonts w:ascii="Arial" w:cs="Arial" w:eastAsia="Arial" w:hAnsi="Arial"/>
                <w:sz w:val="16"/>
                <w:szCs w:val="16"/>
                <w:b w:val="1"/>
                <w:bCs w:val="1"/>
                <w:color w:val="auto"/>
              </w:rPr>
              <w:t>200 Oceangate, Suite 100</w:t>
            </w: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0"/>
        </w:trPr>
        <w:tc>
          <w:tcPr>
            <w:tcW w:w="4120" w:type="dxa"/>
            <w:vAlign w:val="bottom"/>
            <w:gridSpan w:val="3"/>
          </w:tcPr>
          <w:p>
            <w:pPr>
              <w:ind w:left="2100"/>
              <w:spacing w:after="0"/>
              <w:rPr>
                <w:sz w:val="20"/>
                <w:szCs w:val="20"/>
                <w:color w:val="auto"/>
              </w:rPr>
            </w:pPr>
            <w:r>
              <w:rPr>
                <w:rFonts w:ascii="Arial" w:cs="Arial" w:eastAsia="Arial" w:hAnsi="Arial"/>
                <w:sz w:val="16"/>
                <w:szCs w:val="16"/>
                <w:b w:val="1"/>
                <w:bCs w:val="1"/>
                <w:color w:val="auto"/>
              </w:rPr>
              <w:t>Long Beach, California</w:t>
            </w:r>
          </w:p>
        </w:tc>
        <w:tc>
          <w:tcPr>
            <w:tcW w:w="2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60" w:type="dxa"/>
            <w:vAlign w:val="bottom"/>
          </w:tcPr>
          <w:p>
            <w:pPr>
              <w:jc w:val="right"/>
              <w:ind w:right="85"/>
              <w:spacing w:after="0"/>
              <w:rPr>
                <w:sz w:val="20"/>
                <w:szCs w:val="20"/>
                <w:color w:val="auto"/>
              </w:rPr>
            </w:pPr>
            <w:r>
              <w:rPr>
                <w:rFonts w:ascii="Arial" w:cs="Arial" w:eastAsia="Arial" w:hAnsi="Arial"/>
                <w:sz w:val="16"/>
                <w:szCs w:val="16"/>
                <w:b w:val="1"/>
                <w:bCs w:val="1"/>
                <w:color w:val="auto"/>
              </w:rPr>
              <w:t>90802</w:t>
            </w:r>
          </w:p>
        </w:tc>
        <w:tc>
          <w:tcPr>
            <w:tcW w:w="2200" w:type="dxa"/>
            <w:vAlign w:val="bottom"/>
          </w:tcPr>
          <w:p>
            <w:pPr>
              <w:spacing w:after="0"/>
              <w:rPr>
                <w:sz w:val="23"/>
                <w:szCs w:val="23"/>
                <w:color w:val="auto"/>
              </w:rPr>
            </w:pPr>
          </w:p>
        </w:tc>
      </w:tr>
      <w:tr>
        <w:trPr>
          <w:trHeight w:val="218"/>
        </w:trPr>
        <w:tc>
          <w:tcPr>
            <w:tcW w:w="7380" w:type="dxa"/>
            <w:vAlign w:val="bottom"/>
            <w:gridSpan w:val="5"/>
          </w:tcPr>
          <w:p>
            <w:pPr>
              <w:jc w:val="center"/>
              <w:ind w:right="1180"/>
              <w:spacing w:after="0"/>
              <w:rPr>
                <w:sz w:val="20"/>
                <w:szCs w:val="20"/>
                <w:color w:val="auto"/>
              </w:rPr>
            </w:pPr>
            <w:r>
              <w:rPr>
                <w:rFonts w:ascii="Arial" w:cs="Arial" w:eastAsia="Arial" w:hAnsi="Arial"/>
                <w:sz w:val="14"/>
                <w:szCs w:val="14"/>
                <w:b w:val="1"/>
                <w:bCs w:val="1"/>
                <w:color w:val="auto"/>
              </w:rPr>
              <w:t>(Address of principal executive offices)</w:t>
            </w:r>
          </w:p>
        </w:tc>
        <w:tc>
          <w:tcPr>
            <w:tcW w:w="40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(Zip Code)</w:t>
            </w:r>
          </w:p>
        </w:tc>
      </w:tr>
      <w:tr>
        <w:trPr>
          <w:trHeight w:val="185"/>
        </w:trPr>
        <w:tc>
          <w:tcPr>
            <w:tcW w:w="2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jc w:val="right"/>
              <w:ind w:right="208"/>
              <w:spacing w:after="0"/>
              <w:rPr>
                <w:sz w:val="20"/>
                <w:szCs w:val="20"/>
                <w:color w:val="auto"/>
              </w:rPr>
            </w:pPr>
            <w:r>
              <w:rPr>
                <w:rFonts w:ascii="Arial" w:cs="Arial" w:eastAsia="Arial" w:hAnsi="Arial"/>
                <w:sz w:val="16"/>
                <w:szCs w:val="16"/>
                <w:b w:val="1"/>
                <w:bCs w:val="1"/>
                <w:color w:val="auto"/>
              </w:rPr>
              <w:t>(562) 435-3666</w:t>
            </w:r>
          </w:p>
        </w:tc>
        <w:tc>
          <w:tcPr>
            <w:tcW w:w="8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8"/>
        </w:trPr>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8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59"/>
        </w:trPr>
        <w:tc>
          <w:tcPr>
            <w:tcW w:w="2180" w:type="dxa"/>
            <w:vAlign w:val="bottom"/>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2200" w:type="dxa"/>
            <w:vAlign w:val="bottom"/>
          </w:tcPr>
          <w:p>
            <w:pPr>
              <w:spacing w:after="0"/>
              <w:rPr>
                <w:sz w:val="22"/>
                <w:szCs w:val="22"/>
                <w:color w:val="auto"/>
              </w:rPr>
            </w:pPr>
          </w:p>
        </w:tc>
      </w:tr>
      <w:tr>
        <w:trPr>
          <w:trHeight w:val="190"/>
        </w:trPr>
        <w:tc>
          <w:tcPr>
            <w:tcW w:w="41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28"/>
        </w:trPr>
        <w:tc>
          <w:tcPr>
            <w:tcW w:w="3920" w:type="dxa"/>
            <w:vAlign w:val="bottom"/>
            <w:tcBorders>
              <w:bottom w:val="single" w:sz="8" w:color="auto"/>
            </w:tcBorders>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gridSpan w:val="2"/>
          </w:tcPr>
          <w:p>
            <w:pPr>
              <w:spacing w:after="0"/>
              <w:rPr>
                <w:sz w:val="11"/>
                <w:szCs w:val="11"/>
                <w:color w:val="auto"/>
              </w:rPr>
            </w:pPr>
          </w:p>
        </w:tc>
      </w:tr>
      <w:tr>
        <w:trPr>
          <w:trHeight w:val="204"/>
        </w:trPr>
        <w:tc>
          <w:tcPr>
            <w:tcW w:w="39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right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Trading Symbol(s)</w:t>
            </w:r>
          </w:p>
        </w:tc>
        <w:tc>
          <w:tcPr>
            <w:tcW w:w="840" w:type="dxa"/>
            <w:vAlign w:val="bottom"/>
            <w:tcBorders>
              <w:bottom w:val="single" w:sz="8" w:color="auto"/>
            </w:tcBorders>
          </w:tcPr>
          <w:p>
            <w:pPr>
              <w:spacing w:after="0"/>
              <w:rPr>
                <w:sz w:val="17"/>
                <w:szCs w:val="17"/>
                <w:color w:val="auto"/>
              </w:rPr>
            </w:pPr>
          </w:p>
        </w:tc>
        <w:tc>
          <w:tcPr>
            <w:tcW w:w="4060" w:type="dxa"/>
            <w:vAlign w:val="bottom"/>
            <w:tcBorders>
              <w:bottom w:val="single" w:sz="8" w:color="auto"/>
              <w:right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39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Common Stock, $0.001 Par Value</w:t>
            </w: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68"/>
              <w:spacing w:after="0"/>
              <w:rPr>
                <w:sz w:val="20"/>
                <w:szCs w:val="20"/>
                <w:color w:val="auto"/>
              </w:rPr>
            </w:pPr>
            <w:r>
              <w:rPr>
                <w:rFonts w:ascii="Arial" w:cs="Arial" w:eastAsia="Arial" w:hAnsi="Arial"/>
                <w:sz w:val="14"/>
                <w:szCs w:val="14"/>
                <w:color w:val="auto"/>
              </w:rPr>
              <w:t>MOH</w:t>
            </w:r>
          </w:p>
        </w:tc>
        <w:tc>
          <w:tcPr>
            <w:tcW w:w="840" w:type="dxa"/>
            <w:vAlign w:val="bottom"/>
            <w:tcBorders>
              <w:bottom w:val="single" w:sz="8" w:color="auto"/>
            </w:tcBorders>
          </w:tcPr>
          <w:p>
            <w:pPr>
              <w:spacing w:after="0"/>
              <w:rPr>
                <w:sz w:val="18"/>
                <w:szCs w:val="18"/>
                <w:color w:val="auto"/>
              </w:rPr>
            </w:pPr>
          </w:p>
        </w:tc>
        <w:tc>
          <w:tcPr>
            <w:tcW w:w="4060" w:type="dxa"/>
            <w:vAlign w:val="bottom"/>
            <w:tcBorders>
              <w:bottom w:val="single" w:sz="8" w:color="auto"/>
              <w:right w:val="single" w:sz="8" w:color="auto"/>
            </w:tcBorders>
            <w:gridSpan w:val="2"/>
          </w:tcPr>
          <w:p>
            <w:pPr>
              <w:jc w:val="center"/>
              <w:ind w:right="860"/>
              <w:spacing w:after="0"/>
              <w:rPr>
                <w:sz w:val="20"/>
                <w:szCs w:val="20"/>
                <w:color w:val="auto"/>
              </w:rPr>
            </w:pPr>
            <w:r>
              <w:rPr>
                <w:rFonts w:ascii="Arial" w:cs="Arial" w:eastAsia="Arial" w:hAnsi="Arial"/>
                <w:sz w:val="14"/>
                <w:szCs w:val="14"/>
                <w:color w:val="auto"/>
              </w:rPr>
              <w:t>New York Stock Exchange</w:t>
            </w:r>
          </w:p>
        </w:tc>
      </w:tr>
    </w:tbl>
    <w:p>
      <w:pPr>
        <w:spacing w:after="0" w:line="56" w:lineRule="exact"/>
        <w:rPr>
          <w:sz w:val="24"/>
          <w:szCs w:val="24"/>
          <w:color w:val="auto"/>
        </w:rPr>
      </w:pPr>
    </w:p>
    <w:p>
      <w:pPr>
        <w:jc w:val="both"/>
        <w:ind w:right="1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32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w:t>
      </w:r>
    </w:p>
    <w:p>
      <w:pPr>
        <w:spacing w:after="0" w:line="184" w:lineRule="exact"/>
        <w:tabs>
          <w:tab w:leader="none" w:pos="560" w:val="left"/>
          <w:tab w:leader="none" w:pos="12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ind w:right="2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p>
      <w:pPr>
        <w:ind w:left="340" w:right="3780"/>
        <w:spacing w:after="0" w:line="27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45"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October 25, 2019, was approximately 62,700,000.</w:t>
      </w:r>
    </w:p>
    <w:p>
      <w:pPr>
        <w:sectPr>
          <w:pgSz w:w="11900" w:h="16838" w:orient="portrait"/>
          <w:cols w:equalWidth="0" w:num="1">
            <w:col w:w="11440"/>
          </w:cols>
          <w:pgMar w:left="240" w:top="247" w:right="2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color w:val="828282"/>
        </w:rPr>
        <w:t>FOR THE QUARTERLY PERIOD ENDED SEPTEMBER 30, 2019</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ITEM NUMBER</w:t>
            </w:r>
          </w:p>
        </w:tc>
        <w:tc>
          <w:tcPr>
            <w:tcW w:w="40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 - Financial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638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400" w:type="dxa"/>
            <w:vAlign w:val="bottom"/>
            <w:gridSpan w:val="4"/>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28">
              <w:r>
                <w:rPr>
                  <w:rFonts w:ascii="Arial" w:cs="Arial" w:eastAsia="Arial" w:hAnsi="Arial"/>
                  <w:sz w:val="16"/>
                  <w:szCs w:val="16"/>
                  <w:color w:val="0F7C7F"/>
                </w:rPr>
                <w:t>Management’s Discussion and Analysis of Financial Condition and Results of Operations</w:t>
              </w:r>
            </w:hyperlink>
          </w:p>
        </w:tc>
        <w:tc>
          <w:tcPr>
            <w:tcW w:w="4400" w:type="dxa"/>
            <w:vAlign w:val="bottom"/>
            <w:gridSpan w:val="4"/>
          </w:tcPr>
          <w:p>
            <w:pPr>
              <w:jc w:val="right"/>
              <w:spacing w:after="0"/>
              <w:rPr>
                <w:rFonts w:ascii="Arial" w:cs="Arial" w:eastAsia="Arial" w:hAnsi="Arial"/>
                <w:sz w:val="16"/>
                <w:szCs w:val="16"/>
                <w:color w:val="0F7C7F"/>
              </w:rPr>
            </w:pPr>
            <w:hyperlink w:anchor="page28">
              <w:r>
                <w:rPr>
                  <w:rFonts w:ascii="Arial" w:cs="Arial" w:eastAsia="Arial" w:hAnsi="Arial"/>
                  <w:sz w:val="16"/>
                  <w:szCs w:val="16"/>
                  <w:color w:val="0F7C7F"/>
                </w:rPr>
                <w:t>28</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20" w:type="dxa"/>
            <w:vAlign w:val="bottom"/>
            <w:shd w:val="clear" w:color="auto" w:fill="0F7C7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240" w:type="dxa"/>
            <w:vAlign w:val="bottom"/>
            <w:gridSpan w:val="7"/>
          </w:tcPr>
          <w:p>
            <w:pPr>
              <w:spacing w:after="0"/>
              <w:rPr>
                <w:rFonts w:ascii="Arial" w:cs="Arial" w:eastAsia="Arial" w:hAnsi="Arial"/>
                <w:sz w:val="16"/>
                <w:szCs w:val="16"/>
                <w:color w:val="0F7C7F"/>
              </w:rPr>
            </w:pPr>
            <w:hyperlink w:anchor="page47">
              <w:r>
                <w:rPr>
                  <w:rFonts w:ascii="Arial" w:cs="Arial" w:eastAsia="Arial" w:hAnsi="Arial"/>
                  <w:sz w:val="16"/>
                  <w:szCs w:val="16"/>
                  <w:color w:val="0F7C7F"/>
                </w:rPr>
                <w:t>Quantitative and Qualitative Disclosures About Market Risk</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7">
              <w:r>
                <w:rPr>
                  <w:rFonts w:ascii="Arial" w:cs="Arial" w:eastAsia="Arial" w:hAnsi="Arial"/>
                  <w:sz w:val="16"/>
                  <w:szCs w:val="16"/>
                  <w:color w:val="0F7C7F"/>
                </w:rPr>
                <w:t>47</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4240" w:type="dxa"/>
            <w:vAlign w:val="bottom"/>
            <w:gridSpan w:val="7"/>
          </w:tcPr>
          <w:p>
            <w:pPr>
              <w:spacing w:after="0"/>
              <w:rPr>
                <w:rFonts w:ascii="Arial" w:cs="Arial" w:eastAsia="Arial" w:hAnsi="Arial"/>
                <w:sz w:val="16"/>
                <w:szCs w:val="16"/>
                <w:color w:val="0F7C7F"/>
              </w:rPr>
            </w:pPr>
            <w:hyperlink w:anchor="page48">
              <w:r>
                <w:rPr>
                  <w:rFonts w:ascii="Arial" w:cs="Arial" w:eastAsia="Arial" w:hAnsi="Arial"/>
                  <w:sz w:val="16"/>
                  <w:szCs w:val="16"/>
                  <w:color w:val="0F7C7F"/>
                </w:rPr>
                <w:t>Controls and Procedures</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8">
              <w:r>
                <w:rPr>
                  <w:rFonts w:ascii="Arial" w:cs="Arial" w:eastAsia="Arial" w:hAnsi="Arial"/>
                  <w:sz w:val="16"/>
                  <w:szCs w:val="16"/>
                  <w:color w:val="0F7C7F"/>
                </w:rPr>
                <w:t>48</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II - Other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1340" w:type="dxa"/>
            <w:vAlign w:val="bottom"/>
            <w:gridSpan w:val="4"/>
          </w:tcPr>
          <w:p>
            <w:pPr>
              <w:spacing w:after="0"/>
              <w:rPr>
                <w:rFonts w:ascii="Arial" w:cs="Arial" w:eastAsia="Arial" w:hAnsi="Arial"/>
                <w:sz w:val="16"/>
                <w:szCs w:val="16"/>
                <w:color w:val="0F7C7F"/>
                <w:w w:val="99"/>
              </w:rPr>
            </w:pPr>
            <w:hyperlink w:anchor="page48">
              <w:r>
                <w:rPr>
                  <w:rFonts w:ascii="Arial" w:cs="Arial" w:eastAsia="Arial" w:hAnsi="Arial"/>
                  <w:sz w:val="16"/>
                  <w:szCs w:val="16"/>
                  <w:color w:val="0F7C7F"/>
                  <w:w w:val="99"/>
                </w:rPr>
                <w:t>Legal Proceedings</w:t>
              </w:r>
            </w:hyperlink>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8">
              <w:r>
                <w:rPr>
                  <w:rFonts w:ascii="Arial" w:cs="Arial" w:eastAsia="Arial" w:hAnsi="Arial"/>
                  <w:sz w:val="16"/>
                  <w:szCs w:val="16"/>
                  <w:color w:val="0F7C7F"/>
                </w:rPr>
                <w:t>48</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1A.</w:t>
            </w:r>
          </w:p>
        </w:tc>
        <w:tc>
          <w:tcPr>
            <w:tcW w:w="900" w:type="dxa"/>
            <w:vAlign w:val="bottom"/>
            <w:gridSpan w:val="3"/>
          </w:tcPr>
          <w:p>
            <w:pPr>
              <w:spacing w:after="0"/>
              <w:rPr>
                <w:rFonts w:ascii="Arial" w:cs="Arial" w:eastAsia="Arial" w:hAnsi="Arial"/>
                <w:sz w:val="16"/>
                <w:szCs w:val="16"/>
                <w:color w:val="0F7C7F"/>
                <w:w w:val="98"/>
              </w:rPr>
            </w:pPr>
            <w:hyperlink w:anchor="page48">
              <w:r>
                <w:rPr>
                  <w:rFonts w:ascii="Arial" w:cs="Arial" w:eastAsia="Arial" w:hAnsi="Arial"/>
                  <w:sz w:val="16"/>
                  <w:szCs w:val="16"/>
                  <w:color w:val="0F7C7F"/>
                  <w:w w:val="98"/>
                </w:rPr>
                <w:t>Risk Factors</w:t>
              </w:r>
            </w:hyperlink>
          </w:p>
        </w:tc>
        <w:tc>
          <w:tcPr>
            <w:tcW w:w="440" w:type="dxa"/>
            <w:vAlign w:val="bottom"/>
          </w:tcPr>
          <w:p>
            <w:pPr>
              <w:spacing w:after="0"/>
              <w:rPr>
                <w:sz w:val="24"/>
                <w:szCs w:val="24"/>
                <w:color w:val="auto"/>
              </w:rPr>
            </w:pPr>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8">
              <w:r>
                <w:rPr>
                  <w:rFonts w:ascii="Arial" w:cs="Arial" w:eastAsia="Arial" w:hAnsi="Arial"/>
                  <w:sz w:val="16"/>
                  <w:szCs w:val="16"/>
                  <w:color w:val="0F7C7F"/>
                </w:rPr>
                <w:t>48</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49">
              <w:r>
                <w:rPr>
                  <w:rFonts w:ascii="Arial" w:cs="Arial" w:eastAsia="Arial" w:hAnsi="Arial"/>
                  <w:sz w:val="16"/>
                  <w:szCs w:val="16"/>
                  <w:color w:val="0F7C7F"/>
                </w:rPr>
                <w:t>Unregistered Sales of Equity Securities and Use of Proceeds</w:t>
              </w:r>
            </w:hyperlink>
          </w:p>
        </w:tc>
        <w:tc>
          <w:tcPr>
            <w:tcW w:w="4400" w:type="dxa"/>
            <w:vAlign w:val="bottom"/>
            <w:gridSpan w:val="4"/>
          </w:tcPr>
          <w:p>
            <w:pPr>
              <w:jc w:val="right"/>
              <w:spacing w:after="0"/>
              <w:rPr>
                <w:rFonts w:ascii="Arial" w:cs="Arial" w:eastAsia="Arial" w:hAnsi="Arial"/>
                <w:sz w:val="16"/>
                <w:szCs w:val="16"/>
                <w:color w:val="0F7C7F"/>
              </w:rPr>
            </w:pPr>
            <w:hyperlink w:anchor="page49">
              <w:r>
                <w:rPr>
                  <w:rFonts w:ascii="Arial" w:cs="Arial" w:eastAsia="Arial" w:hAnsi="Arial"/>
                  <w:sz w:val="16"/>
                  <w:szCs w:val="16"/>
                  <w:color w:val="0F7C7F"/>
                </w:rPr>
                <w:t>49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3580" w:type="dxa"/>
            <w:vAlign w:val="bottom"/>
            <w:gridSpan w:val="6"/>
            <w:shd w:val="clear" w:color="auto" w:fill="0F7C7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79"/>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360" w:type="dxa"/>
            <w:vAlign w:val="bottom"/>
            <w:gridSpan w:val="8"/>
          </w:tcPr>
          <w:p>
            <w:pPr>
              <w:spacing w:after="0"/>
              <w:rPr>
                <w:sz w:val="20"/>
                <w:szCs w:val="20"/>
                <w:color w:val="auto"/>
              </w:rPr>
            </w:pPr>
            <w:r>
              <w:rPr>
                <w:rFonts w:ascii="Arial" w:cs="Arial" w:eastAsia="Arial" w:hAnsi="Arial"/>
                <w:sz w:val="16"/>
                <w:szCs w:val="16"/>
                <w:color w:val="0F7C7F"/>
              </w:rPr>
              <w:t>Defaults Upon Senior Securities</w:t>
            </w:r>
          </w:p>
        </w:tc>
        <w:tc>
          <w:tcPr>
            <w:tcW w:w="202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6380" w:type="dxa"/>
            <w:vAlign w:val="bottom"/>
            <w:gridSpan w:val="9"/>
          </w:tcPr>
          <w:p>
            <w:pPr>
              <w:spacing w:after="0"/>
              <w:rPr>
                <w:sz w:val="20"/>
                <w:szCs w:val="20"/>
                <w:color w:val="auto"/>
              </w:rPr>
            </w:pPr>
            <w:r>
              <w:rPr>
                <w:rFonts w:ascii="Arial" w:cs="Arial" w:eastAsia="Arial" w:hAnsi="Arial"/>
                <w:sz w:val="16"/>
                <w:szCs w:val="16"/>
                <w:color w:val="0F7C7F"/>
              </w:rPr>
              <w:t>Mine Safety Disclosures</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5.</w:t>
            </w:r>
          </w:p>
        </w:tc>
        <w:tc>
          <w:tcPr>
            <w:tcW w:w="6380" w:type="dxa"/>
            <w:vAlign w:val="bottom"/>
            <w:gridSpan w:val="9"/>
          </w:tcPr>
          <w:p>
            <w:pPr>
              <w:spacing w:after="0"/>
              <w:rPr>
                <w:sz w:val="20"/>
                <w:szCs w:val="20"/>
                <w:color w:val="auto"/>
              </w:rPr>
            </w:pPr>
            <w:r>
              <w:rPr>
                <w:rFonts w:ascii="Arial" w:cs="Arial" w:eastAsia="Arial" w:hAnsi="Arial"/>
                <w:sz w:val="16"/>
                <w:szCs w:val="16"/>
                <w:color w:val="0F7C7F"/>
              </w:rPr>
              <w:t>Other Information</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30"/>
        </w:trPr>
        <w:tc>
          <w:tcPr>
            <w:tcW w:w="580" w:type="dxa"/>
            <w:vAlign w:val="bottom"/>
          </w:tcPr>
          <w:p>
            <w:pPr>
              <w:spacing w:after="0"/>
              <w:rPr>
                <w:sz w:val="20"/>
                <w:szCs w:val="20"/>
                <w:color w:val="auto"/>
              </w:rPr>
            </w:pPr>
            <w:r>
              <w:rPr>
                <w:rFonts w:ascii="Arial" w:cs="Arial" w:eastAsia="Arial" w:hAnsi="Arial"/>
                <w:sz w:val="16"/>
                <w:szCs w:val="16"/>
                <w:color w:val="0F7C7F"/>
              </w:rPr>
              <w:t>6.</w:t>
            </w:r>
          </w:p>
        </w:tc>
        <w:tc>
          <w:tcPr>
            <w:tcW w:w="6380" w:type="dxa"/>
            <w:vAlign w:val="bottom"/>
            <w:gridSpan w:val="9"/>
          </w:tcPr>
          <w:p>
            <w:pPr>
              <w:spacing w:after="0"/>
              <w:rPr>
                <w:rFonts w:ascii="Arial" w:cs="Arial" w:eastAsia="Arial" w:hAnsi="Arial"/>
                <w:sz w:val="16"/>
                <w:szCs w:val="16"/>
                <w:color w:val="0F7C7F"/>
              </w:rPr>
            </w:pPr>
            <w:hyperlink w:anchor="page50">
              <w:r>
                <w:rPr>
                  <w:rFonts w:ascii="Arial" w:cs="Arial" w:eastAsia="Arial" w:hAnsi="Arial"/>
                  <w:sz w:val="16"/>
                  <w:szCs w:val="16"/>
                  <w:color w:val="0F7C7F"/>
                </w:rPr>
                <w:t>Exhibits</w:t>
              </w:r>
            </w:hyperlink>
          </w:p>
        </w:tc>
        <w:tc>
          <w:tcPr>
            <w:tcW w:w="4400" w:type="dxa"/>
            <w:vAlign w:val="bottom"/>
            <w:gridSpan w:val="4"/>
          </w:tcPr>
          <w:p>
            <w:pPr>
              <w:jc w:val="right"/>
              <w:spacing w:after="0"/>
              <w:rPr>
                <w:rFonts w:ascii="Arial" w:cs="Arial" w:eastAsia="Arial" w:hAnsi="Arial"/>
                <w:sz w:val="16"/>
                <w:szCs w:val="16"/>
                <w:color w:val="0F7C7F"/>
              </w:rPr>
            </w:pPr>
            <w:hyperlink w:anchor="page50">
              <w:r>
                <w:rPr>
                  <w:rFonts w:ascii="Arial" w:cs="Arial" w:eastAsia="Arial" w:hAnsi="Arial"/>
                  <w:sz w:val="16"/>
                  <w:szCs w:val="16"/>
                  <w:color w:val="0F7C7F"/>
                </w:rPr>
                <w:t>50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780" w:type="dxa"/>
            <w:vAlign w:val="bottom"/>
            <w:tcBorders>
              <w:bottom w:val="single" w:sz="8" w:color="0F7C7F"/>
            </w:tcBorders>
            <w:gridSpan w:val="2"/>
          </w:tcPr>
          <w:p>
            <w:pPr>
              <w:spacing w:after="0"/>
              <w:rPr>
                <w:rFonts w:ascii="Arial" w:cs="Arial" w:eastAsia="Arial" w:hAnsi="Arial"/>
                <w:sz w:val="16"/>
                <w:szCs w:val="16"/>
                <w:color w:val="0F7C7F"/>
                <w:w w:val="99"/>
              </w:rPr>
            </w:pPr>
            <w:hyperlink w:anchor="page51">
              <w:r>
                <w:rPr>
                  <w:rFonts w:ascii="Arial" w:cs="Arial" w:eastAsia="Arial" w:hAnsi="Arial"/>
                  <w:sz w:val="16"/>
                  <w:szCs w:val="16"/>
                  <w:color w:val="0F7C7F"/>
                  <w:w w:val="99"/>
                </w:rPr>
                <w:t>Signatures</w:t>
              </w:r>
            </w:hyperlink>
          </w:p>
        </w:tc>
        <w:tc>
          <w:tcPr>
            <w:tcW w:w="5600" w:type="dxa"/>
            <w:vAlign w:val="bottom"/>
            <w:gridSpan w:val="7"/>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1">
              <w:r>
                <w:rPr>
                  <w:rFonts w:ascii="Arial" w:cs="Arial" w:eastAsia="Arial" w:hAnsi="Arial"/>
                  <w:sz w:val="16"/>
                  <w:szCs w:val="16"/>
                  <w:color w:val="0F7C7F"/>
                </w:rPr>
                <w:t>51</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c>
          <w:tcPr>
            <w:tcW w:w="10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00"/>
          </w:cols>
          <w:pgMar w:left="240" w:top="14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5"/>
          </w:tcPr>
          <w:p>
            <w:pPr>
              <w:jc w:val="center"/>
              <w:ind w:left="921"/>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Premium revenue</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4,084</w:t>
            </w:r>
          </w:p>
        </w:tc>
        <w:tc>
          <w:tcPr>
            <w:tcW w:w="40" w:type="dxa"/>
            <w:vAlign w:val="bottom"/>
          </w:tcPr>
          <w:p>
            <w:pPr>
              <w:spacing w:after="0"/>
              <w:rPr>
                <w:sz w:val="22"/>
                <w:szCs w:val="22"/>
                <w:color w:val="auto"/>
              </w:rPr>
            </w:pP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4,337</w:t>
            </w:r>
          </w:p>
        </w:tc>
        <w:tc>
          <w:tcPr>
            <w:tcW w:w="40" w:type="dxa"/>
            <w:vAlign w:val="bottom"/>
          </w:tcPr>
          <w:p>
            <w:pPr>
              <w:spacing w:after="0"/>
              <w:rPr>
                <w:sz w:val="22"/>
                <w:szCs w:val="22"/>
                <w:color w:val="auto"/>
              </w:rPr>
            </w:pPr>
          </w:p>
        </w:tc>
        <w:tc>
          <w:tcPr>
            <w:tcW w:w="50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13,174</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Premium tax revenue</w:t>
            </w: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Health insurer fees reimbursed</w:t>
            </w:r>
          </w:p>
        </w:tc>
        <w:tc>
          <w:tcPr>
            <w:tcW w:w="10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10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0" w:type="dxa"/>
            <w:vAlign w:val="bottom"/>
            <w:shd w:val="clear" w:color="auto" w:fill="CCEEFF"/>
          </w:tcPr>
          <w:p>
            <w:pPr>
              <w:spacing w:after="0"/>
              <w:rPr>
                <w:sz w:val="24"/>
                <w:szCs w:val="24"/>
                <w:color w:val="auto"/>
              </w:rPr>
            </w:pPr>
          </w:p>
        </w:tc>
      </w:tr>
      <w:tr>
        <w:trPr>
          <w:trHeight w:val="264"/>
        </w:trPr>
        <w:tc>
          <w:tcPr>
            <w:tcW w:w="47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Investment income and other revenue</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0" w:type="dxa"/>
            <w:vAlign w:val="bottom"/>
            <w:tcBorders>
              <w:bottom w:val="single" w:sz="8" w:color="auto"/>
            </w:tcBorders>
          </w:tcPr>
          <w:p>
            <w:pPr>
              <w:spacing w:after="0"/>
              <w:rPr>
                <w:sz w:val="22"/>
                <w:szCs w:val="22"/>
                <w:color w:val="auto"/>
              </w:rPr>
            </w:pPr>
          </w:p>
        </w:tc>
      </w:tr>
      <w:tr>
        <w:trPr>
          <w:trHeight w:val="257"/>
        </w:trPr>
        <w:tc>
          <w:tcPr>
            <w:tcW w:w="47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10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4,697</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14,226</w:t>
            </w:r>
          </w:p>
        </w:tc>
        <w:tc>
          <w:tcPr>
            <w:tcW w:w="20" w:type="dxa"/>
            <w:vAlign w:val="bottom"/>
            <w:tcBorders>
              <w:bottom w:val="single" w:sz="8" w:color="auto"/>
            </w:tcBorders>
            <w:shd w:val="clear" w:color="auto" w:fill="CCEEFF"/>
          </w:tcPr>
          <w:p>
            <w:pPr>
              <w:spacing w:after="0"/>
              <w:rPr>
                <w:sz w:val="22"/>
                <w:szCs w:val="22"/>
                <w:color w:val="auto"/>
              </w:rPr>
            </w:pPr>
          </w:p>
        </w:tc>
      </w:tr>
      <w:tr>
        <w:trPr>
          <w:trHeight w:val="25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11,362</w:t>
            </w:r>
          </w:p>
        </w:tc>
        <w:tc>
          <w:tcPr>
            <w:tcW w:w="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Premium tax expenses</w:t>
            </w: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Health insurer fees</w:t>
            </w:r>
          </w:p>
        </w:tc>
        <w:tc>
          <w:tcPr>
            <w:tcW w:w="10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Restructuring costs</w:t>
            </w:r>
          </w:p>
        </w:tc>
        <w:tc>
          <w:tcPr>
            <w:tcW w:w="10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2"/>
                <w:szCs w:val="22"/>
                <w:color w:val="auto"/>
              </w:rPr>
            </w:pPr>
          </w:p>
        </w:tc>
      </w:tr>
      <w:tr>
        <w:trPr>
          <w:trHeight w:val="273"/>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service revenue</w:t>
            </w:r>
          </w:p>
        </w:tc>
        <w:tc>
          <w:tcPr>
            <w:tcW w:w="10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3,986</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4,439</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11,753</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13,404</w:t>
            </w:r>
          </w:p>
        </w:tc>
        <w:tc>
          <w:tcPr>
            <w:tcW w:w="20" w:type="dxa"/>
            <w:vAlign w:val="bottom"/>
            <w:tcBorders>
              <w:top w:val="single" w:sz="8" w:color="auto"/>
              <w:bottom w:val="single" w:sz="8" w:color="auto"/>
            </w:tcBorders>
          </w:tcPr>
          <w:p>
            <w:pPr>
              <w:spacing w:after="0"/>
              <w:rPr>
                <w:sz w:val="21"/>
                <w:szCs w:val="21"/>
                <w:color w:val="auto"/>
              </w:rPr>
            </w:pP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on sale of subsidiary</w:t>
            </w:r>
          </w:p>
        </w:tc>
        <w:tc>
          <w:tcPr>
            <w:tcW w:w="10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21"/>
                <w:szCs w:val="21"/>
                <w:color w:val="auto"/>
              </w:rPr>
            </w:pPr>
          </w:p>
        </w:tc>
      </w:tr>
      <w:tr>
        <w:trPr>
          <w:trHeight w:val="25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295</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20" w:type="dxa"/>
            <w:vAlign w:val="bottom"/>
            <w:tcBorders>
              <w:top w:val="single" w:sz="8" w:color="auto"/>
              <w:bottom w:val="single" w:sz="8" w:color="auto"/>
            </w:tcBorders>
          </w:tcPr>
          <w:p>
            <w:pPr>
              <w:spacing w:after="0"/>
              <w:rPr>
                <w:sz w:val="21"/>
                <w:szCs w:val="2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1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22"/>
                <w:szCs w:val="22"/>
                <w:color w:val="auto"/>
              </w:rPr>
            </w:pPr>
          </w:p>
        </w:tc>
      </w:tr>
      <w:tr>
        <w:trPr>
          <w:trHeight w:val="273"/>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expenses (income), net</w:t>
            </w:r>
          </w:p>
        </w:tc>
        <w:tc>
          <w:tcPr>
            <w:tcW w:w="10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other expenses, net</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0" w:type="dxa"/>
            <w:vAlign w:val="bottom"/>
            <w:tcBorders>
              <w:bottom w:val="single" w:sz="8" w:color="auto"/>
            </w:tcBorders>
          </w:tcPr>
          <w:p>
            <w:pPr>
              <w:spacing w:after="0"/>
              <w:rPr>
                <w:sz w:val="21"/>
                <w:szCs w:val="2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 expense</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20" w:type="dxa"/>
            <w:vAlign w:val="bottom"/>
            <w:shd w:val="clear" w:color="auto" w:fill="CCEEFF"/>
          </w:tcPr>
          <w:p>
            <w:pPr>
              <w:spacing w:after="0"/>
              <w:rPr>
                <w:sz w:val="22"/>
                <w:szCs w:val="22"/>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20" w:type="dxa"/>
            <w:vAlign w:val="bottom"/>
            <w:tcBorders>
              <w:bottom w:val="single" w:sz="8" w:color="auto"/>
            </w:tcBorders>
          </w:tcPr>
          <w:p>
            <w:pPr>
              <w:spacing w:after="0"/>
              <w:rPr>
                <w:sz w:val="22"/>
                <w:szCs w:val="22"/>
                <w:color w:val="auto"/>
              </w:rPr>
            </w:pPr>
          </w:p>
        </w:tc>
      </w:tr>
      <w:tr>
        <w:trPr>
          <w:trHeight w:val="24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w:t>
            </w:r>
          </w:p>
        </w:tc>
        <w:tc>
          <w:tcPr>
            <w:tcW w:w="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20" w:type="dxa"/>
            <w:vAlign w:val="bottom"/>
            <w:shd w:val="clear" w:color="auto" w:fill="CCEEFF"/>
          </w:tcPr>
          <w:p>
            <w:pPr>
              <w:spacing w:after="0"/>
              <w:rPr>
                <w:sz w:val="20"/>
                <w:szCs w:val="20"/>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1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94"/>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20" w:type="dxa"/>
            <w:vAlign w:val="bottom"/>
            <w:tcBorders>
              <w:bottom w:val="single" w:sz="8" w:color="auto"/>
            </w:tcBorders>
          </w:tcPr>
          <w:p>
            <w:pPr>
              <w:spacing w:after="0"/>
              <w:rPr>
                <w:sz w:val="24"/>
                <w:szCs w:val="24"/>
                <w:color w:val="auto"/>
              </w:rPr>
            </w:pPr>
          </w:p>
        </w:tc>
      </w:tr>
      <w:tr>
        <w:trPr>
          <w:trHeight w:val="22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1"/>
        </w:trPr>
        <w:tc>
          <w:tcPr>
            <w:tcW w:w="8020" w:type="dxa"/>
            <w:vAlign w:val="bottom"/>
            <w:gridSpan w:val="10"/>
          </w:tcPr>
          <w:p>
            <w:pPr>
              <w:spacing w:after="0"/>
              <w:rPr>
                <w:sz w:val="20"/>
                <w:szCs w:val="20"/>
                <w:color w:val="auto"/>
              </w:rPr>
            </w:pPr>
            <w:r>
              <w:rPr>
                <w:rFonts w:ascii="Arial" w:cs="Arial" w:eastAsia="Arial" w:hAnsi="Arial"/>
                <w:sz w:val="25"/>
                <w:szCs w:val="25"/>
                <w:b w:val="1"/>
                <w:bCs w:val="1"/>
                <w:color w:val="0F7C7F"/>
              </w:rPr>
              <w:t>CONSOLIDATED STATEMENTS OF COMPREHENSIVE INCOME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6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center"/>
              <w:ind w:left="861"/>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5"/>
          </w:tcPr>
          <w:p>
            <w:pPr>
              <w:jc w:val="center"/>
              <w:ind w:left="881"/>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197</w:t>
            </w:r>
          </w:p>
        </w:tc>
        <w:tc>
          <w:tcPr>
            <w:tcW w:w="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20" w:type="dxa"/>
            <w:vAlign w:val="bottom"/>
          </w:tcPr>
          <w:p>
            <w:pPr>
              <w:spacing w:after="0"/>
              <w:rPr>
                <w:sz w:val="24"/>
                <w:szCs w:val="24"/>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 (loss):</w:t>
            </w: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Unrealized investment income (loss)</w:t>
            </w:r>
          </w:p>
        </w:tc>
        <w:tc>
          <w:tcPr>
            <w:tcW w:w="10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4"/>
                <w:szCs w:val="24"/>
                <w:color w:val="auto"/>
              </w:rPr>
            </w:pPr>
          </w:p>
        </w:tc>
      </w:tr>
      <w:tr>
        <w:trPr>
          <w:trHeight w:val="264"/>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r>
      <w:tr>
        <w:trPr>
          <w:trHeight w:val="250"/>
        </w:trPr>
        <w:tc>
          <w:tcPr>
            <w:tcW w:w="4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r>
      <w:tr>
        <w:trPr>
          <w:trHeight w:val="24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40" w:type="dxa"/>
            <w:vAlign w:val="bottom"/>
          </w:tcPr>
          <w:p>
            <w:pPr>
              <w:spacing w:after="0"/>
              <w:rPr>
                <w:sz w:val="20"/>
                <w:szCs w:val="20"/>
                <w:color w:val="auto"/>
              </w:rPr>
            </w:pPr>
          </w:p>
        </w:tc>
        <w:tc>
          <w:tcPr>
            <w:tcW w:w="3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20"/>
                <w:szCs w:val="20"/>
                <w:color w:val="auto"/>
              </w:rPr>
            </w:pPr>
          </w:p>
        </w:tc>
        <w:tc>
          <w:tcPr>
            <w:tcW w:w="50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502</w:t>
            </w:r>
          </w:p>
        </w:tc>
        <w:tc>
          <w:tcPr>
            <w:tcW w:w="2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75"/>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(Dollars in millions,</w:t>
            </w:r>
          </w:p>
        </w:tc>
      </w:t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except per-share amounts)</w:t>
            </w:r>
          </w:p>
        </w:tc>
      </w:tr>
      <w:tr>
        <w:trPr>
          <w:trHeight w:val="276"/>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2,826</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1,681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1,330</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149</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4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6,462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117</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77"/>
        </w:trPr>
        <w:tc>
          <w:tcPr>
            <w:tcW w:w="8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7,154</w:t>
            </w:r>
          </w:p>
        </w:tc>
      </w:tr>
      <w:tr>
        <w:trPr>
          <w:trHeight w:val="271"/>
        </w:trPr>
        <w:tc>
          <w:tcPr>
            <w:tcW w:w="8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8340" w:type="dxa"/>
            <w:vAlign w:val="bottom"/>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1,961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967</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390</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241</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4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4,246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Finance lease liabilities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197</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5,507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8"/>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$0.001 par value, 150 million shares authorized; outstanding: 63 million shares at September 30,</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8340" w:type="dxa"/>
            <w:vAlign w:val="bottom"/>
          </w:tcPr>
          <w:p>
            <w:pPr>
              <w:ind w:left="340"/>
              <w:spacing w:after="0"/>
              <w:rPr>
                <w:sz w:val="20"/>
                <w:szCs w:val="20"/>
                <w:color w:val="auto"/>
              </w:rPr>
            </w:pPr>
            <w:r>
              <w:rPr>
                <w:rFonts w:ascii="Arial" w:cs="Arial" w:eastAsia="Arial" w:hAnsi="Arial"/>
                <w:sz w:val="16"/>
                <w:szCs w:val="16"/>
                <w:color w:val="auto"/>
              </w:rPr>
              <w:t>2019, and 62 million shares at December 31, 2018</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643</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1,012</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r>
      <w:tr>
        <w:trPr>
          <w:trHeight w:val="237"/>
        </w:trPr>
        <w:tc>
          <w:tcPr>
            <w:tcW w:w="8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6,701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7,154</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44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0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new accounting standard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7"/>
        </w:trPr>
        <w:tc>
          <w:tcPr>
            <w:tcW w:w="3780" w:type="dxa"/>
            <w:vAlign w:val="bottom"/>
          </w:tcPr>
          <w:p>
            <w:pPr>
              <w:ind w:left="40"/>
              <w:spacing w:after="0"/>
              <w:rPr>
                <w:sz w:val="20"/>
                <w:szCs w:val="20"/>
                <w:color w:val="auto"/>
              </w:rPr>
            </w:pPr>
            <w:r>
              <w:rPr>
                <w:rFonts w:ascii="Arial" w:cs="Arial" w:eastAsia="Arial" w:hAnsi="Arial"/>
                <w:sz w:val="16"/>
                <w:szCs w:val="16"/>
                <w:color w:val="auto"/>
              </w:rPr>
              <w:t>Balance at June 30, 2019</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0"/>
        </w:trPr>
        <w:tc>
          <w:tcPr>
            <w:tcW w:w="3780" w:type="dxa"/>
            <w:vAlign w:val="bottom"/>
          </w:tcPr>
          <w:p>
            <w:pPr>
              <w:ind w:left="40"/>
              <w:spacing w:after="0"/>
              <w:rPr>
                <w:sz w:val="20"/>
                <w:szCs w:val="20"/>
                <w:color w:val="auto"/>
              </w:rPr>
            </w:pPr>
            <w:r>
              <w:rPr>
                <w:rFonts w:ascii="Arial" w:cs="Arial" w:eastAsia="Arial" w:hAnsi="Arial"/>
                <w:sz w:val="16"/>
                <w:szCs w:val="16"/>
                <w:color w:val="auto"/>
              </w:rPr>
              <w:t>Balance at September 30, 2019</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3780" w:type="dxa"/>
            <w:vAlign w:val="bottom"/>
          </w:tcPr>
          <w:p>
            <w:pPr>
              <w:spacing w:after="0"/>
              <w:rPr>
                <w:sz w:val="24"/>
                <w:szCs w:val="24"/>
                <w:color w:val="auto"/>
              </w:rPr>
            </w:pPr>
          </w:p>
        </w:tc>
        <w:tc>
          <w:tcPr>
            <w:tcW w:w="244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0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new accounting standards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Exchange of 1.625% Convertible Notes</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7"/>
        </w:trPr>
        <w:tc>
          <w:tcPr>
            <w:tcW w:w="378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Conversion of 1.625% Convertible Notes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0"/>
        </w:trPr>
        <w:tc>
          <w:tcPr>
            <w:tcW w:w="3780" w:type="dxa"/>
            <w:vAlign w:val="bottom"/>
          </w:tcPr>
          <w:p>
            <w:pPr>
              <w:ind w:left="40"/>
              <w:spacing w:after="0"/>
              <w:rPr>
                <w:sz w:val="20"/>
                <w:szCs w:val="20"/>
                <w:color w:val="auto"/>
              </w:rPr>
            </w:pPr>
            <w:r>
              <w:rPr>
                <w:rFonts w:ascii="Arial" w:cs="Arial" w:eastAsia="Arial" w:hAnsi="Arial"/>
                <w:sz w:val="16"/>
                <w:szCs w:val="16"/>
                <w:color w:val="auto"/>
              </w:rPr>
              <w:t>Balance at September 30, 2018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175"/>
        </w:trPr>
        <w:tc>
          <w:tcPr>
            <w:tcW w:w="8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r>
      <w:tr>
        <w:trPr>
          <w:trHeight w:val="196"/>
        </w:trPr>
        <w:tc>
          <w:tcPr>
            <w:tcW w:w="8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convertible senior notes and finance lease liabilities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(Gain) loss on debt extinguishment</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restructuring costs</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Gain on sale of subsidiary</w:t>
            </w: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claims and benefits payable</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Amounts due government agencies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provided by (used in) operating activities</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2,070</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821</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principal amount of 1.125% Convertible Notes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settlement of 1.125% Conversion Option</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Cash received for partial termination of 1.125% Call Option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477</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termination of 1.125% Warrants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borrowings under Term Loan Facility</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Credit Facility</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1.625% Convertible Notes</w:t>
            </w: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 and cash equivalents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right="5500"/>
        <w:spacing w:after="0" w:line="288"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30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175"/>
        </w:trPr>
        <w:tc>
          <w:tcPr>
            <w:tcW w:w="8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r>
      <w:tr>
        <w:trPr>
          <w:trHeight w:val="196"/>
        </w:trPr>
        <w:tc>
          <w:tcPr>
            <w:tcW w:w="8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24"/>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9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Common stock used for share-based compensation</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308"/>
        </w:trPr>
        <w:tc>
          <w:tcPr>
            <w:tcW w:w="8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Details of sale of subsidiary:</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carrying amount of assets</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Decrease in carrying amount of liabilities</w:t>
            </w:r>
          </w:p>
        </w:tc>
        <w:tc>
          <w:tcPr>
            <w:tcW w:w="10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Transaction costs</w:t>
            </w:r>
          </w:p>
        </w:tc>
        <w:tc>
          <w:tcPr>
            <w:tcW w:w="10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Receivable from buyer - recorded in prepaid expenses and other current assets</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w:t>
            </w:r>
          </w:p>
        </w:tc>
      </w:tr>
      <w:tr>
        <w:trPr>
          <w:trHeight w:val="240"/>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Gain on sale of subsidiary</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Gain on 1.125% Call Option</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321</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1.125% Conversion Option</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80"/>
        </w:trPr>
        <w:tc>
          <w:tcPr>
            <w:tcW w:w="8120" w:type="dxa"/>
            <w:vAlign w:val="bottom"/>
          </w:tcPr>
          <w:p>
            <w:pPr>
              <w:ind w:left="500"/>
              <w:spacing w:after="0"/>
              <w:rPr>
                <w:sz w:val="20"/>
                <w:szCs w:val="20"/>
                <w:color w:val="auto"/>
              </w:rPr>
            </w:pPr>
            <w:r>
              <w:rPr>
                <w:rFonts w:ascii="Arial" w:cs="Arial" w:eastAsia="Arial" w:hAnsi="Arial"/>
                <w:sz w:val="16"/>
                <w:szCs w:val="16"/>
                <w:color w:val="auto"/>
              </w:rPr>
              <w:t>Change in fair value of derivatives, net</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08"/>
        </w:trPr>
        <w:tc>
          <w:tcPr>
            <w:tcW w:w="81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issued in exchange for 1.625% Convertible Notes</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Component allocated to additional paid-in capital, net of income taxes</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4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increase to additional paid-in capital</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7</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September 30, 2019</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two reportable segments: our Health Plans segment and our Other segment. We manage the vast majority of our operations through our Health Plans segment. The Other segment includes the historical results of the Medicaid management information systems (“MMIS”) and behavioral health subsidiaries we sold in late 2018, as well as certain corporate amounts not allocated to the Health Plans segment.</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September 30, 2019, these health plans served approximately 3.3 million members eligible for Medicaid, Medicare, and other government-sponsored healthcare programs for low-income families and individuals including Marketplace members, most of whom receive government subsidies for premiums. The health plans are generally operated by our respective wholly owned subsidiaries in those states, each of which is licensed as a health maintenance organization (“HMO”).</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health plans’ state Medicaid contracts generally have terms of three to five years. These contracts typically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Texas Health Plan. </w:t>
      </w:r>
      <w:r>
        <w:rPr>
          <w:rFonts w:ascii="Arial" w:cs="Arial" w:eastAsia="Arial" w:hAnsi="Arial"/>
          <w:sz w:val="18"/>
          <w:szCs w:val="18"/>
          <w:color w:val="auto"/>
        </w:rPr>
        <w:t>On October 29, 2019, the Texas Health and Human Services Commission (HHSC) notified our Texas health plan, Molina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of Texas, Inc., that HHSC intends to award contracts to Molina Healthcare of Texas, Inc. for the STAR+PLUS program in the Hidalgo and North East service areas. The awards will be for an initial contract term of 3 years, and anticipated to have an operational effective date of September 1, 2020. STAR+PLUS is a Texas Medicaid Managed Care program integrating the delivery of Acute Care services and Long-Term Services and Supports (LTSS) for people who are age 65 or older, blind, or disabled. Currently, our Texas health plan services the Bexar, Dallas, El Paso, Harris, Hidalgo, and Jefferson service areas, with total membership of approximately 86,000 enrollees. Under the existing STAR+PLUS contract, the premium revenue for this program amounted to approximately $1.2 billion for the nine months ended September 30, 2019.</w:t>
      </w:r>
    </w:p>
    <w:p>
      <w:pPr>
        <w:spacing w:after="0" w:line="7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New York Health Plan</w:t>
      </w:r>
      <w:r>
        <w:rPr>
          <w:rFonts w:ascii="Arial" w:cs="Arial" w:eastAsia="Arial" w:hAnsi="Arial"/>
          <w:sz w:val="18"/>
          <w:szCs w:val="18"/>
          <w:color w:val="auto"/>
        </w:rPr>
        <w:t>. On October 10, 2019, we entered into a definitive agreement to acquire certain assets of YourCare Health Plan, Inc.</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closing of this transaction, expected to occur in early 2020, we will serve approximately 46,000 Medicaid members in seven counties in Western New York. The purchase price of approximately $40 million will be funded with available cash, and the closing is subject to customary closing conditions.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nine months ended September 30, 2019, are not necessarily indicative of the results for the entire year ending December 31, 2019.</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2018. Accordingly, certain disclosures that would substantially duplicate the disclosures contained in our December 31, 2018, audited consolidated financial statements have been omitted.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unaudited consolidated interim financial statements should be read in conjunction with our audited consolidated financial statements for the fiscal year ended December 31,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Health plans’ contractual provisions that may limit revenue recognition based upon the costs incurred or the profits realized under a specific contract;</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Health plans’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litigation outcomes;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non-current “Restricted investments” in the accompanying consolidated balance sheets.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2,679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4"/>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 and cash equivalents presented in the statements of cash</w:t>
            </w:r>
          </w:p>
        </w:tc>
        <w:tc>
          <w:tcPr>
            <w:tcW w:w="1020" w:type="dxa"/>
            <w:vAlign w:val="bottom"/>
            <w:vMerge w:val="restart"/>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2,734</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flows</w:t>
            </w: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Premium revenue is fixed in advance of the periods covered and, except as described below, is not generally subject to significant accounting estimates. Premium revenues are recognized in the month that members are entitled to receive healthcare services, and premiums collected in advance are deferred. Certain components of premium revenue are subject to accounting estimates and fall into the following categories: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spent on defined medical care costs. In the aggregate, we recorded liabilities under the terms of such contract provisions of $95 million and $103 million at September 30, 2019 and December 31, 2018, respectively. Approximately $78 million and $87 million of the liabilities accrued at September 30, 2019 and December 31, 2018, respectively, relate to our participation in Medicaid Expansion programs.</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certain circumstances, the health plans may receive additional premiums if amounts spent on medical care costs exceed a defined maximum threshold. Receivables relating to such provisions were insignificant at September 30, 2019 and December 31, 2018.</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Profit Sharing and Profit Ceiling. </w:t>
      </w:r>
      <w:r>
        <w:rPr>
          <w:rFonts w:ascii="Arial" w:cs="Arial" w:eastAsia="Arial" w:hAnsi="Arial"/>
          <w:sz w:val="18"/>
          <w:szCs w:val="18"/>
          <w:color w:val="auto"/>
        </w:rPr>
        <w:t>Our contracts with certain states contain profit-sharing or profit ceiling provisions under which we refund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the states if our health plans 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September 30, 2019 and December 31, 2018.</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 must</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learn of the adjustment, based on our best estimate of the ultimate premium we expect to realize for the period being adjusted.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20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Risk Adjusted Premiums.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Centers for Medicare and Medicaid Services (“CMS”) practices. Consolidated balance sheet amounts related to anticipated Medicare risk adjusted premiums and Medicare Part D settlements were insignificant at September 30, 2019 and December 31, 2018.</w:t>
      </w:r>
    </w:p>
    <w:p>
      <w:pPr>
        <w:spacing w:after="0" w:line="18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has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 The amounts payable for the Medicare Minimum MLR were not significant at September 30, 2019 and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2019, Marketplace risk adjustment payables amounted to $285 million and related receivables amounted to $76 million, for a net payable of $209 million. As of December 31, 2018, Marketplace risk adjustment payables amounted to $466 million and related receivables amounted to $34 million, for a net payable of $432 million.</w:t>
      </w:r>
    </w:p>
    <w:p>
      <w:pPr>
        <w:spacing w:after="0" w:line="18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pay rebates to our Marketplace policyholders. The Marketplace risk adjustment program is taken into consideration when computing the Minimum MLR. We recognize estimated rebates under the Minimum MLR as an adjustment to premium revenue in our consolidated statements of income. Aggregate balance sheet amounts related to the Minimum MLR were insignificant at September 30, 2019 and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categories of amounts due government agencies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8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millions)</w:t>
            </w:r>
          </w:p>
        </w:tc>
      </w:tr>
      <w:tr>
        <w:trPr>
          <w:trHeight w:val="28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8300" w:type="dxa"/>
            <w:vAlign w:val="bottom"/>
          </w:tcPr>
          <w:p>
            <w:pPr>
              <w:ind w:left="160"/>
              <w:spacing w:after="0"/>
              <w:rPr>
                <w:sz w:val="20"/>
                <w:szCs w:val="20"/>
                <w:color w:val="auto"/>
              </w:rPr>
            </w:pPr>
            <w:r>
              <w:rPr>
                <w:rFonts w:ascii="Arial" w:cs="Arial" w:eastAsia="Arial" w:hAnsi="Arial"/>
                <w:sz w:val="16"/>
                <w:szCs w:val="16"/>
                <w:color w:val="auto"/>
              </w:rPr>
              <w:t>Medical cost floors and corridors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w:t>
            </w:r>
          </w:p>
        </w:tc>
      </w:tr>
      <w:tr>
        <w:trPr>
          <w:trHeight w:val="280"/>
        </w:trPr>
        <w:tc>
          <w:tcPr>
            <w:tcW w:w="8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amounts due to states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r>
      <w:tr>
        <w:trPr>
          <w:trHeight w:val="260"/>
        </w:trPr>
        <w:tc>
          <w:tcPr>
            <w:tcW w:w="83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Risk adjustment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r>
      <w:tr>
        <w:trPr>
          <w:trHeight w:val="260"/>
        </w:trPr>
        <w:tc>
          <w:tcPr>
            <w:tcW w:w="8300" w:type="dxa"/>
            <w:vAlign w:val="bottom"/>
          </w:tcPr>
          <w:p>
            <w:pPr>
              <w:ind w:left="160"/>
              <w:spacing w:after="0"/>
              <w:rPr>
                <w:sz w:val="20"/>
                <w:szCs w:val="20"/>
                <w:color w:val="auto"/>
              </w:rPr>
            </w:pPr>
            <w:r>
              <w:rPr>
                <w:rFonts w:ascii="Arial" w:cs="Arial" w:eastAsia="Arial" w:hAnsi="Arial"/>
                <w:sz w:val="16"/>
                <w:szCs w:val="16"/>
                <w:color w:val="auto"/>
              </w:rPr>
              <w:t>Cost sharing reduction (“CSR”)</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183</w:t>
            </w:r>
          </w:p>
        </w:tc>
      </w:tr>
      <w:tr>
        <w:trPr>
          <w:trHeight w:val="27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r>
      <w:tr>
        <w:trPr>
          <w:trHeight w:val="240"/>
        </w:trPr>
        <w:tc>
          <w:tcPr>
            <w:tcW w:w="8300" w:type="dxa"/>
            <w:vAlign w:val="bottom"/>
          </w:tcPr>
          <w:p>
            <w:pPr>
              <w:ind w:left="380"/>
              <w:spacing w:after="0"/>
              <w:rPr>
                <w:sz w:val="20"/>
                <w:szCs w:val="20"/>
                <w:color w:val="auto"/>
              </w:rPr>
            </w:pPr>
            <w:r>
              <w:rPr>
                <w:rFonts w:ascii="Arial" w:cs="Arial" w:eastAsia="Arial" w:hAnsi="Arial"/>
                <w:sz w:val="16"/>
                <w:szCs w:val="16"/>
                <w:color w:val="auto"/>
              </w:rPr>
              <w:t>Total amounts due government agencies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967</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As described in Note 1, “Organization and Basis of Presentation–</w:t>
      </w:r>
      <w:r>
        <w:rPr>
          <w:rFonts w:ascii="Arial" w:cs="Arial" w:eastAsia="Arial" w:hAnsi="Arial"/>
          <w:sz w:val="18"/>
          <w:szCs w:val="18"/>
          <w:i w:val="1"/>
          <w:iCs w:val="1"/>
          <w:color w:val="auto"/>
        </w:rPr>
        <w:t>Use of Estimates</w:t>
      </w:r>
      <w:r>
        <w:rPr>
          <w:rFonts w:ascii="Arial" w:cs="Arial" w:eastAsia="Arial" w:hAnsi="Arial"/>
          <w:sz w:val="18"/>
          <w:szCs w:val="18"/>
          <w:color w:val="auto"/>
        </w:rPr>
        <w:t>,” recognition of quality incentive premium revenue is subject to the use of estimates.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adjustments to prior years noted below are generally indicative of the potential future changes in our estimates as of September 30, 2019. The following table quantifies the quality incentive premium revenue recognized for the periods presented, including the amounts earned in the periods presented and prior periods.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10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in current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560" w:type="dxa"/>
            <w:vAlign w:val="bottom"/>
          </w:tcPr>
          <w:p>
            <w:pPr>
              <w:ind w:left="180"/>
              <w:spacing w:after="0"/>
              <w:rPr>
                <w:sz w:val="20"/>
                <w:szCs w:val="20"/>
                <w:color w:val="auto"/>
              </w:rPr>
            </w:pPr>
            <w:r>
              <w:rPr>
                <w:rFonts w:ascii="Arial" w:cs="Arial" w:eastAsia="Arial" w:hAnsi="Arial"/>
                <w:sz w:val="16"/>
                <w:szCs w:val="16"/>
                <w:color w:val="auto"/>
              </w:rPr>
              <w:t>Earned current period</w:t>
            </w:r>
          </w:p>
        </w:tc>
        <w:tc>
          <w:tcPr>
            <w:tcW w:w="1100" w:type="dxa"/>
            <w:vAlign w:val="bottom"/>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200" w:type="dxa"/>
            <w:vAlign w:val="bottom"/>
          </w:tcPr>
          <w:p>
            <w:pPr>
              <w:jc w:val="right"/>
              <w:ind w:right="100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2"/>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3"/>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prior periods</w:t>
            </w:r>
          </w:p>
        </w:tc>
        <w:tc>
          <w:tcPr>
            <w:tcW w:w="1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80"/>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67"/>
        </w:trPr>
        <w:tc>
          <w:tcPr>
            <w:tcW w:w="4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560" w:type="dxa"/>
            <w:vAlign w:val="bottom"/>
          </w:tcPr>
          <w:p>
            <w:pPr>
              <w:ind w:left="40"/>
              <w:spacing w:after="0"/>
              <w:rPr>
                <w:sz w:val="20"/>
                <w:szCs w:val="20"/>
                <w:color w:val="auto"/>
              </w:rPr>
            </w:pPr>
            <w:r>
              <w:rPr>
                <w:rFonts w:ascii="Arial" w:cs="Arial" w:eastAsia="Arial" w:hAnsi="Arial"/>
                <w:sz w:val="16"/>
                <w:szCs w:val="16"/>
                <w:color w:val="auto"/>
              </w:rPr>
              <w:t>Quality incentive premium revenue recognized as a</w:t>
            </w:r>
          </w:p>
        </w:tc>
        <w:tc>
          <w:tcPr>
            <w:tcW w:w="11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8"/>
        </w:trPr>
        <w:tc>
          <w:tcPr>
            <w:tcW w:w="4560" w:type="dxa"/>
            <w:vAlign w:val="bottom"/>
          </w:tcPr>
          <w:p>
            <w:pPr>
              <w:ind w:left="200"/>
              <w:spacing w:after="0"/>
              <w:rPr>
                <w:sz w:val="20"/>
                <w:szCs w:val="20"/>
                <w:color w:val="auto"/>
              </w:rPr>
            </w:pPr>
            <w:r>
              <w:rPr>
                <w:rFonts w:ascii="Arial" w:cs="Arial" w:eastAsia="Arial" w:hAnsi="Arial"/>
                <w:sz w:val="16"/>
                <w:szCs w:val="16"/>
                <w:color w:val="auto"/>
              </w:rPr>
              <w:t>percentage of total premium revenue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nine months ended September 30, 2018, we recognized a benefit of approximately $81 million in reduced medical care costs related to 2017 dates of service, including $5 million in the third quarter of 2018, as a result of the federal government’s confirmation that the reconciliation of 2017 Marketplace CSR subsidies would be performed on an annual basis. In the fourth quarter of 2017, we had assumed a nine-month reconciliation of this item pending confirmation of the time period to which the 2017 reconciliation would be applied.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operating lease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For further information, including the amount and location of the ROU assets and lease liabilities recognized in the accompanying consolidated balance sheet, see Note 13, “Leases.” For further information regarding our adoption and implementation of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see </w:t>
      </w:r>
      <w:r>
        <w:rPr>
          <w:rFonts w:ascii="Arial" w:cs="Arial" w:eastAsia="Arial" w:hAnsi="Arial"/>
          <w:sz w:val="18"/>
          <w:szCs w:val="18"/>
          <w:i w:val="1"/>
          <w:iCs w:val="1"/>
          <w:color w:val="auto"/>
        </w:rPr>
        <w:t>Recent Accounting Pronouncements Adopted,</w:t>
      </w:r>
      <w:r>
        <w:rPr>
          <w:rFonts w:ascii="Arial" w:cs="Arial" w:eastAsia="Arial" w:hAnsi="Arial"/>
          <w:sz w:val="18"/>
          <w:szCs w:val="18"/>
          <w:color w:val="auto"/>
        </w:rPr>
        <w:t xml:space="preserve">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a maximum maturity of 10 years, or 10 years average life for structured securities. Restricted investments are invested principally in cash, cash equivalents, and U.S. Treasury securities. Concentration of credit risk with respect to accounts receivable is generally limited because our payors consist principally of the federal government, and governments of each state or commonwealth in which our health plan subsidiaries operate.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nondeductible expenses such as the Health Insurer Fee (“HIF”), certain compensation, and other general and administrative expenses. The effective tax rate will not be impacted by HIF in 2019 given the 2019 HIF moratorium.</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(“FASB”) issued Topic 842, which was subsequently modified by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ASUs issued in 2017 and 2018. Topic 842 was issued to increase transparency and comparability among organizations by requiring the recognition of ROU assets and lease liabilities on the balance sheet. Most prominent among the changes in Topic 842 is the recognition of ROU assets and lease liabilities by lessees for those leases classified as operating leases. In addition, Topic 842’s disclosures are required to meet the objective of enabling users of financial statements to assess the amount, timing and uncertainty of cash flows arising from leases. Topic 842’s transition provisions are applied using a modified retrospective approach; entities may elect whether to apply the transition provisions, including disclosure requirements, at the beginning of the earliest comparative period presented or on the adoption date.</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adopted Topic 842 effective January 1, 2019, and elected to apply the transition provisions as of that date. Accordingly, we recognized the cumulative effect of initially applying the standard as an adjustment to the opening balance of retained earnings on January 1, 2019. In addition, we elected the available practical expedients and implemented internal controls and key system functionality to enable the preparation of financial information on adoption.</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indicated in the accompanying consolidated statements of stockholders’ equity, the cumulative effect adjustment was an increase of $85 million to retained earnings, relating primarily to the transition provisions for sale-leaseback arrangements that did not qualify for sale treatment. Accordingly, such arrangements for certain office buildings were de-recognized and recorded as finance lease ROU assets and lease liabilities. The difference between the de-recognized assets and lease financing obligations resulted in an increase to retained earnings. The recognition of these arrangements as finance lease ROU assets and lease liabilities will not materially impact our consolidated results of operations over the terms of the leases.</w:t>
      </w:r>
    </w:p>
    <w:p>
      <w:pPr>
        <w:spacing w:after="0" w:line="204"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i w:val="1"/>
          <w:iCs w:val="1"/>
          <w:color w:val="auto"/>
        </w:rPr>
        <w:t xml:space="preserve">Software Licenses.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Customer’s Accounting for Implementation Costs Incurred in a Cloud Computing Arrangement That Is a Service Contract, </w:t>
      </w:r>
      <w:r>
        <w:rPr>
          <w:rFonts w:ascii="Arial" w:cs="Arial" w:eastAsia="Arial" w:hAnsi="Arial"/>
          <w:sz w:val="18"/>
          <w:szCs w:val="18"/>
          <w:color w:val="auto"/>
        </w:rPr>
        <w:t>which aligns the requirements for capitalizing implementation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implementation costs incurred to develop or obtain internal-use software. We early adopted ASU 2018-15 effective January 1, 2019, using the prospective method</w:t>
      </w:r>
      <w:r>
        <w:rPr>
          <w:rFonts w:ascii="Arial" w:cs="Arial" w:eastAsia="Arial" w:hAnsi="Arial"/>
          <w:sz w:val="19"/>
          <w:szCs w:val="19"/>
          <w:color w:val="auto"/>
        </w:rPr>
        <w:t>,</w:t>
      </w:r>
      <w:r>
        <w:rPr>
          <w:rFonts w:ascii="Arial" w:cs="Arial" w:eastAsia="Arial" w:hAnsi="Arial"/>
          <w:sz w:val="18"/>
          <w:szCs w:val="18"/>
          <w:color w:val="auto"/>
        </w:rPr>
        <w:t xml:space="preserve"> with no material impact to our financial condition,</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12</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results of operations or cash flows. Adoption of this guidance may be significant to us in the future depending on the extent to which we use cloud computing arrangements that qualify as service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Financial Instruments - Credit Losses (Topic 326): Measurement of Credit Losses on Financial Instruments</w:t>
      </w:r>
      <w:r>
        <w:rPr>
          <w:rFonts w:ascii="Arial" w:cs="Arial" w:eastAsia="Arial" w:hAnsi="Arial"/>
          <w:sz w:val="18"/>
          <w:szCs w:val="18"/>
          <w:color w:val="auto"/>
        </w:rPr>
        <w:t>, as modified by:</w:t>
      </w:r>
    </w:p>
    <w:p>
      <w:pPr>
        <w:spacing w:after="0" w:line="5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2018-19,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2019-04, </w:t>
      </w:r>
      <w:r>
        <w:rPr>
          <w:rFonts w:ascii="Arial" w:cs="Arial" w:eastAsia="Arial" w:hAnsi="Arial"/>
          <w:sz w:val="18"/>
          <w:szCs w:val="18"/>
          <w:i w:val="1"/>
          <w:iCs w:val="1"/>
          <w:color w:val="auto"/>
        </w:rPr>
        <w:t>Codification Improvements to Topic 326, Financial Instruments - Credit Losses, Topic 815, Derivatives and Hedging, and</w:t>
      </w:r>
      <w:r>
        <w:rPr>
          <w:rFonts w:ascii="Arial" w:cs="Arial" w:eastAsia="Arial" w:hAnsi="Arial"/>
          <w:sz w:val="18"/>
          <w:szCs w:val="18"/>
          <w:color w:val="auto"/>
        </w:rPr>
        <w:t xml:space="preserve"> </w:t>
      </w:r>
      <w:r>
        <w:rPr>
          <w:rFonts w:ascii="Arial" w:cs="Arial" w:eastAsia="Arial" w:hAnsi="Arial"/>
          <w:sz w:val="18"/>
          <w:szCs w:val="18"/>
          <w:i w:val="1"/>
          <w:iCs w:val="1"/>
          <w:color w:val="auto"/>
        </w:rPr>
        <w:t>Topic 825, Financial Instruments</w:t>
      </w:r>
      <w:r>
        <w:rPr>
          <w:rFonts w:ascii="Arial" w:cs="Arial" w:eastAsia="Arial" w:hAnsi="Arial"/>
          <w:sz w:val="18"/>
          <w:szCs w:val="18"/>
          <w:color w:val="auto"/>
        </w:rPr>
        <w:t>;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2019-05, Financial Instruments - </w:t>
      </w:r>
      <w:r>
        <w:rPr>
          <w:rFonts w:ascii="Arial" w:cs="Arial" w:eastAsia="Arial" w:hAnsi="Arial"/>
          <w:sz w:val="18"/>
          <w:szCs w:val="18"/>
          <w:i w:val="1"/>
          <w:iCs w:val="1"/>
          <w:color w:val="auto"/>
        </w:rPr>
        <w:t>Credit Losses (Topic 326), Targeted Transition Relief</w:t>
      </w:r>
      <w:r>
        <w:rPr>
          <w:rFonts w:ascii="Arial" w:cs="Arial" w:eastAsia="Arial" w:hAnsi="Arial"/>
          <w:sz w:val="18"/>
          <w:szCs w:val="18"/>
          <w:color w:val="auto"/>
        </w:rPr>
        <w:t>.</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standard introduces a new current expected credit loss (“CECL”) model for measuring expected credit losses for certain types of financial instruments and replaces the incurred loss model. The CECL model requires companies to recognize an allowance for credit losses for the difference between the amortized cost basis of a financial instrument and the amount companies expect to collect over the instrument’s contractual life after consideration of historical experience, current conditions, and reasonable and supportable forecasts. This standard also introduces targeted changes to the available-for-sale (“AFS”) debt securities impairment model. ASU 2016-13 is effective beginning January 1, 2020, and must be adopted as a cumulative effect adjustment to retained earnings; early adoption is permitted.</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most significant type of financial instrument reported in our consolidated balance sheets, subject to the CECL model, is Receivables. As of September 30, 2019, over 70%, or approximately $970 million of the Receivables balance constitutes receivables from state and federal government agencies. Based on our preliminary analysis, we believe that the credit risk associated with such receivables is nominal due to a very low risk of default.</w:t>
      </w:r>
    </w:p>
    <w:p>
      <w:pPr>
        <w:spacing w:after="0" w:line="20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AFS debt securities impairment model will apply to “Investments” reported in our consolidated balance sheets. We believe that the credit risk associated with our non-government issued Investments is nominal due to the high quality of such investments.</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are currently evaluating the processes and controls necessary to adopt and implement ASU 2016-13, along with the effects the adoption will have on our consolidated results of operations and financial condition.</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Exchange of 1.625% Convertible Notes</w:t>
            </w:r>
          </w:p>
        </w:tc>
        <w:tc>
          <w:tcPr>
            <w:tcW w:w="10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Denominator for net income per share, basic</w:t>
            </w:r>
          </w:p>
        </w:tc>
        <w:tc>
          <w:tcPr>
            <w:tcW w:w="10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dilutive securities: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1.625% Convertible Notes</w:t>
            </w:r>
          </w:p>
        </w:tc>
        <w:tc>
          <w:tcPr>
            <w:tcW w:w="10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net income per share, diluted</w:t>
            </w:r>
          </w:p>
        </w:tc>
        <w:tc>
          <w:tcPr>
            <w:tcW w:w="10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per share: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40" w:right="60" w:hanging="332"/>
        <w:spacing w:after="0" w:line="260"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more information and definitions regarding the 1.125% Warrants, including partial termination transactions, refer to Note 9, “Stockholders' Equity.” The dilutive effect of all potentially dilutive common shares is calculated using the treasury stock method.</w:t>
      </w:r>
    </w:p>
    <w:p>
      <w:pPr>
        <w:spacing w:after="0" w:line="3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consider the carrying amounts of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4, “Fair Value Measurements,” in our 2018 Annual Report on Form 10-K.</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(see Note 8 “Derivatives,” for definitions and further information). These derivatives are not actively traded and are valued based on an option pricing model that uses observable and unobservable market data for inputs. Significant market data inputs used to determine fair value as of September 30, 2019, included the price of our common stock, the time to maturity of the derivative instruments, the risk-free interest rate, and the implied volatility of our common stock. The 1.125% Call Option derivative asset and the 1.125% Conversion Option derivative liability were designed such that changes in their fair values would offset, with minimal impact to the consolidated statements of income. Therefore, the sensitivity of changes in the unobservable inputs to the option pricing model for such derivative instruments is mitigated.</w:t>
      </w:r>
    </w:p>
    <w:p>
      <w:pPr>
        <w:spacing w:after="0" w:line="99"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nine months ended September 30, 2019.</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2019,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Directly or Indirectly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Observable Inputs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right"/>
              <w:ind w:right="180"/>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ind w:left="104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Certificates of deposit</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Call Option derivative asset</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r>
      <w:tr>
        <w:trPr>
          <w:trHeight w:val="24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5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40"/>
        </w:trPr>
        <w:tc>
          <w:tcPr>
            <w:tcW w:w="50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2018,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Directly or Indirectly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Observable Inputs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right"/>
              <w:ind w:right="180"/>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1,123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Foreign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8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7"/>
        </w:trPr>
        <w:tc>
          <w:tcPr>
            <w:tcW w:w="5160" w:type="dxa"/>
            <w:vAlign w:val="bottom"/>
          </w:tcPr>
          <w:p>
            <w:pPr>
              <w:ind w:left="180"/>
              <w:spacing w:after="0"/>
              <w:rPr>
                <w:sz w:val="20"/>
                <w:szCs w:val="20"/>
                <w:color w:val="auto"/>
              </w:rPr>
            </w:pPr>
            <w:r>
              <w:rPr>
                <w:rFonts w:ascii="Arial" w:cs="Arial" w:eastAsia="Arial" w:hAnsi="Arial"/>
                <w:sz w:val="16"/>
                <w:szCs w:val="16"/>
                <w:color w:val="auto"/>
              </w:rPr>
              <w:t>Subtotal</w:t>
            </w:r>
          </w:p>
        </w:tc>
        <w:tc>
          <w:tcPr>
            <w:tcW w:w="86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8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2,157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476</w:t>
            </w:r>
          </w:p>
        </w:tc>
      </w:tr>
      <w:tr>
        <w:trPr>
          <w:trHeight w:val="284"/>
        </w:trPr>
        <w:tc>
          <w:tcPr>
            <w:tcW w:w="516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w:t>
            </w:r>
          </w:p>
        </w:tc>
      </w:tr>
      <w:tr>
        <w:trPr>
          <w:trHeight w:val="237"/>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Term Loan Facility is classified as a Level 3 financial instrument, because certain inputs used to determine its fair value are not observable. As of September 30, 2019, the carrying amount of the Term Loan Facility approximated fair value because its interest rate is a variable rate that approximates rates currently available to us.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2019</w:t>
            </w:r>
          </w:p>
        </w:tc>
        <w:tc>
          <w:tcPr>
            <w:tcW w:w="400" w:type="dxa"/>
            <w:vAlign w:val="bottom"/>
          </w:tcPr>
          <w:p>
            <w:pPr>
              <w:spacing w:after="0"/>
              <w:rPr>
                <w:sz w:val="17"/>
                <w:szCs w:val="17"/>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6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674</w:t>
            </w: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4.875%</w:t>
            </w:r>
          </w:p>
        </w:tc>
        <w:tc>
          <w:tcPr>
            <w:tcW w:w="4560" w:type="dxa"/>
            <w:vAlign w:val="bottom"/>
          </w:tcPr>
          <w:p>
            <w:pPr>
              <w:ind w:left="20"/>
              <w:spacing w:after="0"/>
              <w:rPr>
                <w:sz w:val="20"/>
                <w:szCs w:val="20"/>
                <w:color w:val="auto"/>
              </w:rPr>
            </w:pPr>
            <w:r>
              <w:rPr>
                <w:rFonts w:ascii="Arial" w:cs="Arial" w:eastAsia="Arial" w:hAnsi="Arial"/>
                <w:sz w:val="16"/>
                <w:szCs w:val="16"/>
                <w:color w:val="auto"/>
              </w:rPr>
              <w:t>Notes</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301</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Facility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9"/>
              </w:rPr>
              <w:t>1.125%</w:t>
            </w:r>
          </w:p>
        </w:tc>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(1),(2)</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732</w:t>
            </w:r>
          </w:p>
        </w:tc>
      </w:tr>
      <w:tr>
        <w:trPr>
          <w:trHeight w:val="23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1,707</w:t>
            </w:r>
          </w:p>
        </w:tc>
      </w:tr>
      <w:tr>
        <w:trPr>
          <w:trHeight w:val="20"/>
        </w:trPr>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40" w:right="18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 1.125% Conversion Option (the embedded cash conversion option), which is reflected in the fair value amounts presented above, amounted to $21 million and $476 million as of September 30, 2019, and December 31, 2018, respectively. See further discussion at Note 7, “Debt,” and Note 8, “Derivatives.”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more information on debt repayments in 2019, refer to Note 7, “Debt.”</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investments as of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September 30, 2019</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3"/>
          </w:tcPr>
          <w:p>
            <w:pPr>
              <w:jc w:val="right"/>
              <w:ind w:right="84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GSEs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97</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240"/>
        </w:trPr>
        <w:tc>
          <w:tcPr>
            <w:tcW w:w="51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1,757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16</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3"/>
          </w:tcPr>
          <w:p>
            <w:pPr>
              <w:ind w:left="1000"/>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ind w:left="7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82</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114</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181</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Foreign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r>
      <w:tr>
        <w:trPr>
          <w:trHeight w:val="240"/>
        </w:trPr>
        <w:tc>
          <w:tcPr>
            <w:tcW w:w="5160" w:type="dxa"/>
            <w:vAlign w:val="bottom"/>
          </w:tcPr>
          <w:p>
            <w:pPr>
              <w:ind w:left="380"/>
              <w:spacing w:after="0"/>
              <w:rPr>
                <w:sz w:val="20"/>
                <w:szCs w:val="20"/>
                <w:color w:val="auto"/>
              </w:rPr>
            </w:pPr>
            <w:r>
              <w:rPr>
                <w:rFonts w:ascii="Arial" w:cs="Arial" w:eastAsia="Arial" w:hAnsi="Arial"/>
                <w:sz w:val="16"/>
                <w:szCs w:val="16"/>
                <w:color w:val="auto"/>
              </w:rPr>
              <w:t>Totals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1,681</w:t>
            </w: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September 30, 2019 are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22"/>
                <w:szCs w:val="22"/>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878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273</w:t>
            </w:r>
          </w:p>
        </w:tc>
      </w:tr>
      <w:tr>
        <w:trPr>
          <w:trHeight w:val="24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1,757</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$11 million in the third quarter of 2019 and nine months ended September 30, 2019. Gross realized investment losses were insignificant in the third quarter of 2019 and nine months ended September 30, 2019. Gross realized investment gains and losses were insignificant in the third quarter of 2018 and nine months ended September 30, 2018.</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determined that unrealized losses at September 30, 2019, and December 31, 2018,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September 30,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6"/>
          </w:tcPr>
          <w:p>
            <w:pPr>
              <w:jc w:val="center"/>
              <w:ind w:left="42"/>
              <w:spacing w:after="0"/>
              <w:rPr>
                <w:sz w:val="20"/>
                <w:szCs w:val="20"/>
                <w:color w:val="auto"/>
              </w:rPr>
            </w:pPr>
            <w:r>
              <w:rPr>
                <w:rFonts w:ascii="Arial" w:cs="Arial" w:eastAsia="Arial" w:hAnsi="Arial"/>
                <w:sz w:val="14"/>
                <w:szCs w:val="14"/>
                <w:b w:val="1"/>
                <w:bCs w:val="1"/>
                <w:color w:val="auto"/>
              </w:rPr>
              <w:t>In a Continuous Loss Position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jc w:val="center"/>
              <w:ind w:left="865"/>
              <w:spacing w:after="0"/>
              <w:rPr>
                <w:sz w:val="20"/>
                <w:szCs w:val="20"/>
                <w:color w:val="auto"/>
              </w:rPr>
            </w:pPr>
            <w:r>
              <w:rPr>
                <w:rFonts w:ascii="Arial" w:cs="Arial" w:eastAsia="Arial" w:hAnsi="Arial"/>
                <w:sz w:val="14"/>
                <w:szCs w:val="14"/>
                <w:b w:val="1"/>
                <w:bCs w:val="1"/>
                <w:color w:val="auto"/>
              </w:rPr>
              <w:t>In a Continuous Loss Position</w:t>
            </w:r>
          </w:p>
        </w:tc>
        <w:tc>
          <w:tcPr>
            <w:tcW w:w="118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for 12 Months or More</w:t>
            </w:r>
          </w:p>
        </w:tc>
        <w:tc>
          <w:tcPr>
            <w:tcW w:w="1180" w:type="dxa"/>
            <w:vAlign w:val="bottom"/>
            <w:tcBorders>
              <w:bottom w:val="single" w:sz="8" w:color="auto"/>
            </w:tcBorders>
          </w:tcPr>
          <w:p>
            <w:pPr>
              <w:spacing w:after="0"/>
              <w:rPr>
                <w:sz w:val="17"/>
                <w:szCs w:val="17"/>
                <w:color w:val="auto"/>
              </w:rPr>
            </w:pPr>
          </w:p>
        </w:tc>
      </w:tr>
      <w:tr>
        <w:trPr>
          <w:trHeight w:val="175"/>
        </w:trPr>
        <w:tc>
          <w:tcPr>
            <w:tcW w:w="1960" w:type="dxa"/>
            <w:vAlign w:val="bottom"/>
          </w:tcPr>
          <w:p>
            <w:pPr>
              <w:spacing w:after="0"/>
              <w:rPr>
                <w:sz w:val="15"/>
                <w:szCs w:val="15"/>
                <w:color w:val="auto"/>
              </w:rPr>
            </w:pP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rPr>
              <w:t>Estimated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1220" w:type="dxa"/>
            <w:vAlign w:val="bottom"/>
          </w:tcPr>
          <w:p>
            <w:pPr>
              <w:jc w:val="center"/>
              <w:ind w:right="185"/>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ind w:right="224"/>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960" w:type="dxa"/>
            <w:vAlign w:val="bottom"/>
          </w:tcPr>
          <w:p>
            <w:pPr>
              <w:spacing w:after="0"/>
              <w:rPr>
                <w:sz w:val="14"/>
                <w:szCs w:val="14"/>
                <w:color w:val="auto"/>
              </w:rPr>
            </w:pP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220" w:type="dxa"/>
            <w:vAlign w:val="bottom"/>
          </w:tcPr>
          <w:p>
            <w:pPr>
              <w:jc w:val="center"/>
              <w:ind w:right="20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Pr>
          <w:p>
            <w:pPr>
              <w:jc w:val="center"/>
              <w:ind w:right="224"/>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1960" w:type="dxa"/>
            <w:vAlign w:val="bottom"/>
          </w:tcPr>
          <w:p>
            <w:pPr>
              <w:spacing w:after="0"/>
              <w:rPr>
                <w:sz w:val="17"/>
                <w:szCs w:val="17"/>
                <w:color w:val="auto"/>
              </w:rPr>
            </w:pPr>
          </w:p>
        </w:tc>
        <w:tc>
          <w:tcPr>
            <w:tcW w:w="11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rPr>
              <w:t>Losses</w:t>
            </w: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Positions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10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97"/>
              </w:rPr>
              <w:t>151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40"/>
        </w:trPr>
        <w:tc>
          <w:tcPr>
            <w:tcW w:w="1960" w:type="dxa"/>
            <w:vAlign w:val="bottom"/>
          </w:tcPr>
          <w:p>
            <w:pPr>
              <w:ind w:left="280"/>
              <w:spacing w:after="0"/>
              <w:rPr>
                <w:sz w:val="20"/>
                <w:szCs w:val="20"/>
                <w:color w:val="auto"/>
              </w:rPr>
            </w:pPr>
            <w:r>
              <w:rPr>
                <w:rFonts w:ascii="Arial" w:cs="Arial" w:eastAsia="Arial" w:hAnsi="Arial"/>
                <w:sz w:val="16"/>
                <w:szCs w:val="16"/>
                <w:color w:val="auto"/>
              </w:rPr>
              <w:t>Totals</w:t>
            </w:r>
          </w:p>
        </w:tc>
        <w:tc>
          <w:tcPr>
            <w:tcW w:w="1100" w:type="dxa"/>
            <w:vAlign w:val="bottom"/>
          </w:tcPr>
          <w:p>
            <w:pPr>
              <w:jc w:val="right"/>
              <w:ind w:right="90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2"/>
              <w:spacing w:after="0"/>
              <w:rPr>
                <w:sz w:val="20"/>
                <w:szCs w:val="20"/>
                <w:color w:val="auto"/>
              </w:rPr>
            </w:pPr>
            <w:r>
              <w:rPr>
                <w:rFonts w:ascii="Arial" w:cs="Arial" w:eastAsia="Arial" w:hAnsi="Arial"/>
                <w:sz w:val="16"/>
                <w:szCs w:val="16"/>
                <w:color w:val="auto"/>
                <w:w w:val="97"/>
              </w:rPr>
              <w:t>151</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0"/>
        </w:trPr>
        <w:tc>
          <w:tcPr>
            <w:tcW w:w="1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17</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6"/>
          </w:tcPr>
          <w:p>
            <w:pPr>
              <w:jc w:val="center"/>
              <w:ind w:left="40"/>
              <w:spacing w:after="0"/>
              <w:rPr>
                <w:sz w:val="20"/>
                <w:szCs w:val="20"/>
                <w:color w:val="auto"/>
              </w:rPr>
            </w:pPr>
            <w:r>
              <w:rPr>
                <w:rFonts w:ascii="Arial" w:cs="Arial" w:eastAsia="Arial" w:hAnsi="Arial"/>
                <w:sz w:val="14"/>
                <w:szCs w:val="14"/>
                <w:b w:val="1"/>
                <w:bCs w:val="1"/>
                <w:color w:val="auto"/>
              </w:rPr>
              <w:t>In a Continuous Loss Position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jc w:val="center"/>
              <w:ind w:left="863"/>
              <w:spacing w:after="0"/>
              <w:rPr>
                <w:sz w:val="20"/>
                <w:szCs w:val="20"/>
                <w:color w:val="auto"/>
              </w:rPr>
            </w:pPr>
            <w:r>
              <w:rPr>
                <w:rFonts w:ascii="Arial" w:cs="Arial" w:eastAsia="Arial" w:hAnsi="Arial"/>
                <w:sz w:val="14"/>
                <w:szCs w:val="14"/>
                <w:b w:val="1"/>
                <w:bCs w:val="1"/>
                <w:color w:val="auto"/>
              </w:rPr>
              <w:t>In a Continuous Loss Position</w:t>
            </w:r>
          </w:p>
        </w:tc>
        <w:tc>
          <w:tcPr>
            <w:tcW w:w="118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for 12 Months or More</w:t>
            </w:r>
          </w:p>
        </w:tc>
        <w:tc>
          <w:tcPr>
            <w:tcW w:w="1180" w:type="dxa"/>
            <w:vAlign w:val="bottom"/>
            <w:tcBorders>
              <w:bottom w:val="single" w:sz="8" w:color="auto"/>
            </w:tcBorders>
          </w:tcPr>
          <w:p>
            <w:pPr>
              <w:spacing w:after="0"/>
              <w:rPr>
                <w:sz w:val="17"/>
                <w:szCs w:val="17"/>
                <w:color w:val="auto"/>
              </w:rPr>
            </w:pPr>
          </w:p>
        </w:tc>
      </w:tr>
      <w:tr>
        <w:trPr>
          <w:trHeight w:val="175"/>
        </w:trPr>
        <w:tc>
          <w:tcPr>
            <w:tcW w:w="1960" w:type="dxa"/>
            <w:vAlign w:val="bottom"/>
          </w:tcPr>
          <w:p>
            <w:pPr>
              <w:spacing w:after="0"/>
              <w:rPr>
                <w:sz w:val="15"/>
                <w:szCs w:val="15"/>
                <w:color w:val="auto"/>
              </w:rPr>
            </w:pP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rPr>
              <w:t>Estimated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960" w:type="dxa"/>
            <w:vAlign w:val="bottom"/>
          </w:tcPr>
          <w:p>
            <w:pPr>
              <w:spacing w:after="0"/>
              <w:rPr>
                <w:sz w:val="14"/>
                <w:szCs w:val="14"/>
                <w:color w:val="auto"/>
              </w:rPr>
            </w:pP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220" w:type="dxa"/>
            <w:vAlign w:val="bottom"/>
          </w:tcPr>
          <w:p>
            <w:pPr>
              <w:jc w:val="center"/>
              <w:ind w:right="20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1960" w:type="dxa"/>
            <w:vAlign w:val="bottom"/>
          </w:tcPr>
          <w:p>
            <w:pPr>
              <w:spacing w:after="0"/>
              <w:rPr>
                <w:sz w:val="17"/>
                <w:szCs w:val="17"/>
                <w:color w:val="auto"/>
              </w:rPr>
            </w:pPr>
          </w:p>
        </w:tc>
        <w:tc>
          <w:tcPr>
            <w:tcW w:w="11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rPr>
              <w:t>Losses</w:t>
            </w: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Positions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80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10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509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298</w:t>
            </w: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10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52</w:t>
            </w:r>
          </w:p>
        </w:tc>
      </w:tr>
      <w:tr>
        <w:trPr>
          <w:trHeight w:val="28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Municipal securities</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w:t>
            </w:r>
          </w:p>
        </w:tc>
      </w:tr>
      <w:tr>
        <w:trPr>
          <w:trHeight w:val="240"/>
        </w:trPr>
        <w:tc>
          <w:tcPr>
            <w:tcW w:w="1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Totals</w:t>
            </w:r>
          </w:p>
        </w:tc>
        <w:tc>
          <w:tcPr>
            <w:tcW w:w="110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509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694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516</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9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held-to-maturity restricted investments are carried at amortized cost, which approximates fair value. Such investments amounted to $79 million at September 30, 2019, and mature in one year or less.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1162"/>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Fee-for-service claims incurred but not paid (“IBNP”)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Pharmacy payable</w:t>
            </w:r>
          </w:p>
        </w:tc>
        <w:tc>
          <w:tcPr>
            <w:tcW w:w="200" w:type="dxa"/>
            <w:vAlign w:val="bottom"/>
          </w:tcPr>
          <w:p>
            <w:pPr>
              <w:spacing w:after="0"/>
              <w:rPr>
                <w:sz w:val="22"/>
                <w:szCs w:val="22"/>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115</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 payable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232</w:t>
            </w:r>
          </w:p>
        </w:tc>
      </w:tr>
      <w:tr>
        <w:trPr>
          <w:trHeight w:val="237"/>
        </w:trPr>
        <w:tc>
          <w:tcPr>
            <w:tcW w:w="8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1,961</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“Other” medical claims and benefits payable includes non-risk provider payables, where we act as an intermediary on behalf of various government agencies, for certain providers, without assuming financial risk. Such receipts from government agencies and payments to providers do not impact our consolidated statements of income. Non-risk provider payables amounted to $239 million and $107 million as of September 30, 2019, and December 31, 2018, respectively.</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 period were more than the actual amount of the liability, based on information (principally the payment of claims) developed since that liability was first reported.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3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10"/>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10,613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11,670</w:t>
            </w:r>
          </w:p>
        </w:tc>
      </w:tr>
      <w:tr>
        <w:trPr>
          <w:trHeight w:val="27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 xml:space="preserve">Prior periods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r>
      <w:tr>
        <w:trPr>
          <w:trHeight w:val="244"/>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10,360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11,362</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in non-risk and other provider payables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8,996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9,866</w:t>
            </w: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1,706</w:t>
            </w: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10,477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11,572</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2,042</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(1)  The September 30, 2018, amount includes the 2018 benefit of the 2017 Marketplace CSR reimbursement of $81 million.</w:t>
      </w:r>
    </w:p>
    <w:p>
      <w:pPr>
        <w:spacing w:after="0" w:line="1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estimates of medical claims and benefits payable recorded at December 31, 2018, and 2017 developed favorably by approximately $253 million and $308 million as of September 30, 2019, and 2018, respectively.</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favorable prior year development recognized in the nine months ended September 30, 2019, was primarily due to lower than expected utilization of medical services by our Medicaid members, and improved operating performance. Consequently, the ultimate costs recognized in 2019, as claims payments were processed, were lower than our original estimates in 2018.</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828282"/>
        </w:rPr>
        <w:t>7. Debt</w:t>
      </w:r>
    </w:p>
    <w:p>
      <w:pPr>
        <w:spacing w:after="0" w:line="115"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As of September 30, 2019, contractual maturities of debt were as follows. All amounts represent the principal amounts due on the debt instruments outstanding as of December 31 for each year presented, based on September 30, 2019 balances.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5.375%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4.875% Notes</w:t>
            </w:r>
          </w:p>
        </w:tc>
        <w:tc>
          <w:tcPr>
            <w:tcW w:w="28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330</w:t>
            </w:r>
          </w:p>
        </w:tc>
      </w:tr>
      <w:tr>
        <w:trPr>
          <w:trHeight w:val="28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 Facility</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1.125% Convertible Notes</w:t>
            </w:r>
          </w:p>
        </w:tc>
        <w:tc>
          <w:tcPr>
            <w:tcW w:w="28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19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0"/>
        </w:trPr>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19</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All of our debt is held at the parent, which is reported, for segment purposes, in the Other segment. The following table summarizes our outstanding debt obligations and their classification in the accompanying 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portion of long-term debt: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1.125% Convertible Notes, net of unamortized discount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241</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Term Loan Facility</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Lease financing obligations</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77"/>
        </w:trPr>
        <w:tc>
          <w:tcPr>
            <w:tcW w:w="8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241</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portion of long-term debt: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5.375% Notes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700</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4.875% Notes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Term Loan Facility</w:t>
            </w:r>
          </w:p>
        </w:tc>
        <w:tc>
          <w:tcPr>
            <w:tcW w:w="2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0"/>
        </w:trPr>
        <w:tc>
          <w:tcPr>
            <w:tcW w:w="8120" w:type="dxa"/>
            <w:vAlign w:val="bottom"/>
          </w:tcPr>
          <w:p>
            <w:pPr>
              <w:ind w:left="380"/>
              <w:spacing w:after="0"/>
              <w:rPr>
                <w:sz w:val="20"/>
                <w:szCs w:val="20"/>
                <w:color w:val="auto"/>
              </w:rPr>
            </w:pPr>
            <w:r>
              <w:rPr>
                <w:rFonts w:ascii="Arial" w:cs="Arial" w:eastAsia="Arial" w:hAnsi="Arial"/>
                <w:sz w:val="16"/>
                <w:szCs w:val="16"/>
                <w:color w:val="auto"/>
              </w:rPr>
              <w:t>Totals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Interest cost recognized relating to our convertible senior notes for the periods presented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7"/>
                <w:szCs w:val="17"/>
                <w:color w:val="auto"/>
              </w:rPr>
            </w:pPr>
          </w:p>
        </w:tc>
      </w:tr>
      <w:tr>
        <w:trPr>
          <w:trHeight w:val="264"/>
        </w:trPr>
        <w:tc>
          <w:tcPr>
            <w:tcW w:w="4700" w:type="dxa"/>
            <w:vAlign w:val="bottom"/>
          </w:tcPr>
          <w:p>
            <w:pPr>
              <w:spacing w:after="0"/>
              <w:rPr>
                <w:sz w:val="22"/>
                <w:szCs w:val="22"/>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r>
      <w:tr>
        <w:trPr>
          <w:trHeight w:val="250"/>
        </w:trPr>
        <w:tc>
          <w:tcPr>
            <w:tcW w:w="4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80" w:type="dxa"/>
            <w:vAlign w:val="bottom"/>
            <w:gridSpan w:val="3"/>
          </w:tcPr>
          <w:p>
            <w:pPr>
              <w:jc w:val="right"/>
              <w:ind w:right="74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116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4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1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116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party to a Credit Agreement, which provides for an unsecured delayed draw term loan facility (the “Term Loan Facility”), and an unsecured $500 million revolving credit facility (the “Credit Facility”). Borrowings under our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As of September 30, 2019, we were in compliance with all financial and non-financial covenants under the Credit Agreement and other long-term debt. Effective as of the date of the Sixth Amendment to the Credit Agreement described below, there are no guarantors as parties to the Credit Agreement.</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Term Loan Facility</w:t>
      </w:r>
      <w:r>
        <w:rPr>
          <w:rFonts w:ascii="Arial" w:cs="Arial" w:eastAsia="Arial" w:hAnsi="Arial"/>
          <w:sz w:val="18"/>
          <w:szCs w:val="18"/>
          <w:color w:val="auto"/>
        </w:rPr>
        <w:t>. In January 2019, we entered into a Sixth Amendment to the Credit Agreement that provided for a delayed draw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the aggregate principal amount of $600 million, under which we may request up to ten advances, each in a minimum principal amount of $ 50 million, until July 31, 2020. The Term Loan Facility will amortize in quarterly installments, commencing on September 30, 2020, equal to the principal amount of the Term Loan Facility outstanding multiplied by rates ranging from 1.25% to 2.50% (depending on the applicable fiscal quarter) for each fiscal quarter. The Term Loan Facility expires on January 31, 2024; any remaining outstanding balance under the Term Loan Facility will be due and payable on that date. As of September 30, 2019, $220 million was outstanding under the Term Loan Facility. Each advance under the Term Loan Facility results in a permanent reduction to its borrowing capacity; therefore, our borrowing capacity under the Term Loan Facility as of September 30, 2019, was $380 million.</w:t>
      </w:r>
    </w:p>
    <w:p>
      <w:pPr>
        <w:spacing w:after="0" w:line="7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 The Credit Facility expires on January 31, 2022; therefore, any amounts outstanding under the Credit Facility will be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that date. As of September 30, 2019, no amounts were outstanding under the Credit Facility, and outstanding letters of credit amounting to $2 million reduced our borrowing capacity under the Credit Facility to $498 million.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had $700 million aggregate principal amount of senior notes (the “5.375% Notes”) outstanding as of September 30, 2019, which are due November 15, 2022, unless earlier redeemed. Interest, at a rate of 5.375% per annum, is payable semiannually in arrears on May 15 and November 15. The 5.375% Notes contain customary non-financial covenants and change in control provisions.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had $330 million aggregate principal amount of senior notes (the “4.875% Notes”) outstanding as of September 30, 2019, which are due June 15, 2025, unless earlier redeemed. Interest, at a rate of 4.875% per annum, is payable semiannually in arrears on June 15 and December</w:t>
      </w:r>
    </w:p>
    <w:p>
      <w:pPr>
        <w:spacing w:after="0" w:line="1"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4.875% Notes contain customary non-financial covenants and change of control provisions.</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1.125% Cash Convertible Senior Notes due 2020</w:t>
      </w:r>
    </w:p>
    <w:p>
      <w:pPr>
        <w:spacing w:after="0" w:line="24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In the nine months ended September 30, 2019, we received conversion requests and we entered into privately negotiated note purchase agreements with certain holders of our outstanding 1.125% cash convertible senior notes due January 15, 2020 (the “1.125% Convertible Notes”).</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third quarter of 2019, we paid $161 million to settle $55 million aggregate principal amount, or $54 million aggregate carrying amount, of the 1.125% Convertible Notes, including the related 1.125% Convertible Notes’ embedded cash conversion option (which is a derivative liability we refer to as the “1.125% Conversion Option”) and the mark to market valuation adjustments discussed below.</w:t>
      </w:r>
    </w:p>
    <w:p>
      <w:pPr>
        <w:spacing w:after="0" w:line="202" w:lineRule="exact"/>
        <w:rPr>
          <w:sz w:val="20"/>
          <w:szCs w:val="20"/>
          <w:color w:val="auto"/>
        </w:rPr>
      </w:pPr>
    </w:p>
    <w:p>
      <w:pPr>
        <w:jc w:val="both"/>
        <w:ind w:right="760"/>
        <w:spacing w:after="0" w:line="256" w:lineRule="auto"/>
        <w:rPr>
          <w:sz w:val="20"/>
          <w:szCs w:val="20"/>
          <w:color w:val="auto"/>
        </w:rPr>
      </w:pPr>
      <w:r>
        <w:rPr>
          <w:rFonts w:ascii="Arial" w:cs="Arial" w:eastAsia="Arial" w:hAnsi="Arial"/>
          <w:sz w:val="18"/>
          <w:szCs w:val="18"/>
          <w:color w:val="auto"/>
        </w:rPr>
        <w:t>In the nine months ended September 30, 2019, we paid $794 million to settle $240 million aggregate principal amount, or $232 million aggregate carrying amount, of the 1.125% Convertible Notes, including the related 1.125% Conversion Option and the mark to market valuation adjustments discussed below.</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three and nine months ended September 30, 2019, we recorded a loss on debt extinguishment of $2 million, and a gain on debt extinguishment of approximately $15 million, respectively, for the 1.125% Convertible Notes repayments (net of accelerated original issuance discount amortization), primarily relating to mark to market valuations on the partial terminations of the Call Spread Overlay executed in connection with the related debt repayments. These amounts are reported in “Other expenses (income), net” in the accompanying consolidated statements of income. No common shares were issued in connection with the transaction.</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1.125% Convertible Notes purchases, we also entered into privately negotiated agreements in the first, second, and third quarters of 2019, to partially terminate the Call Spread Overlay, defined and further discussed in Note 8, “Derivatives,” and Note 9, “Stockholders' Equity.” The net cash proceeds from the Call Spread Overlay partial termination transactions partially offset the cash paid to settle the 1.125% Convertible Notes.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Following the transactions described above, $12 million aggregate principal amount of the 1.125% Convertible Notes were outstanding at September 30, 2019. Interest at a rate of 1.125% per annum is payable semiannually in arrears on January 15 and July 15. The 1.125% Convertible Notes are convertible only into cash, and not into shares of our common stock or any other securities. The initial conversion rate is 24.5277 shares of our common stock per $1,000 principal amount, or approximately $40.77 per share of our common stock. Upon conversion, in lieu of receiving shares of our common stock, a holder will receive an amount in cash, per $ 1,000 principal amount, equal to the settlement amount, determined in the manner set forth in the indenture. We may not redeem the 1.125% Convertible Notes prior to the maturity date. The 1.125% Convertible Notes mature on January 15, 2020; therefore, they are reported in current portion of long-term debt.</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Concurrent with the issuance of the 1.125% Convertible Notes in 2013, the 1.125% Conversion Option was separated from the 1.125% Convertible Notes and accounted for separately as a derivative liability, with changes in fair value reported in our consolidated statements of income until the 1.125% Conversion Option fully settles or expires. This initial liability simultaneously reduced the carrying value of the 1.125% Convertible Notes’ principal amount (effectively an original issuance discount), which is amortized to the principal amount through the recognition of non-cash interest expense over the expected life of the debt. The effective interest rate of 6% approximates the interest rate we would have incurred had we issued nonconvertible debt with otherwise similar terms. As of September 30, 2019, the 1.125% Convertible Notes had a remaining amortization period of less than one year, and their ‘if-converted’ value exceeded their principal amount by approximately $28 million and $581 million as of September 30, 2019 and December 31, 2018, respectively.</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indentures governing the 4.875% Notes, the 5.375% Notes and the 1.125% Convertible Notes contain cross-default provisions that are triggered upon default by us or any of our subsidiaries on any indebtedness in excess of the amount specified in the applicable indenture.</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8. Derivatives</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accompanying consolidated balance sheets:</w:t>
      </w:r>
    </w:p>
    <w:p>
      <w:pPr>
        <w:spacing w:after="0" w:line="400" w:lineRule="exact"/>
        <w:rPr>
          <w:sz w:val="20"/>
          <w:szCs w:val="20"/>
          <w:color w:val="auto"/>
        </w:rPr>
      </w:pPr>
    </w:p>
    <w:tbl>
      <w:tblPr>
        <w:tblLayout w:type="fixed"/>
        <w:tblInd w:w="41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39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bl>
    <w:p>
      <w:pPr>
        <w:spacing w:after="0" w:line="6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asset:</w:t>
      </w:r>
    </w:p>
    <w:p>
      <w:pPr>
        <w:spacing w:after="0" w:line="73" w:lineRule="exact"/>
        <w:rPr>
          <w:sz w:val="20"/>
          <w:szCs w:val="20"/>
          <w:color w:val="auto"/>
        </w:rPr>
      </w:pPr>
    </w:p>
    <w:p>
      <w:pPr>
        <w:ind w:left="380"/>
        <w:spacing w:after="0"/>
        <w:tabs>
          <w:tab w:leader="none" w:pos="4140" w:val="left"/>
          <w:tab w:leader="none" w:pos="8140" w:val="left"/>
          <w:tab w:leader="none" w:pos="9420" w:val="left"/>
          <w:tab w:leader="none" w:pos="9840" w:val="left"/>
          <w:tab w:leader="none" w:pos="11020" w:val="left"/>
        </w:tabs>
        <w:rPr>
          <w:sz w:val="20"/>
          <w:szCs w:val="20"/>
          <w:color w:val="auto"/>
        </w:rPr>
      </w:pPr>
      <w:r>
        <w:rPr>
          <w:rFonts w:ascii="Arial" w:cs="Arial" w:eastAsia="Arial" w:hAnsi="Arial"/>
          <w:sz w:val="16"/>
          <w:szCs w:val="16"/>
          <w:color w:val="auto"/>
        </w:rPr>
        <w:t>1.125% Call Option</w:t>
      </w:r>
      <w:r>
        <w:rPr>
          <w:sz w:val="20"/>
          <w:szCs w:val="20"/>
          <w:color w:val="auto"/>
        </w:rPr>
        <w:tab/>
      </w:r>
      <w:r>
        <w:rPr>
          <w:rFonts w:ascii="Arial" w:cs="Arial" w:eastAsia="Arial" w:hAnsi="Arial"/>
          <w:sz w:val="16"/>
          <w:szCs w:val="16"/>
          <w:color w:val="auto"/>
        </w:rPr>
        <w:t>Current assets: Derivative asset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w:t>
        <w:tab/>
        <w:t>$</w:t>
      </w:r>
      <w:r>
        <w:rPr>
          <w:sz w:val="20"/>
          <w:szCs w:val="20"/>
          <w:color w:val="auto"/>
        </w:rPr>
        <w:tab/>
      </w:r>
      <w:r>
        <w:rPr>
          <w:rFonts w:ascii="Arial" w:cs="Arial" w:eastAsia="Arial" w:hAnsi="Arial"/>
          <w:sz w:val="16"/>
          <w:szCs w:val="16"/>
          <w:color w:val="auto"/>
        </w:rPr>
        <w:t>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liability:</w:t>
      </w:r>
    </w:p>
    <w:p>
      <w:pPr>
        <w:spacing w:after="0" w:line="73" w:lineRule="exact"/>
        <w:rPr>
          <w:sz w:val="20"/>
          <w:szCs w:val="20"/>
          <w:color w:val="auto"/>
        </w:rPr>
      </w:pPr>
    </w:p>
    <w:p>
      <w:pPr>
        <w:ind w:left="380"/>
        <w:spacing w:after="0"/>
        <w:tabs>
          <w:tab w:leader="none" w:pos="4140" w:val="left"/>
          <w:tab w:leader="none" w:pos="8140" w:val="left"/>
          <w:tab w:leader="none" w:pos="9420" w:val="left"/>
          <w:tab w:leader="none" w:pos="9840" w:val="left"/>
          <w:tab w:leader="none" w:pos="11020" w:val="left"/>
        </w:tabs>
        <w:rPr>
          <w:sz w:val="20"/>
          <w:szCs w:val="20"/>
          <w:color w:val="auto"/>
        </w:rPr>
      </w:pPr>
      <w:r>
        <w:rPr>
          <w:rFonts w:ascii="Arial" w:cs="Arial" w:eastAsia="Arial" w:hAnsi="Arial"/>
          <w:sz w:val="16"/>
          <w:szCs w:val="16"/>
          <w:color w:val="auto"/>
        </w:rPr>
        <w:t>1.125% Conversion Option</w:t>
      </w:r>
      <w:r>
        <w:rPr>
          <w:sz w:val="20"/>
          <w:szCs w:val="20"/>
          <w:color w:val="auto"/>
        </w:rPr>
        <w:tab/>
      </w:r>
      <w:r>
        <w:rPr>
          <w:rFonts w:ascii="Arial" w:cs="Arial" w:eastAsia="Arial" w:hAnsi="Arial"/>
          <w:sz w:val="16"/>
          <w:szCs w:val="16"/>
          <w:color w:val="auto"/>
        </w:rPr>
        <w:t>Current liabilities: Derivative liability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w:t>
        <w:tab/>
        <w:t>$</w:t>
      </w:r>
      <w:r>
        <w:rPr>
          <w:sz w:val="20"/>
          <w:szCs w:val="20"/>
          <w:color w:val="auto"/>
        </w:rPr>
        <w:tab/>
      </w:r>
      <w:r>
        <w:rPr>
          <w:rFonts w:ascii="Arial" w:cs="Arial" w:eastAsia="Arial" w:hAnsi="Arial"/>
          <w:sz w:val="16"/>
          <w:szCs w:val="16"/>
          <w:color w:val="auto"/>
        </w:rPr>
        <w:t>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19050</wp:posOffset>
            </wp:positionV>
            <wp:extent cx="209232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2603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income, and reported in “Other expenses (income), net.” Gains and losses for our derivative financial instruments are presented individually in the accompanying consolidated statements of cash flows, “Supplemental cash flow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Convertible Notes Call Spread Overlay</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Concurrent with the issuance of the 1.125% Convertible Notes in 2013, we entered into privately 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 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nine months ended September 30, 2019, in connection with the 1.125% Convertible Notes purchases (described in Note 7, “Debt”), we entered into privately negotiated termination agreements with each of the Counterparties to partially terminate the Call Spread Overlay, in notional amounts corresponding to the aggregate principal amount of the 1.125% Convertible Notes purchased.</w:t>
      </w:r>
    </w:p>
    <w:p>
      <w:pPr>
        <w:spacing w:after="0" w:line="20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third quarter of 2019, we received $105 million for the settlement of the 1.125% Call Option (which is a derivative asset), and paid $90 million for the partial termination of the 1.125% Warrants, for an aggregate net cash receipt of $15 million from the Counterparties.</w:t>
      </w:r>
    </w:p>
    <w:p>
      <w:pPr>
        <w:spacing w:after="0" w:line="1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the nine months ended September 30, 2019, we received $578 million for the settlement of the 1.125% Call Option (which is a derivative asset), and paid $514 million for the partial termination of the 1.125% Warrants, for an aggregate net cash receipt of $64 million from the Counterparties.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Call Option</w:t>
      </w:r>
    </w:p>
    <w:p>
      <w:pPr>
        <w:spacing w:after="0" w:line="2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1.125% Call Option, which is indexed to our common stock, is a derivative asset that requires mark-to-market accounting treatment due to cash settlement features until the 1.125% Call Option settles or expires. For further discussion of the inputs used to determine the fair value of the 1.125% Call Option, refer to Note 4, “Fair Value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Conversion Option</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embedded cash conversion option within the 1.125% Convertible Notes is accounted for separately as a derivative liability, with changes in fair value reported in our consolidated statements of income until the cash conversion option settles or expires. For further discussion of the inputs used to determine the fair value of the 1.125% Conversion Option, refer to Note 4, “Fair Value Measurements.”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 of September 30, 2019, the 1.125% Call Option and the 1.125% Conversion Option were classified as a current asset and current liability, respectively, because the 1.125% Convertible Notes mature on January 15, 2020, as described in Note 7, “Debt.”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connection with the Call Spread Overlay transaction described in Note 8, “Derivatives,” in 2013, we issued 13.5 million warrants with a strike price of $53.8475 per share. Under certain circumstances, beginning in April 2020, if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1.125% Warrants. Refer to Note 3, “Net Income per Share,” for dilution information for the periods presented. We will not receive any additional proceeds if the 1.125% Warrants are exercised. Following the transactions described below, 0.3 million of the 1.125% Warrants remain outstanding.</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described in Note 8, “Derivatives,” in the nine months ended September 30, 2019, we entered into privately negotiated termination agreements with each of the Counterparties to partially terminate the Call Spread Overlay, in notional amounts corresponding to the aggregate principal amount of the 1.125% Convertible Notes purchased.</w:t>
      </w:r>
    </w:p>
    <w:p>
      <w:pPr>
        <w:spacing w:after="0" w:line="9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the third quarter of 2019, we paid $90 million to the Counterparties for the termination of 1.4 million of the 1.125% Warrants outstanding, which resulted in a reduction of additional paid-in-capital for the same amount.</w:t>
      </w:r>
    </w:p>
    <w:p>
      <w:pPr>
        <w:spacing w:after="0" w:line="88"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 the nine months ended September 30, 2019, we paid $514 million to the Counterparties for the termination of 5.9 million of the 1.125% Warrants outstanding, which resulted in a reduction of additional paid-in-capital for the same amount.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our employee stock plans, approximately 184,000 shares of common stock vested or were purchased, net of shares used to settle employees’ income tax obligations, during the nine months ended September 30, 2019.</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Share-based compensation is recorded to “General and administrative expenses” in the accompanying consolidated statements of income. Total share-based compensation expense amounted to $10 million and $7 million, respectively, in the three months ended September 30, 2019 and 2018. Total share-based compensation expense amounted to $29 million and $20 million, respectively, in the nine months ended September 30, 2019 and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second quarter of 2019, our stockholders approved the Molina Healthcare, Inc. 2019 Equity Incentive Plan (the “2019 EIP”). The 2019 EIP provides for awards, in the form of restricted stock awards, performance units, stock options, and other stock– or cash–based awards, to eligible persons who perform services for us. The 2019 EIP will remain in effect until its termination by the board of directors; provided, however, that all awards will be granted no later than May 8, 2029. Concurrent with the adoption of the 2019 EIP, the Molina Healthcare, Inc. 2011 Equity Incentive Plan was amended, restated and merged into the 2019 EIP. A maximum of 2.9 million shares of our common stock may be issued under the 2019 EIP.</w:t>
      </w:r>
    </w:p>
    <w:p>
      <w:pPr>
        <w:spacing w:after="0" w:line="1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September 30, 2019, there was $55 million of total unrecognized compensation expense related to unvested restricted stock awards (“RSAs”), and performance stock units (“PSUs”), which we expect to recognize over remaining weighted-average periods of 2.5 years and 1.8 years, respectively. This unrecognized compensation cost assumes an estimated forfeiture rate of 16.2% for non-executive employees as of September 30, 2019.</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Also as of September 30, 2019, there was $5 million of total unrecognized compensation expense related to unvested stock options, which we expect to recognize over a weighted-average period of 1.0 year. No stock options were granted or exercised in the nine months ended September 30, 2019.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performance stock awards (“PSAs”) and PSUs is summarized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4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RSAs</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PSAs</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PSUs</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2018</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399,795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201,383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604,310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71.50</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228,902</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141,828</w:t>
            </w:r>
          </w:p>
        </w:tc>
        <w:tc>
          <w:tcPr>
            <w:tcW w:w="12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370,730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137.53</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(133,828)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72.21</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(46,780)</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(58,396)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87.99</w:t>
            </w:r>
          </w:p>
        </w:tc>
      </w:tr>
      <w:tr>
        <w:trPr>
          <w:trHeight w:val="24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September 30, 2019</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448,089</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321,067</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769,156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101.93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values of RSAs, PSUs and PSAs granted and vested are presented in the following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r>
      <w:tr>
        <w:trPr>
          <w:trHeight w:val="250"/>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20" w:type="dxa"/>
            <w:vAlign w:val="bottom"/>
            <w:gridSpan w:val="3"/>
          </w:tcPr>
          <w:p>
            <w:pPr>
              <w:jc w:val="right"/>
              <w:ind w:right="781"/>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RSAs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1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8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granted</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RSAs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ind w:left="180"/>
              <w:spacing w:after="0"/>
              <w:rPr>
                <w:sz w:val="20"/>
                <w:szCs w:val="20"/>
                <w:color w:val="auto"/>
              </w:rPr>
            </w:pPr>
            <w:r>
              <w:rPr>
                <w:rFonts w:ascii="Arial" w:cs="Arial" w:eastAsia="Arial" w:hAnsi="Arial"/>
                <w:sz w:val="16"/>
                <w:szCs w:val="16"/>
                <w:color w:val="auto"/>
              </w:rPr>
              <w:t>PSAs</w:t>
            </w:r>
          </w:p>
        </w:tc>
        <w:tc>
          <w:tcPr>
            <w:tcW w:w="110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40"/>
        </w:trPr>
        <w:tc>
          <w:tcPr>
            <w:tcW w:w="81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vested</w:t>
            </w: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In May 2019, our stockholders approved the Molina Healthcare, Inc. 2019 Employee Stock Purchase Plan (the “2019 ESPP”), which superseded the Molina Healthcare, Inc. 2011 Employee Stock Purchase Plan (the “2011 ESPP”). A maximum of 3.0 million shares of our common stock may be issued under the 2019 ESPP, the terms of which are substantially similar to the 2011 ESPP. The 2019 ESPP will continue until the earliest of: termination of the 2019 ESPP by the board of directors (which may occur at any time); issuance of all of the shares reserved for issuance under the 2019 ESPP; or May 9, 2029.</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828282"/>
        </w:rPr>
        <w:t>10. Restructuring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are reported by the same name in the accompanying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Restructuring Plan</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Management is focused on a margin recovery plan that includes identification and implementation of various profit improvement initiatives. To that end, we began a plan to restructure our information technology department (the “IT Restructuring Plan”) in 2018, which is reported in the Other segment. In early 2019, we entered into services agreements with an outsourcing vendor who manages certain of our information technology services.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expect the IT Restructuring Plan to be substantially completed by the end of 2019. We estimate that we will incur approximately $15 million of cumulative total costs, which is lower than the $20 million reported in our Annual Report on Form 10-K for the year ended December 31, 2018, because more of our IT employees transitioned to our outsourcing vendor than originally contemplated. Once employed by our outsourcing vendor, such employees are no longer included in the IT Restructuring Plan, resulting in lower one-time termination costs.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2018, there was $6 million accrued under the IT Restructuring Plan, primarily for one-time termination benefits that require cash settlement. In the nine months ended September 30, 2019, we incurred $2 million of other restructuring costs, paid $5 million to settle one-time termination benefits, and paid $3 million to settle other restructuring costs. As of September 30, 2019, no amounts were accrued under the IT Restructuring Plan.</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September 30, 2019, we had incurred cumulative restructuring costs under the IT Restructuring Plan of $11 million, including $7 million of one-time termination benefits and $4 million of other restructuring costs (primarily consulting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Restructuring Plan</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December 31, 2018, accrued liabilities of $18 million remained for the restructuring and profitability improvement plan approved by the board of directors in June 2017 (the “2017 Restructuring Plan”). In the nine months ended September 30, 2019, we incurred $3 million of restructuring costs for adjustments to previously recorded lease contract termination costs, and paid $7 million to settle one-time termination and lease contract termination costs. As of September 30, 2019, accrued liabilities of $14 million remained for lease contract termination costs under the 2017 Restructuring Plan. We expect to continue to settle these liabilities through 2025, unless the leases are terminated sooner.</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828282"/>
        </w:rPr>
        <w:t>11. Segments</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currently have two reportable segments: our Health Plans segment and our Other segment. Our reportable segments are consistent with how we currently manage the business and view the markets we serve.</w:t>
      </w:r>
    </w:p>
    <w:p>
      <w:pPr>
        <w:spacing w:after="0" w:line="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Margin for our Health Plans segment is referred to as “Medical Margin,” which represents the amount earned after medical costs are deducted from premium revenue. The medical care ratio represents the amount of medical care costs as a percentage of premium revenue, and is one of the key metrics used to assess the performance of the segments. Therefore, the underlying Medical Margin is the most important measure of earnings reviewed by the chief operating decision maker.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4,239</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13,826</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400</w:t>
            </w:r>
          </w:p>
        </w:tc>
      </w:tr>
      <w:tr>
        <w:trPr>
          <w:trHeight w:val="240"/>
        </w:trPr>
        <w:tc>
          <w:tcPr>
            <w:tcW w:w="4700" w:type="dxa"/>
            <w:vAlign w:val="bottom"/>
          </w:tcPr>
          <w:p>
            <w:pPr>
              <w:ind w:left="500"/>
              <w:spacing w:after="0"/>
              <w:rPr>
                <w:sz w:val="20"/>
                <w:szCs w:val="20"/>
                <w:color w:val="auto"/>
              </w:rPr>
            </w:pPr>
            <w:r>
              <w:rPr>
                <w:rFonts w:ascii="Arial" w:cs="Arial" w:eastAsia="Arial" w:hAnsi="Arial"/>
                <w:sz w:val="16"/>
                <w:szCs w:val="16"/>
                <w:color w:val="auto"/>
              </w:rPr>
              <w:t>Consolidated</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4,697</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12,555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14,226</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0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7"/>
        </w:trPr>
        <w:tc>
          <w:tcPr>
            <w:tcW w:w="4700" w:type="dxa"/>
            <w:vAlign w:val="bottom"/>
          </w:tcPr>
          <w:p>
            <w:pPr>
              <w:ind w:left="380"/>
              <w:spacing w:after="0"/>
              <w:rPr>
                <w:sz w:val="20"/>
                <w:szCs w:val="20"/>
                <w:color w:val="auto"/>
              </w:rPr>
            </w:pPr>
            <w:r>
              <w:rPr>
                <w:rFonts w:ascii="Arial" w:cs="Arial" w:eastAsia="Arial" w:hAnsi="Arial"/>
                <w:sz w:val="16"/>
                <w:szCs w:val="16"/>
                <w:color w:val="auto"/>
              </w:rPr>
              <w:t>Total margin</w:t>
            </w:r>
          </w:p>
        </w:tc>
        <w:tc>
          <w:tcPr>
            <w:tcW w:w="10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Add: gain on sale of subsidiary</w:t>
            </w:r>
          </w:p>
        </w:tc>
        <w:tc>
          <w:tcPr>
            <w:tcW w:w="10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40"/>
        </w:trPr>
        <w:tc>
          <w:tcPr>
            <w:tcW w:w="4700" w:type="dxa"/>
            <w:vAlign w:val="bottom"/>
          </w:tcPr>
          <w:p>
            <w:pPr>
              <w:ind w:left="280"/>
              <w:spacing w:after="0"/>
              <w:rPr>
                <w:sz w:val="20"/>
                <w:szCs w:val="20"/>
                <w:color w:val="auto"/>
              </w:rPr>
            </w:pPr>
            <w:r>
              <w:rPr>
                <w:rFonts w:ascii="Arial" w:cs="Arial" w:eastAsia="Arial" w:hAnsi="Arial"/>
                <w:sz w:val="16"/>
                <w:szCs w:val="16"/>
                <w:color w:val="auto"/>
              </w:rPr>
              <w:t>Operating income</w:t>
            </w: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before income tax expense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(1)  Other operating revenues include premium tax revenue, health insurer fees reimbursed, and investment income and other revenue.</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340" w:right="26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restructuring costs.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828282"/>
        </w:rPr>
        <w:t>12.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or factual development to enable us to reasonably estimate a range of possible loss. An adverse determination in one or more of these pending matters could have a material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Children’s Health Insurance Program (“CHIP”) programs. The states and Commonwealth in which we operate our health plans regularly face significant budgetary pressures.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13. Leases</w:t>
      </w:r>
    </w:p>
    <w:p>
      <w:pPr>
        <w:spacing w:after="0" w:line="11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 xml:space="preserve">As discussed in Note 2, “Significant Accounting Policies,” we elected the Topic 842 transition provision that allows entities to continue to apply the legacy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its disclosure requirements, in the comparative periods presented in the year of adoption. Accordingly, the Topic 842 disclosures below are presented as of and for the three-month and nine-month periods ended September 30, 2019, only.</w:t>
      </w:r>
    </w:p>
    <w:p>
      <w:pPr>
        <w:spacing w:after="0" w:line="9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are a party to operating and finance leases primarily for our corporate and health plan offices. Our operating leases have remaining lease terms up to 10 years, some of which include options to extend the leases for up to 10 years. As of September 30, 2019, the weighted average remaining operating lease term is 4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finance leases have remaining lease terms of 2 years to 19 years, some of which include options to extend the leases for up to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weighted average remaining finance lease term is 16 years.</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September 30, 2019, the weighted-average discount rate used to compute the present value of lease payments was 5.6% for operating lease liabilities, and 6.5% for finance lease liabilities. The components of lease expense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80" w:type="dxa"/>
            <w:vAlign w:val="bottom"/>
          </w:tcPr>
          <w:p>
            <w:pPr>
              <w:jc w:val="right"/>
              <w:ind w:right="4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8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4"/>
          </w:tcPr>
          <w:p>
            <w:pPr>
              <w:jc w:val="right"/>
              <w:ind w:right="1162"/>
              <w:spacing w:after="0"/>
              <w:rPr>
                <w:sz w:val="20"/>
                <w:szCs w:val="20"/>
                <w:color w:val="auto"/>
              </w:rPr>
            </w:pPr>
            <w:r>
              <w:rPr>
                <w:rFonts w:ascii="Arial" w:cs="Arial" w:eastAsia="Arial" w:hAnsi="Arial"/>
                <w:sz w:val="14"/>
                <w:szCs w:val="14"/>
                <w:b w:val="1"/>
                <w:bCs w:val="1"/>
                <w:color w:val="auto"/>
              </w:rPr>
              <w:t>(In millions)</w:t>
            </w:r>
          </w:p>
        </w:tc>
      </w:tr>
      <w:tr>
        <w:trPr>
          <w:trHeight w:val="26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lease expense:</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Amortization of right-of-use (“ROU”)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12</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r>
      <w:tr>
        <w:trPr>
          <w:trHeight w:val="240"/>
        </w:trPr>
        <w:tc>
          <w:tcPr>
            <w:tcW w:w="8120" w:type="dxa"/>
            <w:vAlign w:val="bottom"/>
          </w:tcPr>
          <w:p>
            <w:pPr>
              <w:ind w:left="500"/>
              <w:spacing w:after="0"/>
              <w:rPr>
                <w:sz w:val="20"/>
                <w:szCs w:val="20"/>
                <w:color w:val="auto"/>
              </w:rPr>
            </w:pPr>
            <w:r>
              <w:rPr>
                <w:rFonts w:ascii="Arial" w:cs="Arial" w:eastAsia="Arial" w:hAnsi="Arial"/>
                <w:sz w:val="16"/>
                <w:szCs w:val="16"/>
                <w:color w:val="auto"/>
              </w:rPr>
              <w:t>Total finance lease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consolidated cash flow information related to leases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2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9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9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center"/>
              <w:ind w:right="42"/>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operating activities:</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28</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r>
      <w:tr>
        <w:trPr>
          <w:trHeight w:val="260"/>
        </w:trPr>
        <w:tc>
          <w:tcPr>
            <w:tcW w:w="9820" w:type="dxa"/>
            <w:vAlign w:val="bottom"/>
          </w:tcPr>
          <w:p>
            <w:pPr>
              <w:ind w:left="40"/>
              <w:spacing w:after="0"/>
              <w:rPr>
                <w:sz w:val="20"/>
                <w:szCs w:val="20"/>
                <w:color w:val="auto"/>
              </w:rPr>
            </w:pPr>
            <w:r>
              <w:rPr>
                <w:rFonts w:ascii="Arial" w:cs="Arial" w:eastAsia="Arial" w:hAnsi="Arial"/>
                <w:sz w:val="16"/>
                <w:szCs w:val="16"/>
                <w:color w:val="auto"/>
              </w:rPr>
              <w:t>Cash used in financing activities:</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r>
      <w:tr>
        <w:trPr>
          <w:trHeight w:val="260"/>
        </w:trPr>
        <w:tc>
          <w:tcPr>
            <w:tcW w:w="9820" w:type="dxa"/>
            <w:vAlign w:val="bottom"/>
          </w:tcPr>
          <w:p>
            <w:pPr>
              <w:ind w:left="40"/>
              <w:spacing w:after="0"/>
              <w:rPr>
                <w:sz w:val="20"/>
                <w:szCs w:val="20"/>
                <w:color w:val="auto"/>
              </w:rPr>
            </w:pPr>
            <w:r>
              <w:rPr>
                <w:rFonts w:ascii="Arial" w:cs="Arial" w:eastAsia="Arial" w:hAnsi="Arial"/>
                <w:sz w:val="16"/>
                <w:szCs w:val="16"/>
                <w:color w:val="auto"/>
              </w:rPr>
              <w:t>ROU assets recognized in exchange for lease obligations:</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12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245</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including location of amounts reported in the accompanying consolidated balance sheets, follows:</w:t>
      </w:r>
    </w:p>
    <w:p>
      <w:pPr>
        <w:spacing w:after="0" w:line="213"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26035</wp:posOffset>
            </wp:positionV>
            <wp:extent cx="1012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20" w:type="dxa"/>
            <w:vAlign w:val="bottom"/>
            <w:gridSpan w:val="4"/>
          </w:tcPr>
          <w:p>
            <w:pPr>
              <w:ind w:left="40"/>
              <w:spacing w:after="0"/>
              <w:rPr>
                <w:sz w:val="20"/>
                <w:szCs w:val="20"/>
                <w:color w:val="auto"/>
              </w:rPr>
            </w:pPr>
            <w:r>
              <w:rPr>
                <w:rFonts w:ascii="Arial" w:cs="Arial" w:eastAsia="Arial" w:hAnsi="Arial"/>
                <w:sz w:val="16"/>
                <w:szCs w:val="16"/>
                <w:color w:val="auto"/>
              </w:rPr>
              <w:t>ROU assets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9820" w:type="dxa"/>
            <w:vAlign w:val="bottom"/>
            <w:gridSpan w:val="4"/>
            <w:vMerge w:val="restart"/>
          </w:tcPr>
          <w:p>
            <w:pPr>
              <w:ind w:left="40"/>
              <w:spacing w:after="0"/>
              <w:rPr>
                <w:sz w:val="20"/>
                <w:szCs w:val="20"/>
                <w:color w:val="auto"/>
              </w:rPr>
            </w:pPr>
            <w:r>
              <w:rPr>
                <w:rFonts w:ascii="Arial" w:cs="Arial" w:eastAsia="Arial" w:hAnsi="Arial"/>
                <w:sz w:val="16"/>
                <w:szCs w:val="16"/>
                <w:color w:val="auto"/>
              </w:rPr>
              <w:t>Lease liabilities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8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7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Accounts payable and accrued liabilities (current)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97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long-term liabilities (non-current)</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operating lease liabilities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98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Finance leases: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820" w:type="dxa"/>
            <w:vAlign w:val="bottom"/>
            <w:gridSpan w:val="4"/>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ROU assets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Borders>
              <w:bottom w:val="single" w:sz="8" w:color="CCEEFF"/>
            </w:tcBorders>
          </w:tcPr>
          <w:p>
            <w:pPr>
              <w:spacing w:after="0"/>
              <w:rPr>
                <w:sz w:val="24"/>
                <w:szCs w:val="24"/>
                <w:color w:val="auto"/>
              </w:rPr>
            </w:pPr>
          </w:p>
        </w:tc>
        <w:tc>
          <w:tcPr>
            <w:tcW w:w="97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Property, equipment, and capitalized software,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0"/>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Lease liabilities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8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9780" w:type="dxa"/>
            <w:vAlign w:val="bottom"/>
            <w:gridSpan w:val="3"/>
          </w:tcPr>
          <w:p>
            <w:pPr>
              <w:ind w:left="140"/>
              <w:spacing w:after="0"/>
              <w:rPr>
                <w:sz w:val="20"/>
                <w:szCs w:val="20"/>
                <w:color w:val="auto"/>
              </w:rPr>
            </w:pPr>
            <w:r>
              <w:rPr>
                <w:rFonts w:ascii="Arial" w:cs="Arial" w:eastAsia="Arial" w:hAnsi="Arial"/>
                <w:sz w:val="16"/>
                <w:szCs w:val="16"/>
                <w:color w:val="auto"/>
              </w:rPr>
              <w:t>Accounts payable and accrued liabilities (current)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97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liabilities (non-current)</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9780" w:type="dxa"/>
            <w:vAlign w:val="bottom"/>
            <w:gridSpan w:val="3"/>
          </w:tcPr>
          <w:p>
            <w:pPr>
              <w:ind w:left="800"/>
              <w:spacing w:after="0"/>
              <w:rPr>
                <w:sz w:val="20"/>
                <w:szCs w:val="20"/>
                <w:color w:val="auto"/>
              </w:rPr>
            </w:pPr>
            <w:r>
              <w:rPr>
                <w:rFonts w:ascii="Arial" w:cs="Arial" w:eastAsia="Arial" w:hAnsi="Arial"/>
                <w:sz w:val="16"/>
                <w:szCs w:val="16"/>
                <w:color w:val="auto"/>
              </w:rPr>
              <w:t>Total finance lease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September 30, 2019,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(for the three months ended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lease payments</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imputed interest</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4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2019 Form 10-Q | 27</w:t>
      </w:r>
    </w:p>
    <w:p>
      <w:pPr>
        <w:sectPr>
          <w:pgSz w:w="11900" w:h="16838" w:orient="portrait"/>
          <w:cols w:equalWidth="0" w:num="1">
            <w:col w:w="11420"/>
          </w:cols>
          <w:pgMar w:left="240" w:top="140"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right="18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2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included in this quarterly report, other than statements of historical fact,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or expected. Those known risks and uncertainties include, but are not limited to, risks and uncertainties related to the following:</w:t>
      </w:r>
    </w:p>
    <w:p>
      <w:pPr>
        <w:spacing w:after="0" w:line="85" w:lineRule="exact"/>
        <w:rPr>
          <w:sz w:val="20"/>
          <w:szCs w:val="20"/>
          <w:color w:val="auto"/>
        </w:rPr>
      </w:pPr>
    </w:p>
    <w:p>
      <w:pPr>
        <w:ind w:left="340" w:right="540" w:hanging="332"/>
        <w:spacing w:after="0" w:line="26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 or “Obamacare,” including the ultimate outcome on appeal of the Texas et al. v. U.S. et al. matter;</w:t>
      </w:r>
    </w:p>
    <w:p>
      <w:pPr>
        <w:spacing w:after="0" w:line="1" w:lineRule="exact"/>
        <w:rPr>
          <w:rFonts w:ascii="Arial" w:cs="Arial" w:eastAsia="Arial" w:hAnsi="Arial"/>
          <w:sz w:val="16"/>
          <w:szCs w:val="16"/>
          <w:i w:val="1"/>
          <w:iCs w:val="1"/>
          <w:color w:val="auto"/>
        </w:rPr>
      </w:pPr>
    </w:p>
    <w:p>
      <w:pPr>
        <w:ind w:left="340" w:right="28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adjustment requirements, the potential for disproportionate enrollment of higher acuity members, the discontinuation of premium tax credits, and the adequacy of agreed rates;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seasonal flu patterns or other newly emergent diseases;</w:t>
      </w:r>
    </w:p>
    <w:p>
      <w:pPr>
        <w:ind w:left="340" w:right="68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requests for proposal protest filings or defenses, including the pending Texas STAR+PLUS and STAR/CHIP RFPs;</w:t>
      </w:r>
    </w:p>
    <w:p>
      <w:pPr>
        <w:ind w:left="340" w:right="16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38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32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340" w:right="34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w:t>
      </w:r>
    </w:p>
    <w:p>
      <w:pPr>
        <w:ind w:left="340" w:right="20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160" w:hanging="332"/>
        <w:spacing w:after="0" w:line="26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27" w:lineRule="exact"/>
        <w:rPr>
          <w:rFonts w:ascii="Arial" w:cs="Arial" w:eastAsia="Arial" w:hAnsi="Arial"/>
          <w:sz w:val="16"/>
          <w:szCs w:val="16"/>
          <w:i w:val="1"/>
          <w:iCs w:val="1"/>
          <w:color w:val="auto"/>
        </w:rPr>
      </w:pPr>
    </w:p>
    <w:p>
      <w:pPr>
        <w:ind w:left="340" w:right="180" w:hanging="332"/>
        <w:spacing w:after="0" w:line="25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our health plan in Puerto Rico, including the resolution of the debt crisis and the effect of the PROMESA law, the effects of political and regulatory instability, and the impact of any future significant weather events;</w:t>
      </w: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w:t>
      </w:r>
    </w:p>
    <w:p>
      <w:pPr>
        <w:spacing w:after="0" w:line="9" w:lineRule="exact"/>
        <w:rPr>
          <w:rFonts w:ascii="Arial" w:cs="Arial" w:eastAsia="Arial" w:hAnsi="Arial"/>
          <w:sz w:val="18"/>
          <w:szCs w:val="18"/>
          <w:i w:val="1"/>
          <w:iCs w:val="1"/>
          <w:color w:val="auto"/>
        </w:rPr>
      </w:pPr>
    </w:p>
    <w:p>
      <w:pPr>
        <w:ind w:left="340" w:right="80" w:hanging="332"/>
        <w:spacing w:after="0" w:line="25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 as well as the chilling effect of the new so-called public charge rule;</w:t>
      </w:r>
    </w:p>
    <w:p>
      <w:pPr>
        <w:ind w:left="340" w:right="120" w:hanging="332"/>
        <w:spacing w:after="0" w:line="25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reviews, comment letters, or potential investigations, and any fine, sanction, enrollment freeze, monitoring program, or premium recovery that may result therefrom;</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220" w:hanging="332"/>
        <w:spacing w:after="0" w:line="25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are not a direct party;</w:t>
      </w:r>
    </w:p>
    <w:p>
      <w:pPr>
        <w:ind w:left="340" w:right="360" w:hanging="332"/>
        <w:spacing w:after="0" w:line="25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40" w:right="540" w:hanging="332"/>
        <w:spacing w:after="0" w:line="265" w:lineRule="auto"/>
        <w:tabs>
          <w:tab w:leader="none" w:pos="340" w:val="left"/>
        </w:tabs>
        <w:numPr>
          <w:ilvl w:val="0"/>
          <w:numId w:val="10"/>
        </w:numPr>
        <w:rPr>
          <w:rFonts w:ascii="Arial" w:cs="Arial" w:eastAsia="Arial" w:hAnsi="Arial"/>
          <w:sz w:val="15"/>
          <w:szCs w:val="15"/>
          <w:i w:val="1"/>
          <w:iCs w:val="1"/>
          <w:color w:val="auto"/>
        </w:rPr>
      </w:pPr>
      <w:r>
        <w:rPr>
          <w:rFonts w:ascii="Arial" w:cs="Arial" w:eastAsia="Arial" w:hAnsi="Arial"/>
          <w:sz w:val="17"/>
          <w:szCs w:val="17"/>
          <w:i w:val="1"/>
          <w:iCs w:val="1"/>
          <w:color w:val="auto"/>
        </w:rPr>
        <w:t>the availability of adequate financing on acceptable terms to fund and capitalize our expansion and growth, repay our outstanding indebtedness at maturity and meet our liquidity needs, including the interest expense and other costs associated with such financing;</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conversion or maturity of our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Readers should refer to the section entitled “Risk Factors” in our Annual Report on Form 10-K for the year ended December 31, 2018,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2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Through our locally operated health plans in 14 states and the Commonwealth of Puerto Rico, we served approximately 3.3 million members as of September 30, 2019. The health plans are generally operated by our respective wholly owned subsidiaries in those states, each of which is licensed as a health maintenance organization (“HMO”).</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currently have two reportable segments: our Health Plans segment and our Other segment. We manage the vast majority of our operations through our Health Plans segment. The Other segment includes the historical results of the Medicaid management information systems (“MMIS”) and behavioral health subsidiaries we sold in late 2018, as well as certain corporate amounts not allocated to the Health Plans segment. Beginning in 2019, we no longer report service revenue or cost of service revenue as a result of the sales of the MMIS and behavioral health subsidiaries noted above.</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828282"/>
        </w:rPr>
        <w:t>THIRD QUARTER 2019 HIGHLIGHTS</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summary, we produced pretax earnings of $233 million, and net income of $175 million in the third quarter of 2019, resulting in an after-tax margin of 4.1%. On a year-to-date basis, pretax earnings were $ 750 million and net income was $569 million, resulting in an after-tax margin of 4.5%. These results include, on a consolidated and year-to-date basis, a medical care ratio (“MCR”) of 85.7% and a general and administrative (“G&amp;A”) expense ratio of 7.6%.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 Performance</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have a broad and well diversified business portfolio, and all of our lines of business and our local health plans are continuing to perform well for the third quarter and nine months year to date.</w:t>
      </w:r>
    </w:p>
    <w:p>
      <w:pPr>
        <w:spacing w:after="0" w:line="19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the Medicaid business, our MCR for the third quarter was sequentially flat at approximately 88.1%. These results were in line with our expectations and performance in this business continued to be stable, as we have achieved an 88.2% MCR for the first nine months of the year.</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Medicare business, comprising our Medicare Special Needs Plans and MMP products, continued to perform well in the third quarter and was also in line with our expectation. The 85.6% MCR in the third quarter was fairly stable compared to 85.2% MCR in the second quarter of this year. We achieved an 85.2% MCR for the first nine months of the year, as we continue to manage high-acuity members by providing access to high-quality healthcare at a reasonable cost, including our management of long term services and supports, or LTSS, benefits which are embedded in our MMP product. Additionally, we continue to see the results of our quality and risk adjustment efforts, as our Medicare risk scores are becoming more commensurate with the acuity of this population and risk adjustment revenue has increased.</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Marketplace business has also continued to perform well and the results are in line with seasonal expectations, as we reported a 71.2% MCR for the third quarter compared to 67.2% MCR in the second quarter of this year. For the first nine months of the year, the Marketplace MCR was 66.7%, and the attractive margin profile of this business will allow us to be more competitive on premium rates, increase value added benefits, and offer more competitive commissions in 2020, so we can grow membership - albeit at a lower, but still attractive and more sustainable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G&amp;A Expenses</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G&amp;A expense ratio increased 60 basis points to 7.6% in the nine months ended September 30, 2019, from 7.0% for the same period in 2018, due mainly to the year-over-year decline in total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Capital Management</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continue to improve our balance sheet, as we repaid an additional $ 55 million aggregate principal amount of our 1.125% Convertible Notes in the third quarter, for a total of $240 million year to date. The impact of capital deployment actions in the quarter resulted in lower interest expense, a slight loss on repayment of the convertible notes, and a lower share count.</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30</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SUMMARY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08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r>
      <w:tr>
        <w:trPr>
          <w:trHeight w:val="223"/>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5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(Dollars in millions, except per-share amounts)</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6"/>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4,084</w:t>
            </w:r>
          </w:p>
        </w:tc>
        <w:tc>
          <w:tcPr>
            <w:tcW w:w="4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12,085</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13,174</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Premium tax revenue</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119</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367</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320</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 reimbursed</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248</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Investment income and other revenue</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40</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103</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93</w:t>
            </w:r>
          </w:p>
        </w:tc>
      </w:tr>
      <w:tr>
        <w:trPr>
          <w:trHeight w:val="293"/>
        </w:trPr>
        <w:tc>
          <w:tcPr>
            <w:tcW w:w="4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3,523</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3,790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10,360</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11,362</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323</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953</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998</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Premium tax expenses</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119</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367</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320</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261</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38</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sale of subsidiary</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r>
      <w:tr>
        <w:trPr>
          <w:trHeight w:val="284"/>
        </w:trPr>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257</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802</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859</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67</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91</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(income), net</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Income before income tax expense</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233</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750</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743</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58</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181</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175</w:t>
            </w:r>
          </w:p>
        </w:tc>
        <w:tc>
          <w:tcPr>
            <w:tcW w:w="4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569</w:t>
            </w:r>
          </w:p>
        </w:tc>
        <w:tc>
          <w:tcPr>
            <w:tcW w:w="4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506</w:t>
            </w:r>
          </w:p>
        </w:tc>
      </w:tr>
      <w:tr>
        <w:trPr>
          <w:trHeight w:val="293"/>
        </w:trPr>
        <w:tc>
          <w:tcPr>
            <w:tcW w:w="4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Net income per diluted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2.75</w:t>
            </w:r>
          </w:p>
        </w:tc>
        <w:tc>
          <w:tcPr>
            <w:tcW w:w="4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8.80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7.60</w:t>
            </w:r>
          </w:p>
        </w:tc>
      </w:tr>
      <w:tr>
        <w:trPr>
          <w:trHeight w:val="293"/>
        </w:trPr>
        <w:tc>
          <w:tcPr>
            <w:tcW w:w="4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3,346,000</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3,999,000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3,346,000</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3,999,000</w:t>
            </w: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86.3%</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85.7%</w:t>
            </w: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86.2%</w:t>
            </w: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323"/>
        </w:trPr>
        <w:tc>
          <w:tcPr>
            <w:tcW w:w="4540" w:type="dxa"/>
            <w:vAlign w:val="bottom"/>
          </w:tcPr>
          <w:p>
            <w:pPr>
              <w:ind w:left="4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w:t>
            </w: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110" w:lineRule="exact"/>
        <w:rPr>
          <w:sz w:val="20"/>
          <w:szCs w:val="20"/>
          <w:color w:val="auto"/>
        </w:rPr>
      </w:pPr>
    </w:p>
    <w:p>
      <w:pPr>
        <w:ind w:left="340" w:right="6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right="240" w:hanging="332"/>
        <w:spacing w:after="0" w:line="26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After-tax margin represents net income as a percentage of total revenue.</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Net income in the third quarter of 2019 amounted to $175 million, or $2.75 per diluted share, compared with $197 million, or $2.90 per diluted share, in the third quarter of 2018. Operating income of $257 million in the third quarter of 2019, was lower compared with $295 million in the third quarter of 2018, mainly resulting from the year-over-year decline in premium revenue. Additionally, results for the third quarter of 2018 included the recognition of a $37 million gain on the sale of subsidiary.</w:t>
      </w:r>
    </w:p>
    <w:p>
      <w:pPr>
        <w:spacing w:after="0" w:line="2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income in the nine months ended September 30, 2019, amounted to $ 569 million, or $8.80 per diluted share, compared with $ 506 million, or $7.60 per diluted share, in the nine months ended September 30, 2018. Operating income amounted to $802 million in the nine months ended September 30, 2019, compared with $859 million in the nine months ended September 30, 2018.</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31</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third quarter and nine months ended September 30, 2019, net income per diluted share was favorably impacted by the reduction of the dilutive impact of the 1.125% Warrants, as a result of the 1.125% Warrants partial termination transactions that settled between September 2018 and September 2019. See further discussion in Notes to Consolidated Financial Statements, Note 9,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Premium revenue decreased $253 million in the third quarter of 2019, when compared with the third quarter of 2018. Member months declined 18%, partially offset by a per-member per-month (“PMPM”) revenue increase of 12%. Premium revenue decreased $1,089 million in the nine months ended September 30, 2019, when compared with the nine months ended September 30, 2018. Member months declined 18%, partially offset by a PMPM revenue increase of 10%. The premium revenue decline in both periods was primarily in the Medicaid and Marketplace programs.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decline in Medicaid premium revenue was driven primarily by the loss in membership due to the previously announced loss of the New Mexico Medicaid contract, along with the resizing of the Florida Medicaid contract as reported throughout 2018. This was partially offset by Medicaid premium rate increases, and the impact of a $57 million reduction in premium revenue recognized in the third quarter of 2018, relating to a retroactive California Medicaid Expansion risk corridor for the state’s 2017 fiscal year.</w:t>
      </w:r>
    </w:p>
    <w:p>
      <w:pPr>
        <w:spacing w:after="0" w:line="20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decline in Marketplace premium revenue was primarily due to declining membership, which also drove a relatively smaller benefit from prior year Marketplace risk adjustment in 2019 compared with 2018, partially offset by premium rate increases.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consolidated MCR decreased to 86.3% in the third quarter of 2019, from 87.4% in the third quarter of 2018. The consolidated MCR in the third quarter of 2018 would have been 86.4% excluding the retroactive California Medicaid Expansion risk corridor adjustment and a slight benefit from the Marketplace cost sharing (“CSR”) reimbursement related to 2017 dates of service. Prior period reserve development in the quarter was negligible.</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consolidated MCR decreased to 85.7% in the nine months ended September 30, 2019, from 86.2% in the nine months ended September 30, 2018. The consolidated MCR in the nine months ended September 30, 2018, would have been 86.5%, excluding the retroactive California Medicaid Expansion risk corridor adjustment and the $81 million benefit from the Marketplace CSR reimbursement related to 2017 dates of service.</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improvement in both periods was due to a decrease in the Medicaid and Medicare MCRs, partially offset by an increase in the Marketplace MCR.</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2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2.8% in the third quarter of 2019, compared with 2.5% in the third quarter of 2018; and 2.9% compared with 2.4% for the nine months ended September 30, 2019 and 2018, respectively. The increase is mainly attributed to the state of Michigan’s implementation of an insurance provider assessment in 2019, and the state of Illinois’ implementation of a managed care organization provider assessment in the third quarter of 2019.</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15"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Investment income and other revenue increased to $40 million in the third quarter of 2019, compared with $37 million in the third quarter of 2018, and increased to $103 million in the nine months ended September 30, 2019, compared with $93 million in the nine months ended September 30, 2018, mainly due to gains realized on the sale of certain investments in the third quarter of 2019, and improved annualized portfolio yields overall in 2019.</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11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G&amp;A expense ratio increased to 7.6% in the third quarter of 2019, from 6.6% in the third quarter of 2018, and increased to 7.6% in the nine months ended September 30, 2019, compared with 7.0% in the nine months ended September 30, 2018. These increases were due mainly to the year-over-year decline in total revenues.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32</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w:t>
      </w:r>
    </w:p>
    <w:p>
      <w:pPr>
        <w:spacing w:after="0" w:line="22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There are no health insurer fees (“HIF”) expensed or reimbursed in 2019 due to the moratorium under Public Law No. 115-120. In the third quarter of 2018 and the nine months ended September 30, 2018, the HIF amounted to $87 million and $261 million, respectively, and HIF reimbursements amounted to $83 million and $248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RESTRUCTURING COSTS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incurred restructuring costs of $5 million in the nine months ended September 30, 2019, mainly due to true-ups of lease terminations recorded in our 2017 Restructuring Plan. In the third quarter of 2018 and the nine months ended September 30, 2018, we incurred restructuring costs of $5 million and $38 million, respectively, related to our 2017 Restructuring Plan.</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Interest expense declined to $22 million in the third quarter of 2019, from $26 million in the third quarter of 2018, and declined to $67 million in the nine months ended September 30, 2019, from $91 million in the nine months ended September 30, 2018. As further described below in “Liquidity,” we reduced the principal amount outstanding of our 1.125% Convertible Notes by $240 million in the nine months ended September 30, 2019, and reduced total debt by $759 million in the year ended December 31, 2018. The decrease in interest expense in 2019 was partially offset by interest expense attributable to $220 million borrowed under our Term Loan Facility in the nine months ended September 30, 2019.</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Interest expense includes non-cash interest expense relating primarily to the amortization of the discount on convertible senior notes, which amounted to $1 million and $5 million in the third quarter of 2019, and 2018, respectively, and $ 5 million and $18 million in the nine months ended September 30, 2019 and 2018, respectively. The decline in 2019 is due to repayment of our convertible senior notes throughout 2018 and in the nine months ended September 30, 2019. See further discussion in Notes to Consolidated Financial Statements, Note 7, “Debt.”</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EXPENSES (INCOME), NET</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third quarter of 2019 and the nine months ended September 30, 2019, we recognized a loss on debt repayment of $2 million, and a gain on debt repayment of $15 million, respectively. In the third quarter of 2018 and the nine months ended September 30, 2018, we recognized losses on debt repayment of $10 million and $25 million, respectively, in connection with convertible senior notes repayment transactions. The net gain year to date in 2019 was due to a favorable mark to market valuation on the partial termination of the Call Spread Overlay executed in connection with the related debt repayment. See further discussion in Notes to Consolidated Financial Statements, Note 7, “Debt.”</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provision for income taxes was recorded at an effective rate of 24.7% in the third quarter of 2019, compared with 24.0% in the third quarter of 2018, and 24.1% in the nine months ended September 30, 2019, compared with 31.9% in the nine months ended September 30, 2018. The effective tax rate was higher in 2018 due to higher non-deductible expenses in 2018, primarily related to the non-deductible HIF. The HIF is not applicable in 2019 due to the moratorium under Public Law No. 115-120.</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SUMMARY OF NON-RUN RATE ITEMS</w:t>
      </w:r>
    </w:p>
    <w:p>
      <w:pPr>
        <w:spacing w:after="0" w:line="11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table below summarizes the impact of certain expenses and other items that management believes are not indicative of longer-term business trends and operations. The individual items presented below increase (decrease) income before income tax expense.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0" w:type="dxa"/>
            <w:vAlign w:val="bottom"/>
            <w:gridSpan w:val="11"/>
          </w:tcPr>
          <w:p>
            <w:pPr>
              <w:ind w:left="50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9"/>
                <w:szCs w:val="19"/>
                <w:color w:val="auto"/>
              </w:rPr>
            </w:pPr>
          </w:p>
        </w:tc>
        <w:tc>
          <w:tcPr>
            <w:tcW w:w="3820" w:type="dxa"/>
            <w:vAlign w:val="bottom"/>
            <w:gridSpan w:val="10"/>
          </w:tcPr>
          <w:p>
            <w:pPr>
              <w:jc w:val="right"/>
              <w:ind w:right="5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Per</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b w:val="1"/>
                <w:bCs w:val="1"/>
                <w:color w:val="auto"/>
              </w:rPr>
              <w:t>Per</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Per Diluted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Diluted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Diluted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Diluted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40"/>
              <w:spacing w:after="0" w:line="234" w:lineRule="exact"/>
              <w:rPr>
                <w:sz w:val="20"/>
                <w:szCs w:val="20"/>
                <w:color w:val="auto"/>
              </w:rPr>
            </w:pPr>
            <w:r>
              <w:rPr>
                <w:rFonts w:ascii="Arial" w:cs="Arial" w:eastAsia="Arial" w:hAnsi="Arial"/>
                <w:sz w:val="16"/>
                <w:szCs w:val="16"/>
                <w:b w:val="1"/>
                <w:bCs w:val="1"/>
                <w:color w:val="auto"/>
                <w:w w:val="96"/>
              </w:rPr>
              <w:t xml:space="preserve">Share </w:t>
            </w:r>
            <w:r>
              <w:rPr>
                <w:rFonts w:ascii="Arial" w:cs="Arial" w:eastAsia="Arial" w:hAnsi="Arial"/>
                <w:sz w:val="21"/>
                <w:szCs w:val="21"/>
                <w:b w:val="1"/>
                <w:bCs w:val="1"/>
                <w:color w:val="auto"/>
                <w:w w:val="96"/>
                <w:vertAlign w:val="superscript"/>
              </w:rPr>
              <w:t>(1)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11"/>
          </w:tcPr>
          <w:p>
            <w:pPr>
              <w:ind w:left="40"/>
              <w:spacing w:after="0"/>
              <w:rPr>
                <w:sz w:val="20"/>
                <w:szCs w:val="20"/>
                <w:color w:val="auto"/>
              </w:rPr>
            </w:pPr>
            <w:r>
              <w:rPr>
                <w:rFonts w:ascii="Arial" w:cs="Arial" w:eastAsia="Arial" w:hAnsi="Arial"/>
                <w:sz w:val="16"/>
                <w:szCs w:val="16"/>
                <w:b w:val="1"/>
                <w:bCs w:val="1"/>
                <w:i w:val="1"/>
                <w:iCs w:val="1"/>
                <w:color w:val="auto"/>
              </w:rPr>
              <w:t>(In millions except per diluted share amounts)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gain on debt repayment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sale of subsidiary</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3340" w:type="dxa"/>
            <w:vAlign w:val="bottom"/>
            <w:vMerge w:val="restart"/>
          </w:tcPr>
          <w:p>
            <w:pPr>
              <w:jc w:val="right"/>
              <w:ind w:right="1337"/>
              <w:spacing w:after="0"/>
              <w:rPr>
                <w:sz w:val="20"/>
                <w:szCs w:val="20"/>
                <w:color w:val="auto"/>
              </w:rPr>
            </w:pPr>
            <w:r>
              <w:rPr>
                <w:rFonts w:ascii="Arial" w:cs="Arial" w:eastAsia="Arial" w:hAnsi="Arial"/>
                <w:sz w:val="18"/>
                <w:szCs w:val="18"/>
                <w:color w:val="auto"/>
                <w:w w:val="99"/>
              </w:rPr>
              <w:t>___________________</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40" w:right="180" w:hanging="332"/>
        <w:spacing w:after="0" w:line="26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6"/>
          <w:szCs w:val="16"/>
          <w:color w:val="auto"/>
        </w:rPr>
        <w:t>Except for permanent differences between GAAP and tax (such as certain expenses that are not deductible for tax purposes), per diluted share amounts are generally calculated at the statutory income tax rate of 22.6% and 22% for 2019 and 2018,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23"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8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One of the key metrics used to assess the performance of our Health Plans segment is the MCR, which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9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Margin for our Health Plans segment is referred to as “Medical Margin.” Medical Margin amounted to $561 million in the third quarter of 2019, and $547 million in the third quarter of 2018. Medical Margin amounted to $1,725 million in the nine months ended September 30, 2019, and $1,812 million in the nine months ended September 30, 2018. Management’s discussion and analysis of the changes in the individual components of Medical Margin follows.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11, “Segments,” for more information on our reportable segments.</w:t>
      </w: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25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September 30, 2019, these health plans served approximately 3.3 million members eligible for Medicaid, Medicare, and other government-sponsored healthcare programs for low-income families and individuals, including Marketplace members, most of whom receive government premium subsidies.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 in Membership and Premium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Medicaid contracts in New Mexico and in all but two regions in Florida terminated in late 2018 and early 2019. As a result, our Medicaid membership has decreased to approximately 96,000 members in Florida as of September 30, 2019, from 468,000 members in Florida and New Mexico, in the aggregate, as of December 31, 2018. In 2019, we continue to serve Medicare and Marketplace members in both Florida and New Mexico, as well as Medicaid members in two regions in Florida.</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34</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our Medicaid membership has declined further in Puerto Rico as a result of the entry of more managed care organizations to that market late last year. We served approximately 186,000 members in Puerto Rico as of September 30, 2019, compared with 252,000 members as of December 31, 2018.</w:t>
      </w:r>
    </w:p>
    <w:p>
      <w:pPr>
        <w:spacing w:after="0" w:line="20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Medicaid premium revenues have decreased 9% in the nine months ended September 30, 2019, when compared with the nine months ended September 30, 2018, primarily as a result of the changes described above. We expect our Medicaid premium revenues to continue to decline in 2019 compared with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estimate that our 2019 Marketplace end-of-year enrollment will decrease to approximately 270,000 members due to expected attrition. This projected enrollment is lower than the 289,000 and 362,000 members enrolled as of September 30, 2019, and December 31, 2018, respectively. Consequently, we expect our Marketplace premium revenues to continue to decrease in 2019 compared with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Upcoming Contract Re-Procurements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Texas Health Plan. </w:t>
      </w:r>
      <w:r>
        <w:rPr>
          <w:rFonts w:ascii="Arial" w:cs="Arial" w:eastAsia="Arial" w:hAnsi="Arial"/>
          <w:sz w:val="18"/>
          <w:szCs w:val="18"/>
          <w:color w:val="auto"/>
        </w:rPr>
        <w:t>On October 29, 2019, the Texas Health and Human Services Commission (HHSC) notified our Texas health plan, Molina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of Texas, Inc., that HHSC intends to award contracts to Molina Healthcare of Texas, Inc. for the STAR+PLUS program in the Hidalgo and North East service areas. The awards will be for an initial contract term of 3 years, and anticipated to have an operational effective date of September 1, 2020. STAR+PLUS is a Texas Medicaid Managed Care program integrating the delivery of Acute Care services and Long-Term Services and Supports (LTSS) for people who are age 65 or older, blind, or disabled. Currently, our Texas health plan services the Bexar, Dallas, El Paso, Harris, Hidalgo, and Jefferson service areas, with total membership of approximately 86,000 enrollees. Under the existing STAR+PLUS contract, the premium revenue for this program amounted to approximately $1.2 billion for the nine months ended September 30, 2019. We are seeking to understand the basis for HHSC’s selection of intended contract awards. We do not expect this matter to affect our earnings during fiscal year 2019.</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Texas health plan has submitted a request for proposal (“RFP”) response with regard to the STAR/CHIP program. We currently expect the STAR/CHIP award to be announced in the fourth quarter of 2019. The STAR/CHIP program is currently expected to have an operational effective date of December 1, 2020. As of September 30, 2019, our Texas health plan served 116,000 members under the existing STAR/CHIP contracts, under which we estimate annualized premium revenues of approximately $310 million in 2019.</w:t>
      </w:r>
    </w:p>
    <w:p>
      <w:pPr>
        <w:spacing w:after="0" w:line="18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Ohio Health Plan. </w:t>
      </w:r>
      <w:r>
        <w:rPr>
          <w:rFonts w:ascii="Arial" w:cs="Arial" w:eastAsia="Arial" w:hAnsi="Arial"/>
          <w:sz w:val="18"/>
          <w:szCs w:val="18"/>
          <w:color w:val="auto"/>
        </w:rPr>
        <w:t>We have received information that the state of Ohio expects to release its Medicaid contract RFP early in 2020,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announcement of the awards expected in the third quarter of 2020, and an operational effective date of January 1, 2021.</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California Health Plan. </w:t>
      </w:r>
      <w:r>
        <w:rPr>
          <w:rFonts w:ascii="Arial" w:cs="Arial" w:eastAsia="Arial" w:hAnsi="Arial"/>
          <w:sz w:val="18"/>
          <w:szCs w:val="18"/>
          <w:color w:val="auto"/>
        </w:rPr>
        <w:t>We have received information that the state of California expects to release its Medicaid contract RFP in 2020, with new</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effective in 2023.</w:t>
      </w:r>
    </w:p>
    <w:p>
      <w:pPr>
        <w:spacing w:after="0" w:line="18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Losses of any of our Texas, Ohio, or California Medicaid contracts could have a material adverse effect on our business, financial condition, cash flows,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MMP Program</w:t>
      </w:r>
    </w:p>
    <w:p>
      <w:pPr>
        <w:spacing w:after="0" w:line="225"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Our California, Illinois and Ohio MMP contracts have been extended, with one-year renewal terms, through December 31, 2022. These contracts represent aggregate annualized revenues of approximately $910 million in 2019.</w:t>
      </w:r>
    </w:p>
    <w:p>
      <w:pPr>
        <w:spacing w:after="0" w:line="1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Michigan, South Carolina and Texas MMP contracts are active through December 31, 2020. In October 2019, the Michigan Medicaid agency submitted a three-year extension request to CMS.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Pressures on Medicaid Funding</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states’ budget challenges and political agendas at both the state and federal levels, there are a number of different legislative proposals being considered, some of which would involve significantly reduced federal or state spending on the Medicaid program, constitute a fundamental change to the federal role in healthcare and, if enacted, could have a material adverse effect on our business, financial condition, cash flows and results of operations. These proposals include elements such as the following, as well as numerous other potential changes and reforms:</w:t>
      </w:r>
    </w:p>
    <w:p>
      <w:pPr>
        <w:spacing w:after="0" w:line="97" w:lineRule="exact"/>
        <w:rPr>
          <w:sz w:val="20"/>
          <w:szCs w:val="20"/>
          <w:color w:val="auto"/>
        </w:rPr>
      </w:pPr>
    </w:p>
    <w:p>
      <w:pPr>
        <w:ind w:left="660" w:right="1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entitlement nature of Medicaid (and perhaps Medicare as well) by capping future increases in federal health spending for these programs, and shifting much more of the risk for health costs in the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35</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to states and consumers;</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Medicaid beneficiaries to work;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ACA’s individual mandate is unconstitutional. He further held that the individual mandate is inseverable from the entire body of the ACA, and thus the entire ACA is unconstitutional. The District Court stayed its order pending appeal, and the decision has now been appealed to and argued before a three judge panel of the Fifth Circuit Court of Appeals. A decision of that court is expected in the fourth quarter of 2019, after which the case may be further appealed to the United States Supreme Court. Any final, non-appealable determination that the ACA is unconstitutional would have a material adverse effect on our business, financial condition, cash flows,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color w:val="828282"/>
        </w:rPr>
        <w:t>MEMBERSHIP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TANF and CHIP</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1,993,000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2,295,000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2,436,000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598,000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660,000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664,000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ABD</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364,000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406,000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415,000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Medicaid</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2,955,000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3,361,000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3,515,000</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MMP – Integrated </w:t>
            </w:r>
            <w:r>
              <w:rPr>
                <w:rFonts w:ascii="Arial" w:cs="Arial" w:eastAsia="Arial" w:hAnsi="Arial"/>
                <w:sz w:val="21"/>
                <w:szCs w:val="21"/>
                <w:color w:val="auto"/>
                <w:vertAlign w:val="superscript"/>
              </w:rPr>
              <w:t>(1)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58,000</w:t>
            </w:r>
          </w:p>
        </w:tc>
        <w:tc>
          <w:tcPr>
            <w:tcW w:w="12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54,000</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 Special Needs Plans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Medicare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Medicaid and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3,057,000</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3,459,000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3,615,000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289,000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384,000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3,346,000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3,821,000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3,999,000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580,000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608,000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623,000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Florida </w:t>
            </w:r>
            <w:r>
              <w:rPr>
                <w:rFonts w:ascii="Arial" w:cs="Arial" w:eastAsia="Arial" w:hAnsi="Arial"/>
                <w:sz w:val="21"/>
                <w:szCs w:val="21"/>
                <w:color w:val="auto"/>
                <w:vertAlign w:val="superscript"/>
              </w:rPr>
              <w:t>(2)</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224,000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223,000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361,000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394,000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24,000</w:t>
            </w:r>
          </w:p>
        </w:tc>
        <w:tc>
          <w:tcPr>
            <w:tcW w:w="120" w:type="dxa"/>
            <w:vAlign w:val="bottom"/>
          </w:tcPr>
          <w:p>
            <w:pPr>
              <w:spacing w:after="0"/>
              <w:rPr>
                <w:sz w:val="23"/>
                <w:szCs w:val="23"/>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222,000</w:t>
            </w:r>
          </w:p>
        </w:tc>
        <w:tc>
          <w:tcPr>
            <w:tcW w:w="100" w:type="dxa"/>
            <w:vAlign w:val="bottom"/>
          </w:tcPr>
          <w:p>
            <w:pPr>
              <w:spacing w:after="0"/>
              <w:rPr>
                <w:sz w:val="23"/>
                <w:szCs w:val="23"/>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234,000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292,000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186,000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252,000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320,000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423,000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436,000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818,000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781,000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770,000</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241,000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193,000</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172,000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3,346,000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3,821,000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3,999,000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MMP members receive both Medicaid and Medicare coverage from Molina Healthcare.</w:t>
      </w:r>
    </w:p>
    <w:p>
      <w:pPr>
        <w:spacing w:after="0" w:line="5" w:lineRule="exact"/>
        <w:rPr>
          <w:rFonts w:ascii="Arial" w:cs="Arial" w:eastAsia="Arial" w:hAnsi="Arial"/>
          <w:sz w:val="16"/>
          <w:szCs w:val="16"/>
          <w:color w:val="auto"/>
        </w:rPr>
      </w:pPr>
    </w:p>
    <w:p>
      <w:pPr>
        <w:ind w:left="340" w:right="42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Medicaid contracts in New Mexico and in all but two regions in Florida terminated in late 2018 and early 2019. During 2019, we continue to serve Medicare and Marketplace members in both Florida and New Mexico, as well as Medicaid members in two regions in Florida.</w:t>
      </w:r>
    </w:p>
    <w:p>
      <w:pPr>
        <w:ind w:left="340" w:right="3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2019 Form 10-Q | 36</w:t>
      </w:r>
    </w:p>
    <w:p>
      <w:pPr>
        <w:sectPr>
          <w:pgSz w:w="11900" w:h="16838" w:orient="portrait"/>
          <w:cols w:equalWidth="0" w:num="1">
            <w:col w:w="11420"/>
          </w:cols>
          <w:pgMar w:left="240" w:top="140"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line="261" w:lineRule="auto"/>
        <w:rPr>
          <w:sz w:val="20"/>
          <w:szCs w:val="20"/>
          <w:color w:val="auto"/>
        </w:rPr>
      </w:pPr>
      <w:r>
        <w:rPr>
          <w:rFonts w:ascii="Arial" w:cs="Arial" w:eastAsia="Arial" w:hAnsi="Arial"/>
          <w:sz w:val="25"/>
          <w:szCs w:val="25"/>
          <w:color w:val="828282"/>
        </w:rPr>
        <w:t>THREE AND NINE MONTHS ENDED SEPTEMBER 30, 2019, COMPARED WITH THREE AND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PROGRAM</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MCR and medical margin by program for the periods indicated (PMPM amounts are in whole dollars; member months and other dollar amounts are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176.88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385.63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345.25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1,247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1,136.67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1,000.56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353.81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311.70</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2,328.70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2,010.50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1,230.01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1,029.75</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1,854.96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1,587.61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7"/>
        </w:trPr>
        <w:tc>
          <w:tcPr>
            <w:tcW w:w="2400" w:type="dxa"/>
            <w:vAlign w:val="bottom"/>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353.31</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410.23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292.21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4,084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403.40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3,523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348.06</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187.03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166.41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333.11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317.62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1,054.92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946.38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3,372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316.86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3,054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286.86</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2,159.72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1,981.45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1,157.71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895.25</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1,706.95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1,490.63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7"/>
        </w:trPr>
        <w:tc>
          <w:tcPr>
            <w:tcW w:w="2400" w:type="dxa"/>
            <w:vAlign w:val="bottom"/>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319.63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394.02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252.61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4,337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358.46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313.23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2019 Form 10-Q | 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rPr>
              <w:t>Nine Months Ended September 30, 2019</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Member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18.3</w:t>
            </w:r>
          </w:p>
        </w:tc>
        <w:tc>
          <w:tcPr>
            <w:tcW w:w="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3,594</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171.30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6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Medicaid Expansion</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2,055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380.08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334.85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73"/>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1,097.94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978.64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Medicaid</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27.0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9,239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342.03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8,151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301.77</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2,368.38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2,051.90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Medicare</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489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1,270.32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1,037.24</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0"/>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1,892.63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1,612.29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47"/>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Total Medicaid and Medicare</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10,921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391.44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343.53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73"/>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414.17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276.28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30.7</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12,085</w:t>
            </w:r>
          </w:p>
        </w:tc>
        <w:tc>
          <w:tcPr>
            <w:tcW w:w="20" w:type="dxa"/>
            <w:vAlign w:val="bottom"/>
            <w:tcBorders>
              <w:bottom w:val="single" w:sz="8" w:color="auto"/>
            </w:tcBorders>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393.52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10,360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337.37</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80" w:type="dxa"/>
            <w:vAlign w:val="bottom"/>
            <w:gridSpan w:val="7"/>
          </w:tcPr>
          <w:p>
            <w:pPr>
              <w:ind w:left="34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166.35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6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Medicaid Expansion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2,184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359.37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322.01</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1,034.25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950.11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10,193</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317.70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287.10</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2,173.90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1,899.26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1,171.59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959.54</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1,725.71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1,479.06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7"/>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Total Medicaid and Medicare</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11,740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319.50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73"/>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379.91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218.44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13,174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358.42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11,362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309.12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 Program</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Medical Margin of our Medicaid program increased $60 million, or 19% in the third quarter of 2019 when compared with the third quarter of 2018, and increased $107 million, or 11% in the nine months ended September 30, 2019, when compared with the nine months ended September 30, 2018. The increase in both periods was due to improvement in the overall Medicaid MCR, which more than offset the impact of declining Medicaid premium revenue. The Medicaid MCR decreased to 88.1% from 90.5%, or 240 basis points, in the third quarter of 2019 when compared with the same period in 2018, and decreased to 88.2% from 90.4%, or 220 basis points, in the nine months ended September 30, 2019, when compared with the same period in 2018.</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Medicaid MCR for both periods in 2019 benefited from improvements across all programs. The MCR for TANF and CHIP improved for both periods due to PMPM premium revenue increases. The improved MCR for the ABD program was principally driven by increases in premium revenue PMPM, lower pharmacy costs from re-contracted pharmacy benefits management, and our continued focus on medical cost management.</w:t>
      </w:r>
    </w:p>
    <w:p>
      <w:pPr>
        <w:spacing w:after="0" w:line="2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decrease in the Medicaid Expansion MCR for both periods in 2019 when compared to 2018, was mainly due to the impact of a $57 million reduction in premium revenue, recognized in the third quarter of 2018, relating to a retroactive California Medicaid Expansion risk corridor for the state’s 2017 fiscal year.</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Medicaid premium revenue decreased $204 million and $954 million in the third quarter of 2019 and the nine months ended September 30, 2019, respectively, mainly due to the loss in membership in connection with the termination of our Medicaid contracts in New Mexico and in all but two regions in Florida in late 2018 and early 2019, partially offset by net rate increases in certain other markets. As noted above, we expect lower Medicaid premium revenue throughout 2019, when compared with 2018.</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Program</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Medical Margin of our Medicare program increased $15 million, or 23%, in the third quarter of 2019, when compared with the third quarter of 2018, and increased $28 million, or 13%, in the nine months ended September 30, 2019, when compared with the nine months ended September 30, 2018. Premiums continue to increase compared with the prior year, mainly due to risk scores that are more commensurate with the acuity of our population.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Program</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Marketplace Medical Margin decreased $61 million in the third quarter of 2019, when compared with the third quarter of 2018, and decreased $222 million in the nine months ended September 30, 2019, when compared with the nine months ended September 30, 2018. The decrease in both periods in 2019 is mainly attributed to a decrease in premium revenues, driven by a decrease in membership of over 20%, partially offset by premium rate increases and increased premiums tied to risk scores. Additionally, the decrease in premiums in both periods in 2019 reflects a relatively smaller benefit from prior year Marketplace risk adjustment in 2019 compared with 2018. As noted above, we expect Marketplace premium revenue to be lower in 2019, when compared with 2018.</w:t>
      </w:r>
    </w:p>
    <w:p>
      <w:pPr>
        <w:spacing w:after="0" w:line="2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decrease in Medical Margin for the nine months ended September 30, 2019, was partially driven by the impact of the $81 million CSR reimbursement recognized in the nine months ended September 30, 2018. The CSR benefit related to 2017 dates of service and was recognized following the federal government’s confirmation that the reconciliation would be performed on an annual basis. In the fourth quarter of 2017, we had assumed a nine-month reconciliation of this item pending confirmation of the time period to which the 2017 reconciliation would be applied.</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MCR for the Marketplace program amounted to 71.2% in the third quarter of 2019, compared with 64.1% in the third quarter of 2018, and 66.7% in the nine months ended September 30, 2019, compared with 57.5% in the nine months ended September 30, 2018. The increased MCR in both periods in 2019 reflects a relatively smaller benefit from prior year Marketplace risk adjustment in 2019 compared with 2018, and the impact of higher acuity membership, partially offset by the impact of rate increases and increased premiums tied to risk scores. Additionally, the increase in MCR for the nine months ended September 30, 2019, reflects the impact of the CSR reimbursement recognized in the nine months ended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HEALTH PLAN</w:t>
      </w:r>
    </w:p>
    <w:p>
      <w:pPr>
        <w:spacing w:after="0" w:line="27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MCR, and medical margin by state health plan for the periods indicated (PMPM amounts are in whole dollars; member months and other dollar amounts are in millions):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Medicaid and Medicare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2"/>
                <w:szCs w:val="22"/>
                <w:color w:val="auto"/>
              </w:rPr>
            </w:pPr>
          </w:p>
        </w:tc>
        <w:tc>
          <w:tcPr>
            <w:tcW w:w="2320" w:type="dxa"/>
            <w:vAlign w:val="bottom"/>
            <w:gridSpan w:val="5"/>
          </w:tcPr>
          <w:p>
            <w:pPr>
              <w:ind w:left="34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261.97</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0"/>
        </w:trPr>
        <w:tc>
          <w:tcPr>
            <w:tcW w:w="25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436.99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427.80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347.28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252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373.01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307.97</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8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687.38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628.98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252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209.25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182.53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379.20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347.23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252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912.76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833.51</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269.52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238.55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tcPr>
          <w:p>
            <w:pPr>
              <w:ind w:left="40"/>
              <w:spacing w:after="0" w:line="269" w:lineRule="exact"/>
              <w:rPr>
                <w:sz w:val="20"/>
                <w:szCs w:val="20"/>
                <w:color w:val="auto"/>
              </w:rPr>
            </w:pPr>
            <w:r>
              <w:rPr>
                <w:rFonts w:ascii="Arial" w:cs="Arial" w:eastAsia="Arial" w:hAnsi="Arial"/>
                <w:sz w:val="31"/>
                <w:szCs w:val="31"/>
                <w:color w:val="auto"/>
                <w:vertAlign w:val="subscript"/>
              </w:rPr>
              <w:t>Other</w:t>
            </w:r>
            <w:r>
              <w:rPr>
                <w:rFonts w:ascii="Arial" w:cs="Arial" w:eastAsia="Arial" w:hAnsi="Arial"/>
                <w:sz w:val="11"/>
                <w:szCs w:val="11"/>
                <w:color w:val="auto"/>
              </w:rPr>
              <w:t xml:space="preserve"> (1) (2)</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437.60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341.29</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3,727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3,269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353.31</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39</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249.00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363.16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339.33</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274.98</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350.05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282.49</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471.66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426.69</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624.84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568.93</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171.96</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354.53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318.56</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848.47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772.14</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226.77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197.04</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334.29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261.49</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3,881</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354.70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3,498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319.63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2019</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410.71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367.95</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365.35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318.26</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370.77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305.99</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682.59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614.89</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190.42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167.98</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368.35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326.61</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910.64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826.20</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236.98</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tcPr>
          <w:p>
            <w:pPr>
              <w:ind w:left="40"/>
              <w:spacing w:after="0" w:line="269" w:lineRule="exact"/>
              <w:rPr>
                <w:sz w:val="20"/>
                <w:szCs w:val="20"/>
                <w:color w:val="auto"/>
              </w:rPr>
            </w:pPr>
            <w:r>
              <w:rPr>
                <w:rFonts w:ascii="Arial" w:cs="Arial" w:eastAsia="Arial" w:hAnsi="Arial"/>
                <w:sz w:val="31"/>
                <w:szCs w:val="31"/>
                <w:color w:val="auto"/>
                <w:vertAlign w:val="subscript"/>
              </w:rPr>
              <w:t>Other</w:t>
            </w:r>
            <w:r>
              <w:rPr>
                <w:rFonts w:ascii="Arial" w:cs="Arial" w:eastAsia="Arial" w:hAnsi="Arial"/>
                <w:sz w:val="11"/>
                <w:szCs w:val="11"/>
                <w:color w:val="auto"/>
              </w:rPr>
              <w:t xml:space="preserve"> (1) (2)</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402.31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325.93</w:t>
            </w:r>
          </w:p>
        </w:tc>
        <w:tc>
          <w:tcPr>
            <w:tcW w:w="118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10,921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9,584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343.53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270.63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356.15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331.93</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308.45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265.47</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343.08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290.26</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469.19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438.70</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590.71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521.26</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173.83</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350.94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306.76</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831.21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753.31</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245.40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227.41</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323.84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269.98</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11,740</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355.96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10,538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319.50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w:t>
      </w:r>
    </w:p>
    <w:p>
      <w:pPr>
        <w:sectPr>
          <w:pgSz w:w="11900" w:h="16838" w:orient="portrait"/>
          <w:cols w:equalWidth="0" w:num="1">
            <w:col w:w="11420"/>
          </w:cols>
          <w:pgMar w:left="240" w:top="140" w:right="239" w:bottom="1440" w:gutter="0" w:footer="0" w:header="0"/>
        </w:sectPr>
      </w:pPr>
    </w:p>
    <w:p>
      <w:pPr>
        <w:spacing w:after="0" w:line="22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2019 Form 10-Q | 40</w:t>
      </w:r>
    </w:p>
    <w:p>
      <w:pPr>
        <w:sectPr>
          <w:pgSz w:w="11900" w:h="16838" w:orient="portrait"/>
          <w:cols w:equalWidth="0" w:num="1">
            <w:col w:w="11420"/>
          </w:cols>
          <w:pgMar w:left="240" w:top="140"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340" w:right="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2019, “Other” includes the New Mexico health plan. The New Mexico health plan’s Medicaid contract terminated on December 31, 2018, and therefore its 2019 results are not individually significant to our consolidated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371.07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210.87</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349.53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212.00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431.41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289.45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Ohio</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792.96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626.30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351.04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257.68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719.67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548.75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480.41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408.35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410.23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292.21</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309.04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235.63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548.60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362.39</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233.51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145.13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419.20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249.33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485.08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336.86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357.54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209.80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656.70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518.75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240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3"/>
                <w:szCs w:val="23"/>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4"/>
        </w:trPr>
        <w:tc>
          <w:tcPr>
            <w:tcW w:w="24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456</w:t>
            </w:r>
          </w:p>
        </w:tc>
        <w:tc>
          <w:tcPr>
            <w:tcW w:w="3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394.02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292</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252.61</w:t>
            </w:r>
          </w:p>
        </w:tc>
        <w:tc>
          <w:tcPr>
            <w:tcW w:w="1180" w:type="dxa"/>
            <w:vAlign w:val="bottom"/>
            <w:tcBorders>
              <w:top w:val="single" w:sz="8" w:color="CCEEFF"/>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2019</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364.72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210.76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389.44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207.22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474.12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265.95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801.90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543.00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344.19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249.44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744.47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509.50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494.59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364.71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414.17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776</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276.28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26035</wp:posOffset>
            </wp:positionV>
            <wp:extent cx="5728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17"/>
                <w:szCs w:val="17"/>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17"/>
                <w:szCs w:val="17"/>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169.98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491.13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155.24</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8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145.38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426.07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247.57</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324.91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330.92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214.65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8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654.78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497.00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3"/>
                <w:szCs w:val="23"/>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4"/>
        </w:trPr>
        <w:tc>
          <w:tcPr>
            <w:tcW w:w="24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1,434</w:t>
            </w:r>
          </w:p>
        </w:tc>
        <w:tc>
          <w:tcPr>
            <w:tcW w:w="3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824</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218.44</w:t>
            </w:r>
          </w:p>
        </w:tc>
        <w:tc>
          <w:tcPr>
            <w:tcW w:w="1180" w:type="dxa"/>
            <w:vAlign w:val="bottom"/>
            <w:tcBorders>
              <w:top w:val="single" w:sz="8" w:color="CCEEFF"/>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57.5%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includes the New Mexico, Utah and Wisconsin health plans, which are not individually significant to our consolidated operating results in 2019.</w:t>
      </w:r>
    </w:p>
    <w:p>
      <w:pPr>
        <w:spacing w:after="0" w:line="5"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includes the Utah and Wisconsin health plans, where we did not participate in the Marketplace in 2018. Therefore, the ratios for 2018 periods are not meaningful (NM).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Total</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257.55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412.29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366.86</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347.28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373.92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307.68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628.89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209.25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182.53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379.20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347.23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696.46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611.78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246.36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tcPr>
          <w:p>
            <w:pPr>
              <w:ind w:left="40"/>
              <w:spacing w:after="0" w:line="269" w:lineRule="exact"/>
              <w:rPr>
                <w:sz w:val="20"/>
                <w:szCs w:val="20"/>
                <w:color w:val="auto"/>
              </w:rPr>
            </w:pPr>
            <w:r>
              <w:rPr>
                <w:rFonts w:ascii="Arial" w:cs="Arial" w:eastAsia="Arial" w:hAnsi="Arial"/>
                <w:sz w:val="31"/>
                <w:szCs w:val="31"/>
                <w:color w:val="auto"/>
                <w:vertAlign w:val="subscript"/>
              </w:rPr>
              <w:t>Other</w:t>
            </w:r>
            <w:r>
              <w:rPr>
                <w:rFonts w:ascii="Arial" w:cs="Arial" w:eastAsia="Arial" w:hAnsi="Arial"/>
                <w:sz w:val="11"/>
                <w:szCs w:val="11"/>
                <w:color w:val="auto"/>
              </w:rPr>
              <w:t xml:space="preserve"> (1) (2)</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442.14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348.40</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4,084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3,523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348.06</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253.60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382.20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341.70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274.98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345.28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276.88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409.68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616.95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555.83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171.96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354.53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318.56</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611.01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500.14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239.25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206.38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336.18</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260.19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4,337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358.46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313.23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2019 Form 10-Q | 42</w:t>
      </w:r>
    </w:p>
    <w:p>
      <w:pPr>
        <w:sectPr>
          <w:pgSz w:w="11900" w:h="16838" w:orient="portrait"/>
          <w:cols w:equalWidth="0" w:num="1">
            <w:col w:w="11420"/>
          </w:cols>
          <w:pgMar w:left="24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2019</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257.25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404.81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323.37</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365.35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318.26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372.58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305.29</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686.80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612.35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190.42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167.98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368.35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326.61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682.10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593.50</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274.52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244.10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tcPr>
          <w:p>
            <w:pPr>
              <w:ind w:left="40"/>
              <w:spacing w:after="0" w:line="269" w:lineRule="exact"/>
              <w:rPr>
                <w:sz w:val="20"/>
                <w:szCs w:val="20"/>
                <w:color w:val="auto"/>
              </w:rPr>
            </w:pPr>
            <w:r>
              <w:rPr>
                <w:rFonts w:ascii="Arial" w:cs="Arial" w:eastAsia="Arial" w:hAnsi="Arial"/>
                <w:sz w:val="31"/>
                <w:szCs w:val="31"/>
                <w:color w:val="auto"/>
                <w:vertAlign w:val="subscript"/>
              </w:rPr>
              <w:t>Other</w:t>
            </w:r>
            <w:r>
              <w:rPr>
                <w:rFonts w:ascii="Arial" w:cs="Arial" w:eastAsia="Arial" w:hAnsi="Arial"/>
                <w:sz w:val="11"/>
                <w:szCs w:val="11"/>
                <w:color w:val="auto"/>
              </w:rPr>
              <w:t xml:space="preserve"> (1) (2)</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413.13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330.48</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12,085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10,360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337.37</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275.64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236.61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372.07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311.09</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308.45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265.47</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338.83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283.77</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419.78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583.29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509.52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173.83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350.94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306.76</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581.74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484.70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257.82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235.59</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334.26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262.27</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13,174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358.42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11,362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309.12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32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w:t>
      </w:r>
    </w:p>
    <w:p>
      <w:pPr>
        <w:ind w:left="340" w:right="1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2019, “Other” includes the New Mexico health plan. The New Mexico health plan’s Medicaid contract terminated on December 31, 2018, and therefore its 2019 results are not individually significant to our consolidated operating results.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25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Other segment includes the historical results of the Medicaid management information systems (“MMIS”) and behavioral health subsidiaries we sold in late 2018, as well as certain corporate amounts not allocated to the Health Plans segment. Beginning in 2019, we no longer report service revenue or cost of service revenue as a result of the sales of the MMIS and behavioral health subsidiaries noted above.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Other segment margin in the third quarter and nine months ended September 30, 2018, was insignificant.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2019 Form 10-Q | 43</w:t>
      </w:r>
    </w:p>
    <w:p>
      <w:pPr>
        <w:sectPr>
          <w:pgSz w:w="11900" w:h="16838" w:orient="portrait"/>
          <w:cols w:equalWidth="0" w:num="1">
            <w:col w:w="11420"/>
          </w:cols>
          <w:pgMar w:left="240" w:top="140"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health plan subsidiaries generate significant cash flows from premium revenue, which is generally received a short time before related healthcare services are paid. Such cash flows are our primary source of liquidity. Thus, any decline in our profitability may have a negative impact on our liquidity. A majority of the assets held by our regulated health plan subsidiaries is in the form of cash, cash equivalents, and investments.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When available and as permitted by applicable regulations, cash in excess of the capital needs of our regulated health plan subsidiaries is generally paid in the form of dividends to our parent company to be used for general corporate purposes. In the third quarter of 2019 and nine months ended September 30, 2019, the parent received $430 million and $1,064 million, respectively, in dividends from the regulated health plan subsidiaries. In addition, the parent received $185 million in dividends from the regulated health plan subsidiaries during October 2019.</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To satisfy minimum statutory net worth requirements, the parent company may contribute capital to the regulated health plan subsidiaries. In the third quarter of 2019 and nine months ended September 30, 2019, the parent contributed capital of $19 million and $25 million, respectively, to the regulated health plan subsidiaries.</w:t>
      </w:r>
    </w:p>
    <w:p>
      <w:pPr>
        <w:spacing w:after="0" w:line="20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Cash, cash equivalents and investments at the parent company amounted to $796 million and $170 million as of September 30, 2019, and December 31, 2018, respectively. The increase in 2019 was mainly due to the dividends received from regulated health plan subsidiaries, as described above, and proceeds from borrowings under the Term Loan Facility, partially offset by principal repayments of our outstanding 1.125% Convertible Notes, as described further below in “Cash Flow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 approved investment policies which conform to applicable state laws and regulations.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20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589</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502</w:t>
            </w:r>
          </w:p>
        </w:tc>
      </w:tr>
      <w:tr>
        <w:trPr>
          <w:trHeight w:val="240"/>
        </w:trPr>
        <w:tc>
          <w:tcPr>
            <w:tcW w:w="6740" w:type="dxa"/>
            <w:vAlign w:val="bottom"/>
          </w:tcPr>
          <w:p>
            <w:pPr>
              <w:ind w:left="180"/>
              <w:spacing w:after="0"/>
              <w:rPr>
                <w:sz w:val="20"/>
                <w:szCs w:val="20"/>
                <w:color w:val="auto"/>
              </w:rPr>
            </w:pPr>
            <w:r>
              <w:rPr>
                <w:rFonts w:ascii="Arial" w:cs="Arial" w:eastAsia="Arial" w:hAnsi="Arial"/>
                <w:sz w:val="16"/>
                <w:szCs w:val="16"/>
                <w:color w:val="auto"/>
              </w:rPr>
              <w:t>Net decrease in cash, cash equivalents, and restricted cash and cash equivalents</w:t>
            </w: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190</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20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Net cash provided by operations for the nine months ended September 30, 2019 was $398 million, compared with $191 million used in operations in the nine months ended September 30, 2018. The $589 million increase in cash flow was due to the net impact of timing differences in receivables, payables and other current assets, settlements with government agencies, mainly related to the final 2017 CSR settlement paid in 2019, and timing of premium receipts.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investing activities was $80 million in the nine months ended September 30, 2019, compared with $821 million provided by investing activities in the nine months ended September 30, 2018, a decrease in cash flow of $901 million. The year over year decline was primarily due to increased purchases of investments, net of lower proceeds from sales and maturities of investments, in the nine months ended September 30,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cash used in financing activities was $510 million in the nine months ended September 30, 2019, compared with $1,012 million in the nine months ended September 30, 2018. In the nine months ended September 30, 2019, net cash paid for the aggregate 1.125% Convertible Notes-related transactions amounted to $ 794 million, partially offset by proceeds of $220 million borrowed under the Term Loan Facility. In the nine months ended September 30, 2018, net cash used in financing activities included net cash paid for the aggregate 1.125% Convertible Notes-related transactions of $710 million, the $300 million repayment of the Credit Facility, and $64 million repayment of the 1.625% Convertible Notes.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22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We believe that our cash resources, our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at September 30, 2019, our working capital was $2,569 million, compared with $2,216 million at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our cash and investments amounted to $4,517 million, compared with $4,629 million at December 31,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of our regulated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estimated to be approximately $1,100 million at September 30, 2019, compared to $1,040 million at December 31, 2018. Our HMO subsidiaries were in compliance with these minimum capital requirements as of both dates.</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through the remainder of 2019 by our HMO subsidiaries without prior approval by regulatory authorities as of September 30, 2019, is approximately $56 million in the aggregate. Our HMO subsidiaries may pay dividends over this amount, but only after approval is granted by the regulatory authorities.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5.375% Notes and 4.875% Notes are rated “BB-” by Standard &amp; Poor’s, and “B2” by Moody’s Investor Service, Inc. A downgrade in our ratings could adversely affect our borrowing capacity and increase our borrowing costs.</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contains customary non-financial and financial covenants, including a net leverage ratio and an interest coverage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ratios, presented below, are computed as defined by the terms of the Credit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4100" w:type="dxa"/>
            <w:vAlign w:val="bottom"/>
            <w:gridSpan w:val="2"/>
          </w:tcPr>
          <w:p>
            <w:pPr>
              <w:jc w:val="center"/>
              <w:ind w:left="2219"/>
              <w:spacing w:after="0"/>
              <w:rPr>
                <w:sz w:val="20"/>
                <w:szCs w:val="20"/>
                <w:color w:val="auto"/>
              </w:rPr>
            </w:pPr>
            <w:r>
              <w:rPr>
                <w:rFonts w:ascii="Arial" w:cs="Arial" w:eastAsia="Arial" w:hAnsi="Arial"/>
                <w:sz w:val="16"/>
                <w:szCs w:val="16"/>
                <w:b w:val="1"/>
                <w:bCs w:val="1"/>
                <w:color w:val="auto"/>
              </w:rPr>
              <w:t>Required Per</w:t>
            </w:r>
          </w:p>
        </w:tc>
        <w:tc>
          <w:tcPr>
            <w:tcW w:w="1600" w:type="dxa"/>
            <w:vAlign w:val="bottom"/>
          </w:tcPr>
          <w:p>
            <w:pPr>
              <w:ind w:left="160"/>
              <w:spacing w:after="0"/>
              <w:rPr>
                <w:sz w:val="20"/>
                <w:szCs w:val="20"/>
                <w:color w:val="auto"/>
              </w:rPr>
            </w:pPr>
            <w:r>
              <w:rPr>
                <w:rFonts w:ascii="Arial" w:cs="Arial" w:eastAsia="Arial" w:hAnsi="Arial"/>
                <w:sz w:val="16"/>
                <w:szCs w:val="16"/>
                <w:b w:val="1"/>
                <w:bCs w:val="1"/>
                <w:color w:val="auto"/>
              </w:rPr>
              <w:t>As of September</w:t>
            </w:r>
          </w:p>
        </w:tc>
      </w:tr>
      <w:tr>
        <w:trPr>
          <w:trHeight w:val="228"/>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Credit Agreement Financial Covenants</w:t>
            </w:r>
          </w:p>
        </w:tc>
        <w:tc>
          <w:tcPr>
            <w:tcW w:w="4100" w:type="dxa"/>
            <w:vAlign w:val="bottom"/>
            <w:gridSpan w:val="2"/>
          </w:tcPr>
          <w:p>
            <w:pPr>
              <w:jc w:val="center"/>
              <w:ind w:left="2219"/>
              <w:spacing w:after="0"/>
              <w:rPr>
                <w:sz w:val="20"/>
                <w:szCs w:val="20"/>
                <w:color w:val="auto"/>
              </w:rPr>
            </w:pPr>
            <w:r>
              <w:rPr>
                <w:rFonts w:ascii="Arial" w:cs="Arial" w:eastAsia="Arial" w:hAnsi="Arial"/>
                <w:sz w:val="16"/>
                <w:szCs w:val="16"/>
                <w:b w:val="1"/>
                <w:bCs w:val="1"/>
                <w:color w:val="auto"/>
              </w:rPr>
              <w:t>Agreement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30, 2019</w:t>
            </w:r>
          </w:p>
        </w:tc>
      </w:tr>
      <w:tr>
        <w:trPr>
          <w:trHeight w:val="324"/>
        </w:trPr>
        <w:tc>
          <w:tcPr>
            <w:tcW w:w="572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100" w:type="dxa"/>
            <w:vAlign w:val="bottom"/>
            <w:gridSpan w:val="2"/>
            <w:shd w:val="clear" w:color="auto" w:fill="CCEEFF"/>
          </w:tcPr>
          <w:p>
            <w:pPr>
              <w:jc w:val="center"/>
              <w:ind w:left="2219"/>
              <w:spacing w:after="0"/>
              <w:rPr>
                <w:sz w:val="20"/>
                <w:szCs w:val="20"/>
                <w:color w:val="auto"/>
              </w:rPr>
            </w:pPr>
            <w:r>
              <w:rPr>
                <w:rFonts w:ascii="Arial" w:cs="Arial" w:eastAsia="Arial" w:hAnsi="Arial"/>
                <w:sz w:val="16"/>
                <w:szCs w:val="16"/>
                <w:color w:val="auto"/>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0.9x</w:t>
            </w:r>
          </w:p>
        </w:tc>
      </w:tr>
      <w:tr>
        <w:trPr>
          <w:trHeight w:val="251"/>
        </w:trPr>
        <w:tc>
          <w:tcPr>
            <w:tcW w:w="572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100" w:type="dxa"/>
            <w:vAlign w:val="bottom"/>
            <w:gridSpan w:val="2"/>
          </w:tcPr>
          <w:p>
            <w:pPr>
              <w:jc w:val="center"/>
              <w:ind w:left="2219"/>
              <w:spacing w:after="0"/>
              <w:rPr>
                <w:sz w:val="20"/>
                <w:szCs w:val="20"/>
                <w:color w:val="auto"/>
              </w:rPr>
            </w:pPr>
            <w:r>
              <w:rPr>
                <w:rFonts w:ascii="Arial" w:cs="Arial" w:eastAsia="Arial" w:hAnsi="Arial"/>
                <w:sz w:val="16"/>
                <w:szCs w:val="16"/>
                <w:color w:val="auto"/>
              </w:rPr>
              <w:t>&gt;3.5x</w:t>
            </w:r>
          </w:p>
        </w:tc>
        <w:tc>
          <w:tcPr>
            <w:tcW w:w="1600" w:type="dxa"/>
            <w:vAlign w:val="bottom"/>
          </w:tcPr>
          <w:p>
            <w:pPr>
              <w:jc w:val="center"/>
              <w:spacing w:after="0"/>
              <w:rPr>
                <w:sz w:val="20"/>
                <w:szCs w:val="20"/>
                <w:color w:val="auto"/>
              </w:rPr>
            </w:pPr>
            <w:r>
              <w:rPr>
                <w:rFonts w:ascii="Arial" w:cs="Arial" w:eastAsia="Arial" w:hAnsi="Arial"/>
                <w:sz w:val="16"/>
                <w:szCs w:val="16"/>
                <w:color w:val="auto"/>
              </w:rPr>
              <w:t>15.3x</w:t>
            </w:r>
          </w:p>
        </w:tc>
      </w:tr>
    </w:tbl>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the indentures governing the 4.875% Notes, the 5.375% Notes and the 1.125% Convertible Notes contain cross-default provisions that are triggered upon default by us or any of our subsidiaries on any indebtedness in excess of the amount specified in the applicable indenture. As of September 30, 2019, we were in compliance with all covenants under the Credit Agreement and the indentures governing our outstanding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Plan Progress</w:t>
      </w:r>
    </w:p>
    <w:p>
      <w:pPr>
        <w:spacing w:after="0" w:line="13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In the first quarter of 2019, we repaid $46 million aggregate principal amount of our 1.125% Convertible Notes and entered into privately negotiated termination agreements to terminate the respective portion of the related 1.125% Call Option and 1.125% Warrants.</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the second quarter of 2019, we repaid $139 million aggregate principal amount of our 1.125% Convertible Notes and entered into privately negotiated termination agreements to terminate the respective portion of the related 1.125% Call Option and 1.125% Warrants.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third quarter of 2019, we repaid $55 million aggregate principal amount of our 1.125% Convertible Notes and entered into privately negotiated termination agreements to terminate the respective portion of the related 1.125% Call Option and 1.125% Warrants. Following these transactions, the remaining principal amount outstanding of our 1.125% Convertible Notes is $12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healthcare services. Such cash flows are our primary source of liquidity. Thus, any decline in our profitability may have a negative impact on our liquidity.</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September 30, 2019, we had available borrowing capacity of $380 million under the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following our draw down of $ 220 million in the first half of 2019. Under the Term Loan Facility, we may request up to ten advances, each in a minimum principal amount of $50 million, until July 31, 2020. In addition, we have available borrowing capacity of $498 million under our Credit Facility. See further discussion in the Notes to Consolidated Financial Statements, Note 7, “Debt.”</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Savings from the IT Restructuring Plan. </w:t>
      </w:r>
      <w:r>
        <w:rPr>
          <w:rFonts w:ascii="Arial" w:cs="Arial" w:eastAsia="Arial" w:hAnsi="Arial"/>
          <w:sz w:val="18"/>
          <w:szCs w:val="18"/>
          <w:color w:val="auto"/>
        </w:rPr>
        <w:t>Management is focused on a margin recovery plan that includes identification and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profit improvement initiatives. To that end, we began a plan to restructure our information technology department (the “IT Restructuring Plan”) in 2018, which is reported in the Other segment. In early 2019, we entered into services agreements with an outsourcing vendor who manages certain of our information technology services. We expect the IT Restructuring Plan to be substantially completed by the end of 2019. We currently estimate that this plan will reduce annualized run-rate expenses by approximately $10 million to $ 15 million in the first full year, increasing to approximately $25 million to $ 30 million by the end of the fifth full year. Such savings, if achieved, would reduce Other segment general and administrative expenses in our consolidated statements of income. Further details are described in the Notes to Consolidated Financial Statements, Note 10, “Restructuring Costs.”</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46</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22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On October 10, 2019, we entered into a definitive agreement to acquire certain assets of YourCare Health Plan, Inc.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this transaction, expected to occur in early 2020, we will serve approximately 46,000 Medicaid members in seven counties in the Western New York and Finger Lakes regions. The purchase price of approximately $40 million will be funded with available cash, and the closing is subject to customary closing conditions.</w:t>
      </w:r>
    </w:p>
    <w:p>
      <w:pPr>
        <w:spacing w:after="0" w:line="1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1.125% Convertible Notes. </w:t>
      </w:r>
      <w:r>
        <w:rPr>
          <w:rFonts w:ascii="Arial" w:cs="Arial" w:eastAsia="Arial" w:hAnsi="Arial"/>
          <w:sz w:val="18"/>
          <w:szCs w:val="18"/>
          <w:color w:val="auto"/>
        </w:rPr>
        <w:t>The fair value of the 1.125% Convertible Notes was $ 34 million as of September 30, 2019, which amount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principal amount outstanding and the estimated fair value of the 1.125% Conversion Option. We have sufficient available cash, combined with borrowing capacity available under our Credit Agreement, to fund conversions, and to repay the outstanding principal amount of the 1.125% Convertible Notes at maturity on January 15, 2020. Refer to the Notes to Consolidated Financial Statements, Note 7, “Debt,” for a detailed discussion of the 1.125% Convertible Notes, including recent transactions.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2018, was disclosed in our Annual Report on Form 10-K for the year ended December 31, 2018.</w:t>
      </w:r>
    </w:p>
    <w:p>
      <w:pPr>
        <w:spacing w:after="0" w:line="8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Other than the financing transactions described in the Notes to Consolidated Financial Statements, Note 7, “Debt,” there were no significant changes to this previously filed information outside the ordinary course of business during the nine months ended September 30, 2019. See also Note 13, “Leases,” for a summary of the maturities of our lease liabilities as of September 30, 2019.</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2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78" w:lineRule="exact"/>
        <w:rPr>
          <w:sz w:val="20"/>
          <w:szCs w:val="20"/>
          <w:color w:val="auto"/>
        </w:rPr>
      </w:pPr>
    </w:p>
    <w:p>
      <w:pPr>
        <w:ind w:left="660" w:right="4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6,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nine months ended September 30, 2019, to our disclosure reported in “Critical Accounting Estimates” in our Annual Report on Form 10-K for the year ended December 31, 2018.</w:t>
      </w:r>
    </w:p>
    <w:p>
      <w:pPr>
        <w:spacing w:after="0" w:line="182" w:lineRule="exact"/>
        <w:rPr>
          <w:rFonts w:ascii="Arial" w:cs="Arial" w:eastAsia="Arial" w:hAnsi="Arial"/>
          <w:sz w:val="18"/>
          <w:szCs w:val="18"/>
          <w:color w:val="auto"/>
        </w:rPr>
      </w:pPr>
    </w:p>
    <w:p>
      <w:pPr>
        <w:jc w:val="both"/>
        <w:ind w:left="660" w:right="54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Contractual provisions that may adjust or limit revenue or profit</w:t>
      </w:r>
      <w:r>
        <w:rPr>
          <w:rFonts w:ascii="Arial" w:cs="Arial" w:eastAsia="Arial" w:hAnsi="Arial"/>
          <w:sz w:val="18"/>
          <w:szCs w:val="18"/>
          <w:color w:val="auto"/>
        </w:rPr>
        <w:t>. For a discussion of this topic, including amounts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refer to Notes to Consolidated Financial Statements, Note 2, “Significant Accounting Policies.”</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For a discussion of this topic, including amounts recorded in our consolidated financial statements, refer to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Note 2, “Significant Accounting Policies.”</w:t>
      </w:r>
    </w:p>
    <w:p>
      <w:pPr>
        <w:spacing w:after="0" w:line="161"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There have been no significant changes, during the nine months ended September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our disclosure reported in “Critical Accounting Estimates” in our Annual Report on Form 10-K for the year ended December 31, 2018.</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47</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2019, the fair value of our fixed income investments would decrease by approximately $39 million. Declines in interest rates over time will reduce our investment income.</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Borrowings under our Credit Agreement bear interest based, at our election, on a base rate or other defined rate, plus in each case the applicable margin. As of September 30, 2019, $220 million was outstanding under the Term Loan Facility. For further information, see Notes to Consolidated Financial Statements, Note 7, “Debt.”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2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September 30, 2019 that has materially affected, or is reasonably likely to materially affect, our internal controls over financial reporting.</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2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in “Risk Factors,” in our Annual Report on Form 10-K for the year ended December 31, 2018. The risk factors described in our Annual Report on Form 10-K for the year ended December 31, 2018,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48</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22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Purchases of common stock made by us, or on our behalf during the quarter ended September 30, 2019, including shares withheld by us to satisfy our employees’ income tax obligations,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4"/>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140.31</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August 1 - August 31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September 1 - September 30</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140.31</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340" w:right="120" w:hanging="332"/>
        <w:spacing w:after="0" w:line="253"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three months ended September 30, 2019, we withheld 375 shares of common stock, to settle employee income tax obligations, for releases of awards granted under the Molina Healthcare, Inc. 2011 Equity Incentive Plan. This plan was amended, restated and merged into the Molina Healthcare, Inc. 2019 Equity Incentive Plan. For further information refer to Note 9, “Stockholders' Equity.”</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49</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15"/>
                <w:szCs w:val="15"/>
                <w:color w:val="auto"/>
              </w:rPr>
            </w:pPr>
          </w:p>
        </w:tc>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407"/>
        </w:trPr>
        <w:tc>
          <w:tcPr>
            <w:tcW w:w="920" w:type="dxa"/>
            <w:vAlign w:val="bottom"/>
          </w:tcPr>
          <w:p>
            <w:pPr>
              <w:ind w:left="40"/>
              <w:spacing w:after="0"/>
              <w:rPr>
                <w:rFonts w:ascii="Arial" w:cs="Arial" w:eastAsia="Arial" w:hAnsi="Arial"/>
                <w:sz w:val="16"/>
                <w:szCs w:val="16"/>
                <w:color w:val="auto"/>
              </w:rPr>
            </w:pPr>
            <w:hyperlink w:anchor="page52">
              <w:r>
                <w:rPr>
                  <w:rFonts w:ascii="Arial" w:cs="Arial" w:eastAsia="Arial" w:hAnsi="Arial"/>
                  <w:sz w:val="16"/>
                  <w:szCs w:val="16"/>
                  <w:color w:val="auto"/>
                </w:rPr>
                <w:t>10.1</w:t>
              </w:r>
            </w:hyperlink>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First Amendment, dated August 1, 2019, to the Master Services Agreement for Information</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Technology Services, dated February 4, 2019, by and between Molina Healthcare, Inc. and</w:t>
            </w:r>
          </w:p>
        </w:tc>
        <w:tc>
          <w:tcPr>
            <w:tcW w:w="3640" w:type="dxa"/>
            <w:vAlign w:val="bottom"/>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Infosys Limited.</w:t>
            </w:r>
          </w:p>
        </w:tc>
        <w:tc>
          <w:tcPr>
            <w:tcW w:w="3640" w:type="dxa"/>
            <w:vAlign w:val="bottom"/>
          </w:tcPr>
          <w:p>
            <w:pPr>
              <w:spacing w:after="0"/>
              <w:rPr>
                <w:sz w:val="16"/>
                <w:szCs w:val="16"/>
                <w:color w:val="auto"/>
              </w:rPr>
            </w:pPr>
          </w:p>
        </w:tc>
      </w:tr>
      <w:tr>
        <w:trPr>
          <w:trHeight w:val="365"/>
        </w:trPr>
        <w:tc>
          <w:tcPr>
            <w:tcW w:w="920" w:type="dxa"/>
            <w:vAlign w:val="bottom"/>
          </w:tcPr>
          <w:p>
            <w:pPr>
              <w:ind w:left="40"/>
              <w:spacing w:after="0"/>
              <w:rPr>
                <w:rFonts w:ascii="Arial" w:cs="Arial" w:eastAsia="Arial" w:hAnsi="Arial"/>
                <w:sz w:val="16"/>
                <w:szCs w:val="16"/>
                <w:color w:val="auto"/>
              </w:rPr>
            </w:pPr>
            <w:hyperlink w:anchor="page54">
              <w:r>
                <w:rPr>
                  <w:rFonts w:ascii="Arial" w:cs="Arial" w:eastAsia="Arial" w:hAnsi="Arial"/>
                  <w:sz w:val="16"/>
                  <w:szCs w:val="16"/>
                  <w:color w:val="auto"/>
                </w:rPr>
                <w:t>31.1</w:t>
              </w:r>
            </w:hyperlink>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920" w:type="dxa"/>
            <w:vAlign w:val="bottom"/>
          </w:tcPr>
          <w:p>
            <w:pPr>
              <w:ind w:left="40"/>
              <w:spacing w:after="0"/>
              <w:rPr>
                <w:rFonts w:ascii="Arial" w:cs="Arial" w:eastAsia="Arial" w:hAnsi="Arial"/>
                <w:sz w:val="16"/>
                <w:szCs w:val="16"/>
                <w:color w:val="auto"/>
              </w:rPr>
            </w:pPr>
            <w:hyperlink w:anchor="page55">
              <w:r>
                <w:rPr>
                  <w:rFonts w:ascii="Arial" w:cs="Arial" w:eastAsia="Arial" w:hAnsi="Arial"/>
                  <w:sz w:val="16"/>
                  <w:szCs w:val="16"/>
                  <w:color w:val="auto"/>
                </w:rPr>
                <w:t>31.2</w:t>
              </w:r>
            </w:hyperlink>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86"/>
        </w:trPr>
        <w:tc>
          <w:tcPr>
            <w:tcW w:w="920" w:type="dxa"/>
            <w:vAlign w:val="bottom"/>
          </w:tcPr>
          <w:p>
            <w:pPr>
              <w:ind w:left="40"/>
              <w:spacing w:after="0"/>
              <w:rPr>
                <w:rFonts w:ascii="Arial" w:cs="Arial" w:eastAsia="Arial" w:hAnsi="Arial"/>
                <w:sz w:val="16"/>
                <w:szCs w:val="16"/>
                <w:color w:val="auto"/>
              </w:rPr>
            </w:pPr>
            <w:hyperlink w:anchor="page56">
              <w:r>
                <w:rPr>
                  <w:rFonts w:ascii="Arial" w:cs="Arial" w:eastAsia="Arial" w:hAnsi="Arial"/>
                  <w:sz w:val="16"/>
                  <w:szCs w:val="16"/>
                  <w:color w:val="auto"/>
                </w:rPr>
                <w:t>32.1</w:t>
              </w:r>
            </w:hyperlink>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Executive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6"/>
                <w:szCs w:val="16"/>
                <w:color w:val="auto"/>
              </w:rPr>
            </w:pPr>
          </w:p>
        </w:tc>
      </w:tr>
      <w:tr>
        <w:trPr>
          <w:trHeight w:val="359"/>
        </w:trPr>
        <w:tc>
          <w:tcPr>
            <w:tcW w:w="920" w:type="dxa"/>
            <w:vAlign w:val="bottom"/>
          </w:tcPr>
          <w:p>
            <w:pPr>
              <w:ind w:left="40"/>
              <w:spacing w:after="0"/>
              <w:rPr>
                <w:rFonts w:ascii="Arial" w:cs="Arial" w:eastAsia="Arial" w:hAnsi="Arial"/>
                <w:sz w:val="16"/>
                <w:szCs w:val="16"/>
                <w:color w:val="auto"/>
              </w:rPr>
            </w:pPr>
            <w:hyperlink w:anchor="page57">
              <w:r>
                <w:rPr>
                  <w:rFonts w:ascii="Arial" w:cs="Arial" w:eastAsia="Arial" w:hAnsi="Arial"/>
                  <w:sz w:val="16"/>
                  <w:szCs w:val="16"/>
                  <w:color w:val="auto"/>
                </w:rPr>
                <w:t>32.2</w:t>
              </w:r>
            </w:hyperlink>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Financial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6"/>
                <w:szCs w:val="16"/>
                <w:color w:val="auto"/>
              </w:rPr>
            </w:pPr>
          </w:p>
        </w:tc>
      </w:tr>
      <w:tr>
        <w:trPr>
          <w:trHeight w:val="365"/>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Instance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50</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25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October 30, 2019</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Joseph M. Zubretsky</w:t>
      </w:r>
    </w:p>
    <w:p>
      <w:pPr>
        <w:spacing w:after="0" w:line="8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Chief Executive Officer</w:t>
      </w:r>
    </w:p>
    <w:p>
      <w:pPr>
        <w:spacing w:after="0" w:line="8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October 30, 2019</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Thomas L. Tran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2019 Form 10-Q | 51</w:t>
      </w:r>
    </w:p>
    <w:p>
      <w:pPr>
        <w:sectPr>
          <w:pgSz w:w="11900" w:h="16838" w:orient="portrait"/>
          <w:cols w:equalWidth="0" w:num="1">
            <w:col w:w="11420"/>
          </w:cols>
          <w:pgMar w:left="240" w:top="14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FIRST AMENDMENT TO THE MASTER SERVICES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First Amendment (the “Amendment”) dated </w:t>
      </w:r>
      <w:r>
        <w:rPr>
          <w:rFonts w:ascii="Arial" w:cs="Arial" w:eastAsia="Arial" w:hAnsi="Arial"/>
          <w:sz w:val="16"/>
          <w:szCs w:val="16"/>
          <w:b w:val="1"/>
          <w:bCs w:val="1"/>
          <w:color w:val="auto"/>
        </w:rPr>
        <w:t>August 1, 2019</w:t>
      </w:r>
      <w:r>
        <w:rPr>
          <w:rFonts w:ascii="Arial" w:cs="Arial" w:eastAsia="Arial" w:hAnsi="Arial"/>
          <w:sz w:val="16"/>
          <w:szCs w:val="16"/>
          <w:color w:val="auto"/>
        </w:rPr>
        <w:t xml:space="preserve"> (the “Amendment Effective Date”), is made to the Master Services Agreement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by and between </w:t>
      </w:r>
      <w:r>
        <w:rPr>
          <w:rFonts w:ascii="Arial" w:cs="Arial" w:eastAsia="Arial" w:hAnsi="Arial"/>
          <w:sz w:val="18"/>
          <w:szCs w:val="18"/>
          <w:b w:val="1"/>
          <w:bCs w:val="1"/>
          <w:color w:val="auto"/>
        </w:rPr>
        <w:t>Molina Healthcare, Inc.,</w:t>
      </w:r>
      <w:r>
        <w:rPr>
          <w:rFonts w:ascii="Arial" w:cs="Arial" w:eastAsia="Arial" w:hAnsi="Arial"/>
          <w:sz w:val="18"/>
          <w:szCs w:val="18"/>
          <w:color w:val="auto"/>
        </w:rPr>
        <w:t xml:space="preserve"> (“Molina”)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Infosys Limited </w:t>
      </w:r>
      <w:r>
        <w:rPr>
          <w:rFonts w:ascii="Arial" w:cs="Arial" w:eastAsia="Arial" w:hAnsi="Arial"/>
          <w:sz w:val="18"/>
          <w:szCs w:val="18"/>
          <w:color w:val="auto"/>
        </w:rPr>
        <w:t>(“Service Provider”) dated February 4,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good and mutual consideration, the sufficiency of which is hereby acknowledged, this Amendment amends the Agreement in the manner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the following:</w:t>
      </w:r>
    </w:p>
    <w:p>
      <w:pPr>
        <w:spacing w:after="0" w:line="221" w:lineRule="exact"/>
        <w:rPr>
          <w:sz w:val="20"/>
          <w:szCs w:val="20"/>
          <w:color w:val="auto"/>
        </w:rPr>
      </w:pPr>
    </w:p>
    <w:p>
      <w:pPr>
        <w:ind w:firstLine="8"/>
        <w:spacing w:after="0" w:line="282" w:lineRule="auto"/>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Limited Application of Amendment. </w:t>
      </w:r>
      <w:r>
        <w:rPr>
          <w:rFonts w:ascii="Arial" w:cs="Arial" w:eastAsia="Arial" w:hAnsi="Arial"/>
          <w:sz w:val="18"/>
          <w:szCs w:val="18"/>
          <w:color w:val="auto"/>
        </w:rPr>
        <w:t>The purpose of this Amendment is to amend the terms and conditions of the Agreement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herein and not otherwise defined shall have the meaning given to them in the Agreement.</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to the body of the Agreement. </w:t>
      </w:r>
      <w:r>
        <w:rPr>
          <w:rFonts w:ascii="Arial" w:cs="Arial" w:eastAsia="Arial" w:hAnsi="Arial"/>
          <w:sz w:val="18"/>
          <w:szCs w:val="18"/>
          <w:color w:val="auto"/>
        </w:rPr>
        <w:t>The body of the Agreement is modified as follows:</w:t>
      </w:r>
    </w:p>
    <w:p>
      <w:pPr>
        <w:spacing w:after="0" w:line="229"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Clause 4.1 of the Agreement is hereby deleted and replaced in its entirety with the following language “Molina may extend the term for a maximum of one (1) additional period of twelve (12) months.”</w:t>
      </w:r>
    </w:p>
    <w:p>
      <w:pPr>
        <w:spacing w:after="0" w:line="166" w:lineRule="exact"/>
        <w:rPr>
          <w:rFonts w:ascii="Arial" w:cs="Arial" w:eastAsia="Arial" w:hAnsi="Arial"/>
          <w:sz w:val="18"/>
          <w:szCs w:val="18"/>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to Schedule 1 (“Definitions and Interpretation”) of the Agreement. </w:t>
      </w:r>
      <w:r>
        <w:rPr>
          <w:rFonts w:ascii="Arial" w:cs="Arial" w:eastAsia="Arial" w:hAnsi="Arial"/>
          <w:sz w:val="18"/>
          <w:szCs w:val="18"/>
          <w:color w:val="auto"/>
        </w:rPr>
        <w:t>Schedule 1 of the Agreement is modified as follows:</w:t>
      </w:r>
    </w:p>
    <w:p>
      <w:pPr>
        <w:spacing w:after="0" w:line="225" w:lineRule="exact"/>
        <w:rPr>
          <w:rFonts w:ascii="Arial" w:cs="Arial" w:eastAsia="Arial" w:hAnsi="Arial"/>
          <w:sz w:val="18"/>
          <w:szCs w:val="18"/>
          <w:b w:val="1"/>
          <w:bCs w:val="1"/>
          <w:color w:val="auto"/>
        </w:rPr>
      </w:pPr>
    </w:p>
    <w:p>
      <w:pPr>
        <w:ind w:left="980" w:hanging="324"/>
        <w:spacing w:after="0" w:line="282" w:lineRule="auto"/>
        <w:tabs>
          <w:tab w:leader="none" w:pos="98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definition of “Initial Expiry Date” is hereby deleted and replaced in its entirety with the following language: ““</w:t>
      </w:r>
      <w:r>
        <w:rPr>
          <w:rFonts w:ascii="Arial" w:cs="Arial" w:eastAsia="Arial" w:hAnsi="Arial"/>
          <w:sz w:val="18"/>
          <w:szCs w:val="18"/>
          <w:b w:val="1"/>
          <w:bCs w:val="1"/>
          <w:color w:val="auto"/>
        </w:rPr>
        <w:t>Initial Expiry Date</w:t>
      </w:r>
      <w:r>
        <w:rPr>
          <w:rFonts w:ascii="Arial" w:cs="Arial" w:eastAsia="Arial" w:hAnsi="Arial"/>
          <w:sz w:val="18"/>
          <w:szCs w:val="18"/>
          <w:color w:val="auto"/>
        </w:rPr>
        <w:t>” means the date five (5) years after the Effective Date.”</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19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to Appendix 3A (Pricing Matrix). </w:t>
      </w:r>
      <w:r>
        <w:rPr>
          <w:rFonts w:ascii="Arial" w:cs="Arial" w:eastAsia="Arial" w:hAnsi="Arial"/>
          <w:sz w:val="18"/>
          <w:szCs w:val="18"/>
          <w:color w:val="auto"/>
        </w:rPr>
        <w:t>Appendix 3A (Pricing Matrix) is hereby deleted and replaced in its entirety with a new Appendix 3A</w:t>
      </w:r>
      <w:r>
        <w:rPr>
          <w:rFonts w:ascii="Arial" w:cs="Arial" w:eastAsia="Arial" w:hAnsi="Arial"/>
          <w:sz w:val="18"/>
          <w:szCs w:val="18"/>
          <w:b w:val="1"/>
          <w:bCs w:val="1"/>
          <w:color w:val="auto"/>
        </w:rPr>
        <w:t xml:space="preserve"> </w:t>
      </w:r>
      <w:r>
        <w:rPr>
          <w:rFonts w:ascii="Arial" w:cs="Arial" w:eastAsia="Arial" w:hAnsi="Arial"/>
          <w:sz w:val="18"/>
          <w:szCs w:val="18"/>
          <w:color w:val="auto"/>
        </w:rPr>
        <w:t>dated the Amendment Effective Date, a copy of which is attached herewith and incorporated to the Agreement by this reference. For the purpose of clarity, Infosys is amending this workbook to reflect the billing milestones and Year 6 pricing and discounts.</w:t>
      </w:r>
    </w:p>
    <w:p>
      <w:pPr>
        <w:spacing w:after="0" w:line="180"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Infrastructure Services - Charges - </w:t>
      </w:r>
      <w:r>
        <w:rPr>
          <w:rFonts w:ascii="Arial" w:cs="Arial" w:eastAsia="Arial" w:hAnsi="Arial"/>
          <w:sz w:val="18"/>
          <w:szCs w:val="18"/>
          <w:color w:val="auto"/>
        </w:rPr>
        <w:t>Infosys will bill for the Infrastructure services in accordance with Schedule 3 and depicted in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Appendix 3A dated the amendment Effective Date.</w:t>
      </w:r>
    </w:p>
    <w:p>
      <w:pPr>
        <w:spacing w:after="0" w:line="170"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Azure Services - Charges - </w:t>
      </w:r>
      <w:r>
        <w:rPr>
          <w:rFonts w:ascii="Arial" w:cs="Arial" w:eastAsia="Arial" w:hAnsi="Arial"/>
          <w:sz w:val="18"/>
          <w:szCs w:val="18"/>
          <w:color w:val="auto"/>
        </w:rPr>
        <w:t>Infosys will bill Azure services as outlined in new Appendix 3A dated the Amendment Effective Date.</w:t>
      </w:r>
    </w:p>
    <w:p>
      <w:pPr>
        <w:spacing w:after="0" w:line="221" w:lineRule="exact"/>
        <w:rPr>
          <w:rFonts w:ascii="Arial" w:cs="Arial" w:eastAsia="Arial" w:hAnsi="Arial"/>
          <w:sz w:val="18"/>
          <w:szCs w:val="18"/>
          <w:b w:val="1"/>
          <w:bCs w:val="1"/>
          <w:i w:val="1"/>
          <w:iCs w:val="1"/>
          <w:color w:val="auto"/>
        </w:rPr>
      </w:pPr>
    </w:p>
    <w:p>
      <w:pPr>
        <w:jc w:val="both"/>
        <w:ind w:firstLine="8"/>
        <w:spacing w:after="0" w:line="298" w:lineRule="auto"/>
        <w:tabs>
          <w:tab w:leader="none" w:pos="1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Azure Foundation Charges. </w:t>
      </w:r>
      <w:r>
        <w:rPr>
          <w:rFonts w:ascii="Arial" w:cs="Arial" w:eastAsia="Arial" w:hAnsi="Arial"/>
          <w:sz w:val="16"/>
          <w:szCs w:val="16"/>
          <w:color w:val="auto"/>
        </w:rPr>
        <w:t>The parties agree on the additional charges for Azure Foundation (“</w:t>
      </w:r>
      <w:r>
        <w:rPr>
          <w:rFonts w:ascii="Arial" w:cs="Arial" w:eastAsia="Arial" w:hAnsi="Arial"/>
          <w:sz w:val="16"/>
          <w:szCs w:val="16"/>
          <w:b w:val="1"/>
          <w:bCs w:val="1"/>
          <w:color w:val="auto"/>
        </w:rPr>
        <w:t>Azure Foundation</w:t>
      </w:r>
      <w:r>
        <w:rPr>
          <w:rFonts w:ascii="Arial" w:cs="Arial" w:eastAsia="Arial" w:hAnsi="Arial"/>
          <w:sz w:val="16"/>
          <w:szCs w:val="16"/>
          <w:color w:val="auto"/>
        </w:rPr>
        <w:t>” as used in this Agreement means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securing of Azure infrastructure and PaaS services, and virtual networking resources per Molina standards, to be consumed by applications. This also includes defining and implementing access model, automation for provisioning of resources and access, cleaning up technical debts). The additional Azure Foundation Charges shall be as set forth in Schedule 1 to this Amendment. The scope for Azure Foundation as agreed by the parties will be delivered and completed by October 31, 2019. Any additional scope or changes will be taken up as a separate contract and negotiated separately.</w:t>
      </w:r>
    </w:p>
    <w:p>
      <w:pPr>
        <w:spacing w:after="0" w:line="113" w:lineRule="exact"/>
        <w:rPr>
          <w:rFonts w:ascii="Arial" w:cs="Arial" w:eastAsia="Arial" w:hAnsi="Arial"/>
          <w:sz w:val="16"/>
          <w:szCs w:val="16"/>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Discounts. </w:t>
      </w:r>
      <w:r>
        <w:rPr>
          <w:rFonts w:ascii="Arial" w:cs="Arial" w:eastAsia="Arial" w:hAnsi="Arial"/>
          <w:sz w:val="18"/>
          <w:szCs w:val="18"/>
          <w:color w:val="auto"/>
        </w:rPr>
        <w:t>The parties agree to apply the discounts set forth in Schedule 1 to this Amendment.</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Clause 58.</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23"/>
        </w:numPr>
        <w:rPr>
          <w:rFonts w:ascii="Arial" w:cs="Arial" w:eastAsia="Arial" w:hAnsi="Arial"/>
          <w:sz w:val="17"/>
          <w:szCs w:val="17"/>
          <w:b w:val="1"/>
          <w:bCs w:val="1"/>
          <w:color w:val="auto"/>
        </w:rPr>
      </w:pPr>
      <w:r>
        <w:rPr>
          <w:rFonts w:ascii="Arial" w:cs="Arial" w:eastAsia="Arial" w:hAnsi="Arial"/>
          <w:sz w:val="17"/>
          <w:szCs w:val="17"/>
          <w:color w:val="auto"/>
        </w:rPr>
        <w:t>Service Provider expressly disclaims any warranties relating to any Azure licenses or other materials licensed by Molina from Microsoft.</w:t>
      </w:r>
    </w:p>
    <w:p>
      <w:pPr>
        <w:sectPr>
          <w:pgSz w:w="11900" w:h="16838" w:orient="portrait"/>
          <w:cols w:equalWidth="0" w:num="1">
            <w:col w:w="11420"/>
          </w:cols>
          <w:pgMar w:left="240" w:top="580" w:right="239" w:bottom="1440" w:gutter="0" w:footer="0" w:header="0"/>
        </w:sectPr>
      </w:pPr>
    </w:p>
    <w:bookmarkStart w:id="52" w:name="page53"/>
    <w:bookmarkEnd w:id="52"/>
    <w:p>
      <w:pPr>
        <w:ind w:left="980" w:right="20" w:hanging="324"/>
        <w:spacing w:after="0" w:line="258" w:lineRule="auto"/>
        <w:tabs>
          <w:tab w:leader="none" w:pos="9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The provisions of Section 58.1 (Indemnification by Service Provider) shall not apply to any IPR Claim arising out of any Azure licenses or other materials licensed by Molina from Microsoft.</w:t>
      </w:r>
    </w:p>
    <w:p>
      <w:pPr>
        <w:spacing w:after="0" w:line="1"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The liability caps set forth in Section 58.4 (Limitations Caps) of the Agreement shall not increase by more than $500,000 as a result of the inclusion in the calculation of the limitation of liability set out in Clause 58.4 of the MSA of Charges payable by Molina as license fees for Infosys Azure Transformation and Operations Management (“iATOM”). For the avoidance of doubt, the limitation on the amount the Service Provider’s liability may increase set out in the previous sentence shall not apply with respect to any increase in any other Charges payable by Molina in connection with the Agreement.</w:t>
      </w:r>
    </w:p>
    <w:p>
      <w:pPr>
        <w:spacing w:after="0" w:line="2" w:lineRule="exact"/>
        <w:rPr>
          <w:rFonts w:ascii="Arial" w:cs="Arial" w:eastAsia="Arial" w:hAnsi="Arial"/>
          <w:sz w:val="18"/>
          <w:szCs w:val="18"/>
          <w:b w:val="1"/>
          <w:bCs w:val="1"/>
          <w:color w:val="auto"/>
        </w:rPr>
      </w:pPr>
    </w:p>
    <w:p>
      <w:pPr>
        <w:jc w:val="both"/>
        <w:ind w:left="980" w:hanging="324"/>
        <w:spacing w:after="0" w:line="255" w:lineRule="auto"/>
        <w:tabs>
          <w:tab w:leader="none" w:pos="9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The liability caps set forth in Section 58.4 (Limitations Caps) of the Agreement shall not increase as a result of any separate license fees payable by Molina specifically for Microsoft products, including but not limited to Azure licenses fees payable to the Service Provider under Statement of Work #1 under this Agreement.</w:t>
      </w:r>
    </w:p>
    <w:p>
      <w:pPr>
        <w:spacing w:after="0" w:line="186" w:lineRule="exact"/>
        <w:rPr>
          <w:rFonts w:ascii="Arial" w:cs="Arial" w:eastAsia="Arial" w:hAnsi="Arial"/>
          <w:sz w:val="18"/>
          <w:szCs w:val="18"/>
          <w:b w:val="1"/>
          <w:bCs w:val="1"/>
          <w:color w:val="auto"/>
        </w:rPr>
      </w:pPr>
    </w:p>
    <w:p>
      <w:pPr>
        <w:jc w:val="both"/>
        <w:ind w:firstLine="8"/>
        <w:spacing w:after="0" w:line="266" w:lineRule="auto"/>
        <w:tabs>
          <w:tab w:leader="none" w:pos="19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 Further Amendment</w:t>
      </w:r>
      <w:r>
        <w:rPr>
          <w:rFonts w:ascii="Arial" w:cs="Arial" w:eastAsia="Arial" w:hAnsi="Arial"/>
          <w:sz w:val="18"/>
          <w:szCs w:val="18"/>
          <w:color w:val="auto"/>
        </w:rPr>
        <w:t>. Except as expressly modified by this Amendment, the Agreement shall remain unmodified and in full force and effect.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to this Amendment hereby ratifies their respective obligations under the Agreement. In the event of a conflict between the terms and conditions of the Agreement and the Amendment, the provisions of this Amendment shall prevail.</w:t>
      </w:r>
    </w:p>
    <w:p>
      <w:pPr>
        <w:spacing w:after="0" w:line="180" w:lineRule="exact"/>
        <w:rPr>
          <w:sz w:val="20"/>
          <w:szCs w:val="20"/>
          <w:color w:val="auto"/>
        </w:rPr>
      </w:pPr>
    </w:p>
    <w:p>
      <w:pPr>
        <w:ind w:right="4160"/>
        <w:spacing w:after="0" w:line="277" w:lineRule="auto"/>
        <w:rPr>
          <w:sz w:val="20"/>
          <w:szCs w:val="20"/>
          <w:color w:val="auto"/>
        </w:rPr>
      </w:pPr>
      <w:r>
        <w:rPr>
          <w:rFonts w:ascii="Arial" w:cs="Arial" w:eastAsia="Arial" w:hAnsi="Arial"/>
          <w:sz w:val="18"/>
          <w:szCs w:val="18"/>
          <w:color w:val="auto"/>
        </w:rPr>
        <w:t>IN WITNESS WHEREOF, the undersigned are duly authorized to execute this Amendment as of the Amendment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8"/>
              </w:rPr>
              <w:t>Molina Healthcare, Inc.</w:t>
            </w:r>
          </w:p>
        </w:tc>
        <w:tc>
          <w:tcPr>
            <w:tcW w:w="3560" w:type="dxa"/>
            <w:vAlign w:val="bottom"/>
            <w:gridSpan w:val="2"/>
          </w:tcPr>
          <w:p>
            <w:pPr>
              <w:ind w:left="1020"/>
              <w:spacing w:after="0"/>
              <w:rPr>
                <w:sz w:val="20"/>
                <w:szCs w:val="20"/>
                <w:color w:val="auto"/>
              </w:rPr>
            </w:pPr>
            <w:r>
              <w:rPr>
                <w:rFonts w:ascii="Arial" w:cs="Arial" w:eastAsia="Arial" w:hAnsi="Arial"/>
                <w:sz w:val="18"/>
                <w:szCs w:val="18"/>
                <w:b w:val="1"/>
                <w:bCs w:val="1"/>
                <w:color w:val="auto"/>
              </w:rPr>
              <w:t>INFOSYS LIMITED</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By:  /s/ James Woys</w:t>
            </w:r>
          </w:p>
        </w:tc>
        <w:tc>
          <w:tcPr>
            <w:tcW w:w="3560" w:type="dxa"/>
            <w:vAlign w:val="bottom"/>
            <w:gridSpan w:val="2"/>
          </w:tcPr>
          <w:p>
            <w:pPr>
              <w:ind w:left="700"/>
              <w:spacing w:after="0"/>
              <w:rPr>
                <w:sz w:val="20"/>
                <w:szCs w:val="20"/>
                <w:color w:val="auto"/>
              </w:rPr>
            </w:pPr>
            <w:r>
              <w:rPr>
                <w:rFonts w:ascii="Arial" w:cs="Arial" w:eastAsia="Arial" w:hAnsi="Arial"/>
                <w:sz w:val="18"/>
                <w:szCs w:val="18"/>
                <w:color w:val="auto"/>
              </w:rPr>
              <w:t>By:  /s/ Venkateshwaran Ananth</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c>
          <w:tcPr>
            <w:tcW w:w="1300" w:type="dxa"/>
            <w:vAlign w:val="bottom"/>
          </w:tcPr>
          <w:p>
            <w:pPr>
              <w:ind w:left="120"/>
              <w:spacing w:after="0"/>
              <w:rPr>
                <w:sz w:val="20"/>
                <w:szCs w:val="20"/>
                <w:color w:val="auto"/>
              </w:rPr>
            </w:pPr>
            <w:r>
              <w:rPr>
                <w:rFonts w:ascii="Arial" w:cs="Arial" w:eastAsia="Arial" w:hAnsi="Arial"/>
                <w:sz w:val="18"/>
                <w:szCs w:val="18"/>
                <w:i w:val="1"/>
                <w:iCs w:val="1"/>
                <w:color w:val="auto"/>
              </w:rPr>
              <w:t>(signature)</w:t>
            </w:r>
          </w:p>
        </w:tc>
        <w:tc>
          <w:tcPr>
            <w:tcW w:w="22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1420" w:type="dxa"/>
            <w:vAlign w:val="bottom"/>
          </w:tcPr>
          <w:p>
            <w:pPr>
              <w:ind w:left="140"/>
              <w:spacing w:after="0"/>
              <w:rPr>
                <w:sz w:val="20"/>
                <w:szCs w:val="20"/>
                <w:color w:val="auto"/>
              </w:rPr>
            </w:pPr>
            <w:r>
              <w:rPr>
                <w:rFonts w:ascii="Arial" w:cs="Arial" w:eastAsia="Arial" w:hAnsi="Arial"/>
                <w:sz w:val="18"/>
                <w:szCs w:val="18"/>
                <w:color w:val="auto"/>
              </w:rPr>
              <w:t>James Woys</w:t>
            </w:r>
          </w:p>
        </w:tc>
        <w:tc>
          <w:tcPr>
            <w:tcW w:w="1300" w:type="dxa"/>
            <w:vAlign w:val="bottom"/>
          </w:tcPr>
          <w:p>
            <w:pPr>
              <w:ind w:left="700"/>
              <w:spacing w:after="0"/>
              <w:rPr>
                <w:sz w:val="20"/>
                <w:szCs w:val="20"/>
                <w:color w:val="auto"/>
              </w:rPr>
            </w:pPr>
            <w:r>
              <w:rPr>
                <w:rFonts w:ascii="Arial" w:cs="Arial" w:eastAsia="Arial" w:hAnsi="Arial"/>
                <w:sz w:val="18"/>
                <w:szCs w:val="18"/>
                <w:color w:val="auto"/>
              </w:rPr>
              <w:t>Name:</w:t>
            </w:r>
          </w:p>
        </w:tc>
        <w:tc>
          <w:tcPr>
            <w:tcW w:w="2260" w:type="dxa"/>
            <w:vAlign w:val="bottom"/>
          </w:tcPr>
          <w:p>
            <w:pPr>
              <w:ind w:left="60"/>
              <w:spacing w:after="0"/>
              <w:rPr>
                <w:sz w:val="20"/>
                <w:szCs w:val="20"/>
                <w:color w:val="auto"/>
              </w:rPr>
            </w:pPr>
            <w:r>
              <w:rPr>
                <w:rFonts w:ascii="Arial" w:cs="Arial" w:eastAsia="Arial" w:hAnsi="Arial"/>
                <w:sz w:val="18"/>
                <w:szCs w:val="18"/>
                <w:color w:val="auto"/>
              </w:rPr>
              <w:t>Venkateshwaran Ananth</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(printed)</w:t>
            </w:r>
          </w:p>
        </w:tc>
        <w:tc>
          <w:tcPr>
            <w:tcW w:w="1300" w:type="dxa"/>
            <w:vAlign w:val="bottom"/>
          </w:tcPr>
          <w:p>
            <w:pPr>
              <w:ind w:left="140"/>
              <w:spacing w:after="0"/>
              <w:rPr>
                <w:sz w:val="20"/>
                <w:szCs w:val="20"/>
                <w:color w:val="auto"/>
              </w:rPr>
            </w:pPr>
            <w:r>
              <w:rPr>
                <w:rFonts w:ascii="Arial" w:cs="Arial" w:eastAsia="Arial" w:hAnsi="Arial"/>
                <w:sz w:val="18"/>
                <w:szCs w:val="18"/>
                <w:i w:val="1"/>
                <w:iCs w:val="1"/>
                <w:color w:val="auto"/>
              </w:rPr>
              <w:t>(printed)</w:t>
            </w:r>
          </w:p>
        </w:tc>
        <w:tc>
          <w:tcPr>
            <w:tcW w:w="22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gridSpan w:val="2"/>
          </w:tcPr>
          <w:p>
            <w:pPr>
              <w:ind w:left="60"/>
              <w:spacing w:after="0"/>
              <w:rPr>
                <w:sz w:val="20"/>
                <w:szCs w:val="20"/>
                <w:color w:val="auto"/>
              </w:rPr>
            </w:pPr>
            <w:r>
              <w:rPr>
                <w:rFonts w:ascii="Arial" w:cs="Arial" w:eastAsia="Arial" w:hAnsi="Arial"/>
                <w:sz w:val="18"/>
                <w:szCs w:val="18"/>
                <w:color w:val="auto"/>
              </w:rPr>
              <w:t>EVP, Health Plan Services</w:t>
            </w:r>
          </w:p>
        </w:tc>
        <w:tc>
          <w:tcPr>
            <w:tcW w:w="2260" w:type="dxa"/>
            <w:vAlign w:val="bottom"/>
          </w:tcPr>
          <w:p>
            <w:pPr>
              <w:ind w:left="140"/>
              <w:spacing w:after="0"/>
              <w:rPr>
                <w:sz w:val="20"/>
                <w:szCs w:val="20"/>
                <w:color w:val="auto"/>
              </w:rPr>
            </w:pPr>
            <w:r>
              <w:rPr>
                <w:rFonts w:ascii="Arial" w:cs="Arial" w:eastAsia="Arial" w:hAnsi="Arial"/>
                <w:sz w:val="18"/>
                <w:szCs w:val="18"/>
                <w:color w:val="auto"/>
                <w:w w:val="94"/>
              </w:rPr>
              <w:t>Title:  Senior Vice President</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(printed)</w:t>
            </w:r>
          </w:p>
        </w:tc>
        <w:tc>
          <w:tcPr>
            <w:tcW w:w="1300" w:type="dxa"/>
            <w:vAlign w:val="bottom"/>
          </w:tcPr>
          <w:p>
            <w:pPr>
              <w:ind w:left="140"/>
              <w:spacing w:after="0"/>
              <w:rPr>
                <w:sz w:val="20"/>
                <w:szCs w:val="20"/>
                <w:color w:val="auto"/>
              </w:rPr>
            </w:pPr>
            <w:r>
              <w:rPr>
                <w:rFonts w:ascii="Arial" w:cs="Arial" w:eastAsia="Arial" w:hAnsi="Arial"/>
                <w:sz w:val="18"/>
                <w:szCs w:val="18"/>
                <w:i w:val="1"/>
                <w:iCs w:val="1"/>
                <w:color w:val="auto"/>
              </w:rPr>
              <w:t>printed)</w:t>
            </w:r>
          </w:p>
        </w:tc>
        <w:tc>
          <w:tcPr>
            <w:tcW w:w="226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420" w:type="dxa"/>
            <w:vAlign w:val="bottom"/>
          </w:tcPr>
          <w:p>
            <w:pPr>
              <w:ind w:left="100"/>
              <w:spacing w:after="0"/>
              <w:rPr>
                <w:sz w:val="20"/>
                <w:szCs w:val="20"/>
                <w:color w:val="auto"/>
              </w:rPr>
            </w:pPr>
            <w:r>
              <w:rPr>
                <w:rFonts w:ascii="Arial" w:cs="Arial" w:eastAsia="Arial" w:hAnsi="Arial"/>
                <w:sz w:val="18"/>
                <w:szCs w:val="18"/>
                <w:color w:val="auto"/>
              </w:rPr>
              <w:t>August 7, 2019</w:t>
            </w:r>
          </w:p>
        </w:tc>
        <w:tc>
          <w:tcPr>
            <w:tcW w:w="1300" w:type="dxa"/>
            <w:vAlign w:val="bottom"/>
          </w:tcPr>
          <w:p>
            <w:pPr>
              <w:ind w:left="860"/>
              <w:spacing w:after="0"/>
              <w:rPr>
                <w:sz w:val="20"/>
                <w:szCs w:val="20"/>
                <w:color w:val="auto"/>
              </w:rPr>
            </w:pPr>
            <w:r>
              <w:rPr>
                <w:rFonts w:ascii="Arial" w:cs="Arial" w:eastAsia="Arial" w:hAnsi="Arial"/>
                <w:sz w:val="18"/>
                <w:szCs w:val="18"/>
                <w:color w:val="auto"/>
                <w:w w:val="97"/>
              </w:rPr>
              <w:t>Date:</w:t>
            </w:r>
          </w:p>
        </w:tc>
        <w:tc>
          <w:tcPr>
            <w:tcW w:w="2260" w:type="dxa"/>
            <w:vAlign w:val="bottom"/>
          </w:tcPr>
          <w:p>
            <w:pPr>
              <w:ind w:left="120"/>
              <w:spacing w:after="0"/>
              <w:rPr>
                <w:sz w:val="20"/>
                <w:szCs w:val="20"/>
                <w:color w:val="auto"/>
              </w:rPr>
            </w:pPr>
            <w:r>
              <w:rPr>
                <w:rFonts w:ascii="Arial" w:cs="Arial" w:eastAsia="Arial" w:hAnsi="Arial"/>
                <w:sz w:val="18"/>
                <w:szCs w:val="18"/>
                <w:color w:val="auto"/>
              </w:rPr>
              <w:t>August 7, 2019</w:t>
            </w:r>
          </w:p>
        </w:tc>
      </w:tr>
    </w:tbl>
    <w:p>
      <w:pPr>
        <w:sectPr>
          <w:pgSz w:w="11900" w:h="16838" w:orient="portrait"/>
          <w:cols w:equalWidth="0" w:num="1">
            <w:col w:w="11420"/>
          </w:cols>
          <w:pgMar w:left="240" w:top="58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2019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2"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440" w:firstLine="440"/>
        <w:spacing w:after="0" w:line="256"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October 30, 2019</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90" w:lineRule="exact"/>
        <w:rPr>
          <w:sz w:val="20"/>
          <w:szCs w:val="20"/>
          <w:color w:val="auto"/>
        </w:rPr>
      </w:pPr>
    </w:p>
    <w:p>
      <w:pPr>
        <w:ind w:left="640" w:hanging="20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2019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1"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440" w:firstLine="440"/>
        <w:spacing w:after="0" w:line="2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October 30, 2019</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2019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October 30, 2019</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2019 (the “Report”), I, Thomas L. Tran,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October 30, 2019</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5"/>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lvl w:ilvl="1">
      <w:lvlJc w:val="left"/>
      <w:lvlText w:val="%2."/>
      <w:numFmt w:val="upperLetter"/>
      <w:start w:val="1"/>
    </w:lvl>
  </w:abstractNum>
  <w:abstractNum w:abstractNumId="23">
    <w:nsid w:val="189A769B"/>
    <w:multiLevelType w:val="hybridMultilevel"/>
    <w:lvl w:ilvl="0">
      <w:lvlJc w:val="left"/>
      <w:lvlText w:val="%1"/>
      <w:numFmt w:val="decimal"/>
      <w:start w:val="1"/>
    </w:lvl>
    <w:lvl w:ilvl="1">
      <w:lvlJc w:val="left"/>
      <w:lvlText w:val="%2."/>
      <w:numFmt w:val="upperLetter"/>
      <w:start w:val="2"/>
    </w:lvl>
  </w:abstractNum>
  <w:abstractNum w:abstractNumId="24">
    <w:nsid w:val="54E49EB4"/>
    <w:multiLevelType w:val="hybridMultilevel"/>
    <w:lvl w:ilvl="0">
      <w:lvlJc w:val="left"/>
      <w:lvlText w:val="%1."/>
      <w:numFmt w:val="decimal"/>
      <w:start w:val="9"/>
    </w:lvl>
    <w:lvl w:ilvl="1">
      <w:lvlJc w:val="left"/>
      <w:lvlText w:val="%2"/>
      <w:numFmt w:val="upp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2019-12-28T04:19:27Z</dcterms:created>
  <dcterms:modified xsi:type="dcterms:W3CDTF">2019-12-28T04:19:27Z</dcterms:modified>
</cp:coreProperties>
</file>