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 the quarterly period ended 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________ to 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001-31719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955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MOLINA HEALTHCARE,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25" w:type="dxa"/>
        <w:jc w:val="center"/>
        <w:tblInd w:w="0" w:type="dxa"/>
        <w:tblLayout w:type="fixed"/>
        <w:tblCellMar>
          <w:top w:w="28" w:type="dxa"/>
          <w:left w:w="28" w:type="dxa"/>
          <w:bottom w:w="28" w:type="dxa"/>
          <w:right w:w="28" w:type="dxa"/>
        </w:tblCellMar>
      </w:tblPr>
      <w:tblGrid>
        <w:gridCol w:w="592"/>
        <w:gridCol w:w="521"/>
        <w:gridCol w:w="521"/>
        <w:gridCol w:w="521"/>
        <w:gridCol w:w="521"/>
        <w:gridCol w:w="548"/>
        <w:gridCol w:w="109"/>
        <w:gridCol w:w="109"/>
        <w:gridCol w:w="109"/>
        <w:gridCol w:w="460"/>
        <w:gridCol w:w="460"/>
        <w:gridCol w:w="654"/>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13-4204626</w:t>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200 Oceangate, Suite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Long Beach,</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90802</w:t>
            </w:r>
          </w:p>
        </w:tc>
      </w:tr>
      <w:tr>
        <w:trPr/>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(562) 435-3666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858" w:type="dxa"/>
        <w:jc w:val="center"/>
        <w:tblInd w:w="0" w:type="dxa"/>
        <w:tblLayout w:type="fixed"/>
        <w:tblCellMar>
          <w:top w:w="28" w:type="dxa"/>
          <w:left w:w="28" w:type="dxa"/>
          <w:bottom w:w="28" w:type="dxa"/>
          <w:right w:w="28" w:type="dxa"/>
        </w:tblCellMar>
      </w:tblPr>
      <w:tblGrid>
        <w:gridCol w:w="949"/>
        <w:gridCol w:w="833"/>
        <w:gridCol w:w="843"/>
        <w:gridCol w:w="524"/>
        <w:gridCol w:w="524"/>
        <w:gridCol w:w="526"/>
        <w:gridCol w:w="1071"/>
        <w:gridCol w:w="1071"/>
        <w:gridCol w:w="1517"/>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Common Stock, $0.001 Par Value </w:t>
            </w:r>
          </w:p>
        </w:tc>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MOH</w:t>
            </w:r>
          </w:p>
        </w:tc>
        <w:tc>
          <w:tcPr>
            <w:tcW w:w="36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80" w:after="14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60" w:after="6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60" w:after="60"/>
        <w:jc w:val="left"/>
        <w:rPr/>
      </w:pPr>
      <w:r>
        <w:rPr>
          <w:rFonts w:ascii="Arial;sans-serif" w:hAnsi="Arial;sans-serif"/>
          <w:b w:val="false"/>
          <w:color w:val="000000"/>
          <w:sz w:val="18"/>
        </w:rPr>
        <w:t>L</w:t>
      </w:r>
      <w:r>
        <w:rPr>
          <w:rFonts w:ascii="Arial;sans-serif" w:hAnsi="Arial;sans-serif"/>
          <w:b w:val="false"/>
          <w:color w:val="000000"/>
          <w:sz w:val="16"/>
        </w:rPr>
        <w:t>arge Accelerated Filer  </w:t>
      </w:r>
      <w:r>
        <w:rPr>
          <w:color w:val="000000"/>
        </w:rPr>
        <w:t xml:space="preserve">☒ </w:t>
      </w:r>
      <w:r>
        <w:rPr>
          <w:rFonts w:ascii="Arial;sans-serif" w:hAnsi="Arial;sans-serif"/>
          <w:b w:val="false"/>
          <w:color w:val="000000"/>
          <w:sz w:val="16"/>
        </w:rPr>
        <w:t xml:space="preserve">Accelerated Filer </w:t>
      </w:r>
      <w:r>
        <w:rPr>
          <w:color w:val="000000"/>
        </w:rPr>
        <w:t xml:space="preserve">☐ </w:t>
      </w:r>
      <w:r>
        <w:rPr>
          <w:rFonts w:ascii="Arial;sans-serif" w:hAnsi="Arial;sans-serif"/>
          <w:b w:val="false"/>
          <w:color w:val="000000"/>
          <w:sz w:val="16"/>
        </w:rPr>
        <w:t xml:space="preserve">Non-Accelerated Filer </w:t>
      </w:r>
      <w:r>
        <w:rPr>
          <w:color w:val="000000"/>
        </w:rPr>
        <w:t xml:space="preserve">☐ </w:t>
      </w:r>
      <w:r>
        <w:rPr>
          <w:rFonts w:ascii="Arial;sans-serif" w:hAnsi="Arial;sans-serif"/>
          <w:b w:val="false"/>
          <w:color w:val="000000"/>
          <w:sz w:val="16"/>
        </w:rPr>
        <w:t xml:space="preserve">Smaller reporting company </w:t>
      </w:r>
      <w:r>
        <w:rPr>
          <w:color w:val="000000"/>
        </w:rPr>
        <w:t xml:space="preserve">☐ </w:t>
      </w:r>
      <w:r>
        <w:rPr>
          <w:rFonts w:ascii="Arial;sans-serif" w:hAnsi="Arial;sans-serif"/>
          <w:b w:val="false"/>
          <w:color w:val="000000"/>
          <w:sz w:val="16"/>
        </w:rPr>
        <w:t xml:space="preserve">Emerging growth company </w:t>
      </w:r>
      <w:r>
        <w:rPr>
          <w:color w:val="000000"/>
        </w:rPr>
        <w:t>☐</w:t>
      </w:r>
    </w:p>
    <w:p>
      <w:pPr>
        <w:pStyle w:val="TextBody"/>
        <w:bidi w:val="0"/>
        <w:spacing w:lineRule="auto" w:line="288" w:before="60" w:after="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ind w:left="0" w:right="0" w:hanging="180"/>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r>
        <w:rPr>
          <w:color w:val="000000"/>
        </w:rPr>
        <w:t>☒</w: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The number of shares of the issuer’s Common Stock, $0.001 par value, outstanding as of July 17, 2026, was approximately 52.2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MOLINA HEALTHCARE, INC. FORM 10-Q</w:t>
      </w: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 xml:space="preserve">FOR THE QUARTERLY PERIOD ENDED JUNE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TABLE OF CONTENTS</w:t>
      </w:r>
    </w:p>
    <w:tbl>
      <w:tblPr>
        <w:tblW w:w="9454" w:type="dxa"/>
        <w:jc w:val="left"/>
        <w:tblInd w:w="0" w:type="dxa"/>
        <w:tblLayout w:type="fixed"/>
        <w:tblCellMar>
          <w:top w:w="28" w:type="dxa"/>
          <w:left w:w="28" w:type="dxa"/>
          <w:bottom w:w="28" w:type="dxa"/>
          <w:right w:w="28" w:type="dxa"/>
        </w:tblCellMar>
      </w:tblPr>
      <w:tblGrid>
        <w:gridCol w:w="257"/>
        <w:gridCol w:w="226"/>
        <w:gridCol w:w="226"/>
        <w:gridCol w:w="2426"/>
        <w:gridCol w:w="2426"/>
        <w:gridCol w:w="2498"/>
        <w:gridCol w:w="407"/>
        <w:gridCol w:w="407"/>
        <w:gridCol w:w="581"/>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NUMBER</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F7C7F"/>
                <w:sz w:val="18"/>
                <w:u w:val="single"/>
              </w:rPr>
            </w:pPr>
            <w:r>
              <w:rPr>
                <w:rFonts w:ascii="Arial;sans-serif" w:hAnsi="Arial;sans-serif"/>
                <w:b/>
                <w:color w:val="0F7C7F"/>
                <w:sz w:val="18"/>
                <w:u w:val="single"/>
              </w:rPr>
              <w:t>Page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0">
              <w:r>
                <w:rPr>
                  <w:rStyle w:val="InternetLink"/>
                  <w:rFonts w:ascii="Arial;sans-serif" w:hAnsi="Arial;sans-serif"/>
                  <w:b w:val="false"/>
                  <w:color w:val="0F7C7F"/>
                  <w:sz w:val="18"/>
                  <w:u w:val="single"/>
                </w:rPr>
                <w:t>Financial Statements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0">
              <w:r>
                <w:rPr>
                  <w:rStyle w:val="InternetLink"/>
                  <w:rFonts w:ascii="Arial;sans-serif" w:hAnsi="Arial;sans-serif"/>
                  <w:b w:val="false"/>
                  <w:color w:val="0F7C7F"/>
                  <w:sz w:val="18"/>
                  <w:u w:val="single"/>
                </w:rPr>
                <w:t>3</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88">
              <w:r>
                <w:rPr>
                  <w:rStyle w:val="InternetLink"/>
                  <w:rFonts w:ascii="Arial;sans-serif" w:hAnsi="Arial;sans-serif"/>
                  <w:b w:val="false"/>
                  <w:color w:val="0F7C7F"/>
                  <w:sz w:val="18"/>
                  <w:u w:val="single"/>
                </w:rPr>
                <w:t>Management’s Discussion and Analysis of Financial Condition and Results of Operations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88">
              <w:r>
                <w:rPr>
                  <w:rStyle w:val="InternetLink"/>
                  <w:rFonts w:ascii="Arial;sans-serif" w:hAnsi="Arial;sans-serif"/>
                  <w:b w:val="false"/>
                  <w:color w:val="0F7C7F"/>
                  <w:sz w:val="18"/>
                  <w:u w:val="single"/>
                </w:rPr>
                <w:t>20</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30">
              <w:r>
                <w:rPr>
                  <w:rStyle w:val="InternetLink"/>
                  <w:rFonts w:ascii="Arial;sans-serif" w:hAnsi="Arial;sans-serif"/>
                  <w:b w:val="false"/>
                  <w:color w:val="0F7C7F"/>
                  <w:sz w:val="18"/>
                  <w:u w:val="single"/>
                </w:rPr>
                <w:t>Quantitative and Qualitative Disclosures About Market Risk</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30">
              <w:r>
                <w:rPr>
                  <w:rStyle w:val="InternetLink"/>
                  <w:rFonts w:ascii="Arial;sans-serif" w:hAnsi="Arial;sans-serif"/>
                  <w:b w:val="false"/>
                  <w:color w:val="0F7C7F"/>
                  <w:sz w:val="18"/>
                  <w:u w:val="single"/>
                </w:rPr>
                <w:t>34</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33">
              <w:r>
                <w:rPr>
                  <w:rStyle w:val="InternetLink"/>
                  <w:rFonts w:ascii="Arial;sans-serif" w:hAnsi="Arial;sans-serif"/>
                  <w:b w:val="false"/>
                  <w:color w:val="0F7C7F"/>
                  <w:sz w:val="18"/>
                  <w:u w:val="single"/>
                </w:rPr>
                <w:t>Controls and Procedures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33">
              <w:r>
                <w:rPr>
                  <w:rStyle w:val="InternetLink"/>
                  <w:rFonts w:ascii="Arial;sans-serif" w:hAnsi="Arial;sans-serif"/>
                  <w:b w:val="false"/>
                  <w:color w:val="0F7C7F"/>
                  <w:sz w:val="18"/>
                  <w:u w:val="single"/>
                </w:rPr>
                <w:t>34</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36">
              <w:r>
                <w:rPr>
                  <w:rStyle w:val="InternetLink"/>
                  <w:rFonts w:ascii="Arial;sans-serif" w:hAnsi="Arial;sans-serif"/>
                  <w:b w:val="false"/>
                  <w:color w:val="0F7C7F"/>
                  <w:sz w:val="18"/>
                  <w:u w:val="single"/>
                </w:rPr>
                <w:t>Legal Proceedings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36">
              <w:r>
                <w:rPr>
                  <w:rStyle w:val="InternetLink"/>
                  <w:rFonts w:ascii="Arial;sans-serif" w:hAnsi="Arial;sans-serif"/>
                  <w:b w:val="false"/>
                  <w:color w:val="0F7C7F"/>
                  <w:sz w:val="18"/>
                  <w:u w:val="single"/>
                </w:rPr>
                <w:t>34</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1A.</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39">
              <w:r>
                <w:rPr>
                  <w:rStyle w:val="InternetLink"/>
                  <w:rFonts w:ascii="Arial;sans-serif" w:hAnsi="Arial;sans-serif"/>
                  <w:b w:val="false"/>
                  <w:color w:val="0F7C7F"/>
                  <w:sz w:val="18"/>
                  <w:u w:val="single"/>
                </w:rPr>
                <w:t>Risk Factors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39">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42">
              <w:r>
                <w:rPr>
                  <w:rStyle w:val="InternetLink"/>
                  <w:rFonts w:ascii="Arial;sans-serif" w:hAnsi="Arial;sans-serif"/>
                  <w:b w:val="false"/>
                  <w:color w:val="0F7C7F"/>
                  <w:sz w:val="18"/>
                  <w:u w:val="single"/>
                </w:rPr>
                <w:t>Unregistered Sales of Equity Securities and Use of Proceeds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42">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Not Applicable.</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45">
              <w:r>
                <w:rPr>
                  <w:rStyle w:val="InternetLink"/>
                  <w:rFonts w:ascii="Arial;sans-serif" w:hAnsi="Arial;sans-serif"/>
                  <w:b w:val="false"/>
                  <w:color w:val="0F7C7F"/>
                  <w:sz w:val="18"/>
                  <w:u w:val="single"/>
                </w:rPr>
                <w:t>Other Information</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45">
              <w:r>
                <w:rPr>
                  <w:rStyle w:val="InternetLink"/>
                  <w:rFonts w:ascii="Arial;sans-serif" w:hAnsi="Arial;sans-serif"/>
                  <w:b w:val="false"/>
                  <w:color w:val="0F7C7F"/>
                  <w:sz w:val="18"/>
                  <w:u w:val="single"/>
                </w:rPr>
                <w:t>35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51">
              <w:r>
                <w:rPr>
                  <w:rStyle w:val="InternetLink"/>
                  <w:rFonts w:ascii="Arial;sans-serif" w:hAnsi="Arial;sans-serif"/>
                  <w:b w:val="false"/>
                  <w:color w:val="0F7C7F"/>
                  <w:sz w:val="18"/>
                  <w:u w:val="single"/>
                </w:rPr>
                <w:t>Exhibits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51">
              <w:r>
                <w:rPr>
                  <w:rStyle w:val="InternetLink"/>
                  <w:rFonts w:ascii="Arial;sans-serif" w:hAnsi="Arial;sans-serif"/>
                  <w:b w:val="false"/>
                  <w:color w:val="0F7C7F"/>
                  <w:sz w:val="18"/>
                  <w:u w:val="single"/>
                </w:rPr>
                <w:t>36</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7e8c786574a0eb707104b5267f387_154">
              <w:r>
                <w:rPr>
                  <w:rStyle w:val="InternetLink"/>
                  <w:rFonts w:ascii="Arial;sans-serif" w:hAnsi="Arial;sans-serif"/>
                  <w:b w:val="false"/>
                  <w:color w:val="0F7C7F"/>
                  <w:sz w:val="18"/>
                  <w:u w:val="single"/>
                </w:rPr>
                <w:t>Signatures</w:t>
              </w:r>
            </w:hyperlink>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77e8c786574a0eb707104b5267f387_154">
              <w:r>
                <w:rPr>
                  <w:rStyle w:val="InternetLink"/>
                  <w:rFonts w:ascii="Arial;sans-serif" w:hAnsi="Arial;sans-serif"/>
                  <w:b w:val="false"/>
                  <w:color w:val="0F7C7F"/>
                  <w:sz w:val="18"/>
                  <w:u w:val="single"/>
                </w:rPr>
                <w:t>37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INCOME</w:t>
      </w:r>
    </w:p>
    <w:tbl>
      <w:tblPr>
        <w:tblW w:w="8403" w:type="dxa"/>
        <w:jc w:val="left"/>
        <w:tblInd w:w="0" w:type="dxa"/>
        <w:tblLayout w:type="fixed"/>
        <w:tblCellMar>
          <w:top w:w="28" w:type="dxa"/>
          <w:left w:w="28" w:type="dxa"/>
          <w:bottom w:w="28" w:type="dxa"/>
          <w:right w:w="28" w:type="dxa"/>
        </w:tblCellMar>
      </w:tblPr>
      <w:tblGrid>
        <w:gridCol w:w="1146"/>
        <w:gridCol w:w="1006"/>
        <w:gridCol w:w="1013"/>
        <w:gridCol w:w="215"/>
        <w:gridCol w:w="736"/>
        <w:gridCol w:w="111"/>
        <w:gridCol w:w="111"/>
        <w:gridCol w:w="111"/>
        <w:gridCol w:w="111"/>
        <w:gridCol w:w="215"/>
        <w:gridCol w:w="736"/>
        <w:gridCol w:w="111"/>
        <w:gridCol w:w="109"/>
        <w:gridCol w:w="109"/>
        <w:gridCol w:w="109"/>
        <w:gridCol w:w="211"/>
        <w:gridCol w:w="721"/>
        <w:gridCol w:w="109"/>
        <w:gridCol w:w="109"/>
        <w:gridCol w:w="109"/>
        <w:gridCol w:w="109"/>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per-share amounts)</w:t>
              <w:br/>
              <w:t>(Unaudited)</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 income </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Basic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share - Diluted </w:t>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COMPREHENSIVE INCOME</w:t>
      </w:r>
    </w:p>
    <w:tbl>
      <w:tblPr>
        <w:tblW w:w="8721" w:type="dxa"/>
        <w:jc w:val="left"/>
        <w:tblInd w:w="0" w:type="dxa"/>
        <w:tblLayout w:type="fixed"/>
        <w:tblCellMar>
          <w:top w:w="28" w:type="dxa"/>
          <w:left w:w="28" w:type="dxa"/>
          <w:bottom w:w="28" w:type="dxa"/>
          <w:right w:w="28" w:type="dxa"/>
        </w:tblCellMar>
      </w:tblPr>
      <w:tblGrid>
        <w:gridCol w:w="1317"/>
        <w:gridCol w:w="1156"/>
        <w:gridCol w:w="1171"/>
        <w:gridCol w:w="289"/>
        <w:gridCol w:w="495"/>
        <w:gridCol w:w="149"/>
        <w:gridCol w:w="149"/>
        <w:gridCol w:w="149"/>
        <w:gridCol w:w="149"/>
        <w:gridCol w:w="289"/>
        <w:gridCol w:w="639"/>
        <w:gridCol w:w="149"/>
        <w:gridCol w:w="109"/>
        <w:gridCol w:w="109"/>
        <w:gridCol w:w="109"/>
        <w:gridCol w:w="263"/>
        <w:gridCol w:w="450"/>
        <w:gridCol w:w="136"/>
        <w:gridCol w:w="136"/>
        <w:gridCol w:w="136"/>
        <w:gridCol w:w="136"/>
        <w:gridCol w:w="263"/>
        <w:gridCol w:w="581"/>
        <w:gridCol w:w="192"/>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gain:</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(loss) gain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effect of income taxes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(loss) gain, net of tax </w:t>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BALANCE SHEETS</w:t>
      </w:r>
    </w:p>
    <w:tbl>
      <w:tblPr>
        <w:tblW w:w="10205" w:type="dxa"/>
        <w:jc w:val="left"/>
        <w:tblInd w:w="0" w:type="dxa"/>
        <w:tblLayout w:type="fixed"/>
        <w:tblCellMar>
          <w:top w:w="28" w:type="dxa"/>
          <w:left w:w="28" w:type="dxa"/>
          <w:bottom w:w="28" w:type="dxa"/>
          <w:right w:w="28" w:type="dxa"/>
        </w:tblCellMar>
      </w:tblPr>
      <w:tblGrid>
        <w:gridCol w:w="2884"/>
        <w:gridCol w:w="2377"/>
        <w:gridCol w:w="2353"/>
        <w:gridCol w:w="212"/>
        <w:gridCol w:w="724"/>
        <w:gridCol w:w="109"/>
        <w:gridCol w:w="109"/>
        <w:gridCol w:w="109"/>
        <w:gridCol w:w="109"/>
        <w:gridCol w:w="236"/>
        <w:gridCol w:w="807"/>
        <w:gridCol w:w="176"/>
      </w:tblGrid>
      <w:tr>
        <w:trPr/>
        <w:tc>
          <w:tcPr>
            <w:tcW w:w="288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br/>
              <w:t>except per-share amounts)</w:t>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investments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$0.001 par value, 150 million shares authorized; outstanding: 52 million shares at June 30, 2026 and 51 million at December 31, 2025</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$0.001 par value; 20 million shares authorized, no shares issued and outstanding</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4</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850"/>
        <w:gridCol w:w="556"/>
        <w:gridCol w:w="558"/>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573"/>
        <w:gridCol w:w="1022"/>
        <w:gridCol w:w="298"/>
        <w:gridCol w:w="109"/>
        <w:gridCol w:w="109"/>
        <w:gridCol w:w="109"/>
        <w:gridCol w:w="211"/>
        <w:gridCol w:w="616"/>
        <w:gridCol w:w="109"/>
        <w:gridCol w:w="109"/>
        <w:gridCol w:w="109"/>
        <w:gridCol w:w="109"/>
        <w:gridCol w:w="211"/>
        <w:gridCol w:w="616"/>
        <w:gridCol w:w="157"/>
      </w:tblGrid>
      <w:tr>
        <w:trPr/>
        <w:tc>
          <w:tcPr>
            <w:tcW w:w="8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9"/>
        <w:gridCol w:w="768"/>
        <w:gridCol w:w="771"/>
        <w:gridCol w:w="370"/>
        <w:gridCol w:w="370"/>
        <w:gridCol w:w="371"/>
        <w:gridCol w:w="109"/>
        <w:gridCol w:w="109"/>
        <w:gridCol w:w="109"/>
        <w:gridCol w:w="218"/>
        <w:gridCol w:w="419"/>
        <w:gridCol w:w="114"/>
        <w:gridCol w:w="109"/>
        <w:gridCol w:w="109"/>
        <w:gridCol w:w="109"/>
        <w:gridCol w:w="249"/>
        <w:gridCol w:w="551"/>
        <w:gridCol w:w="131"/>
        <w:gridCol w:w="109"/>
        <w:gridCol w:w="109"/>
        <w:gridCol w:w="109"/>
        <w:gridCol w:w="409"/>
        <w:gridCol w:w="729"/>
        <w:gridCol w:w="213"/>
        <w:gridCol w:w="109"/>
        <w:gridCol w:w="109"/>
        <w:gridCol w:w="109"/>
        <w:gridCol w:w="211"/>
        <w:gridCol w:w="616"/>
        <w:gridCol w:w="109"/>
        <w:gridCol w:w="109"/>
        <w:gridCol w:w="109"/>
        <w:gridCol w:w="109"/>
        <w:gridCol w:w="211"/>
        <w:gridCol w:w="616"/>
        <w:gridCol w:w="155"/>
      </w:tblGrid>
      <w:tr>
        <w:trPr/>
        <w:tc>
          <w:tcPr>
            <w:tcW w:w="9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purchases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purchase excise tax</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2025</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5</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CONSOLIDATED STATEMENTS OF CASH FLOWS</w:t>
      </w:r>
    </w:p>
    <w:tbl>
      <w:tblPr>
        <w:tblW w:w="9895" w:type="dxa"/>
        <w:jc w:val="left"/>
        <w:tblInd w:w="0" w:type="dxa"/>
        <w:tblLayout w:type="fixed"/>
        <w:tblCellMar>
          <w:top w:w="28" w:type="dxa"/>
          <w:left w:w="28" w:type="dxa"/>
          <w:bottom w:w="28" w:type="dxa"/>
          <w:right w:w="28" w:type="dxa"/>
        </w:tblCellMar>
      </w:tblPr>
      <w:tblGrid>
        <w:gridCol w:w="2752"/>
        <w:gridCol w:w="2417"/>
        <w:gridCol w:w="2435"/>
        <w:gridCol w:w="215"/>
        <w:gridCol w:w="630"/>
        <w:gridCol w:w="111"/>
        <w:gridCol w:w="111"/>
        <w:gridCol w:w="111"/>
        <w:gridCol w:w="111"/>
        <w:gridCol w:w="215"/>
        <w:gridCol w:w="630"/>
        <w:gridCol w:w="157"/>
      </w:tblGrid>
      <w:tr>
        <w:trPr/>
        <w:tc>
          <w:tcPr>
            <w:tcW w:w="2752"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br/>
              <w:t>(Unaudited)</w:t>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(used in) operating activities:</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Amounts due government agencies </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liabilities and other</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and maturities of investments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paid in business combinations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equipment and capitalized software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 under credit facility and term loans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purchases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credit facility and term loans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withheld to settle employee tax obligations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 and cash equivalents</w:t>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beginning of period</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and cash equivalents at end of period</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6</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 xml:space="preserve">NOTES TO CONSOLIDATED FINANCIAL STATEMENTS (UNAUDITED)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 xml:space="preserve">1. Organization and Basis of Presentation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Organization and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we served approximately 4.9 million members eligible for government-sponsored healthcare programs, located across 21 states.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Medicare, we enter into Medicare Advantage-Part D (“MAPD”) contracts with the Centers for Medicare and Medicaid Services (“CMS”) annually, and for dual-eligible programs, we enter into contracts with CMS, in partnership with each state’s department of health and human services. Such contracts typically have terms of one year to three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Marketplace, we enter into contracts with CMS, which end on December 31 each year, and must be renewed annually.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Consolidation and Interim Financial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six months ended June 30, 2026 are not necessarily indicative of the results for the entire year ending December 31,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unaudited consolidated interim financial statements have been prepared under the assumption that users of the interim financial data have either read or have access to our audited consolidated financial statements for the fiscal year ended December 31, 2025. Accordingly, certain disclosures that would substantially duplicate the disclosures contained in our December 31, 2025, audited consolidated financial statements have been omitted.</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rial;sans-serif" w:hAnsi="Arial;sans-serif"/>
          <w:b/>
          <w:color w:val="828282"/>
          <w:sz w:val="20"/>
        </w:rPr>
        <w:t>2. Significant Accounting Policies</w:t>
      </w:r>
      <w:r>
        <w:rPr>
          <w:color w:val="000000"/>
        </w:rPr>
        <w:t xml:space="preserve">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7</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82"/>
        <w:gridCol w:w="2532"/>
        <w:gridCol w:w="2545"/>
        <w:gridCol w:w="211"/>
        <w:gridCol w:w="616"/>
        <w:gridCol w:w="109"/>
        <w:gridCol w:w="109"/>
        <w:gridCol w:w="109"/>
        <w:gridCol w:w="109"/>
        <w:gridCol w:w="211"/>
        <w:gridCol w:w="61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cash, cash equivalents, and restricted cash and cash equivalents presented in the consolidated statements of cash flows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Receivables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Receivables consist primarily of premium amounts due from government agencies, which are subject to potential retroactive adjustments, as well as pharmacy rebates and other receivables. Government receivables amounted to $2,442 million and $2,365 million at June 30, 2026 and December 31, 2025,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Premium Revenue Recognition and Amounts Due Government Agencies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2025 Annual Report on Form 10-K, Note 2, “Significant Accounting Policies,” under “Premium Revenue Recognition and Amounts Due Government Agencies,” and “Quality Incentives.”</w:t>
      </w:r>
    </w:p>
    <w:p>
      <w:pPr>
        <w:pStyle w:val="TextBody"/>
        <w:bidi w:val="0"/>
        <w:spacing w:lineRule="auto" w:line="288" w:before="120" w:after="120"/>
        <w:jc w:val="left"/>
        <w:rPr/>
      </w:pPr>
      <w:r>
        <w:rPr>
          <w:rFonts w:ascii="Arial;sans-serif" w:hAnsi="Arial;sans-serif"/>
          <w:b/>
          <w:i/>
          <w:color w:val="000000"/>
          <w:sz w:val="20"/>
        </w:rPr>
        <w:t>Minimum MLR, Medical Cost Corridors and Profit Sharing.</w:t>
      </w:r>
      <w:r>
        <w:rPr>
          <w:color w:val="000000"/>
        </w:rPr>
        <w:t xml:space="preserve"> </w:t>
      </w:r>
      <w:r>
        <w:rPr>
          <w:rFonts w:ascii="Arial;sans-serif" w:hAnsi="Arial;sans-serif"/>
          <w:b w:val="false"/>
          <w:color w:val="000000"/>
          <w:sz w:val="20"/>
        </w:rPr>
        <w:t>A portion of our Medicaid premium revenue may be returned if certain 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$548 million and $457 million at June 30, 2026 and December 31, 2025, respectively, to “Amounts due government agencies” in the accompanying consolidated balance sheets.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$44 million and $28 million at June 30, 2026 and December 31, 2025, respectively, to “Amounts due government agencies” in the accompanying consolidated balance sheets.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$14 million and $12 million at June 30, 2026 and December 31, 2025, respectively, to “Amounts due government agencies” in the accompanying consolidated balance sheets.</w:t>
      </w:r>
    </w:p>
    <w:p>
      <w:pPr>
        <w:pStyle w:val="TextBody"/>
        <w:bidi w:val="0"/>
        <w:spacing w:lineRule="auto" w:line="288" w:before="120" w:after="283"/>
        <w:jc w:val="left"/>
        <w:rPr/>
      </w:pPr>
      <w:r>
        <w:rPr>
          <w:rFonts w:ascii="Arial;sans-serif" w:hAnsi="Arial;sans-serif"/>
          <w:b/>
          <w:i/>
          <w:color w:val="000000"/>
          <w:sz w:val="20"/>
        </w:rPr>
        <w:t>Risk Adjustment.</w:t>
      </w:r>
      <w:r>
        <w:rPr>
          <w:color w:val="000000"/>
        </w:rPr>
        <w:t xml:space="preserve"> </w:t>
      </w:r>
      <w:r>
        <w:rPr>
          <w:rFonts w:ascii="Arial;sans-serif" w:hAnsi="Arial;sans-serif"/>
          <w:b w:val="false"/>
          <w:color w:val="000000"/>
          <w:sz w:val="20"/>
        </w:rPr>
        <w:t xml:space="preserve">Our Medicare premiums are subject to retroactive increase or decrease based on the health status of our members (as measured by member risk score). We estimate our members’ risk scores and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8</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$78 million and $66 million at June 30, 2026 and December 31, 2025, respectively, to “Amounts due government agencies” in the accompanying consolidated balance sheets.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Marketplace premiums are also subject to increases based on the health status of members.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2026, Marketplace risk adjustment payables amounted to $693 million and related receivables amounted to $128 million, for a net payable of $565 million. As of December 31, 2025, Marketplace risk adjustment payables amounted to $517 million and related receivables amounted to $106 million, for a net payable of $411 million.</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Premium Deficiency Reserve on Loss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Impairment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 February 2026, we determined that the MAPD product does not align with our strategic shift to focus exclusively on dual-eligible members in Medicare and we intend to exit this product for 2027. The projected cash flows of the MAPD product will not exceed the carrying amount of the related intangible assets. As such, we impaired the remaining intangible assets during the six months ended June 30, 2026, which amounted to $93 million. The following major classes of intangibles were impaired in the amounts listed: contract rights and licenses with a remaining balance of $62 million, provider networks with a remaining balance of $4 million, and trade name with a remaining balance of $27 million.</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Recent accounting pronouncements issued by the Financial Accounting Standards Board (including its Emerging Issues Task Force), the American Institute of Certified Public Accountants, and the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9</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Commission (“SEC”) did not have, nor does management expect such pronouncements to have, a significant impact on our present or future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3. Net Income Per Share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the calculation of basic and diluted net income per share:</w:t>
      </w:r>
    </w:p>
    <w:tbl>
      <w:tblPr>
        <w:tblW w:w="9217" w:type="dxa"/>
        <w:jc w:val="left"/>
        <w:tblInd w:w="0" w:type="dxa"/>
        <w:tblLayout w:type="fixed"/>
        <w:tblCellMar>
          <w:top w:w="28" w:type="dxa"/>
          <w:left w:w="28" w:type="dxa"/>
          <w:bottom w:w="28" w:type="dxa"/>
          <w:right w:w="28" w:type="dxa"/>
        </w:tblCellMar>
      </w:tblPr>
      <w:tblGrid>
        <w:gridCol w:w="1499"/>
        <w:gridCol w:w="1316"/>
        <w:gridCol w:w="1325"/>
        <w:gridCol w:w="261"/>
        <w:gridCol w:w="632"/>
        <w:gridCol w:w="134"/>
        <w:gridCol w:w="134"/>
        <w:gridCol w:w="134"/>
        <w:gridCol w:w="134"/>
        <w:gridCol w:w="261"/>
        <w:gridCol w:w="632"/>
        <w:gridCol w:w="134"/>
        <w:gridCol w:w="109"/>
        <w:gridCol w:w="109"/>
        <w:gridCol w:w="109"/>
        <w:gridCol w:w="226"/>
        <w:gridCol w:w="548"/>
        <w:gridCol w:w="117"/>
        <w:gridCol w:w="117"/>
        <w:gridCol w:w="117"/>
        <w:gridCol w:w="117"/>
        <w:gridCol w:w="226"/>
        <w:gridCol w:w="661"/>
        <w:gridCol w:w="165"/>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net income per share)</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Numerator:</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Denominator:</w:t>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outstanding at the beginning of the period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number of shares issued:</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purchases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basic net income per share</w:t>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Effect of dilutive securities: </w:t>
            </w:r>
            <w:r>
              <w:rPr>
                <w:rFonts w:ascii="Arial;sans-serif" w:hAnsi="Arial;sans-serif"/>
                <w:b w:val="false"/>
                <w:color w:val="000000"/>
                <w:sz w:val="12"/>
              </w:rPr>
              <w:t>(1)</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 for diluted net income per share</w:t>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per share - Basic </w:t>
            </w:r>
            <w:r>
              <w:rPr>
                <w:rFonts w:ascii="Arial;sans-serif" w:hAnsi="Arial;sans-serif"/>
                <w:b w:val="false"/>
                <w:color w:val="000000"/>
                <w:sz w:val="12"/>
              </w:rPr>
              <w:t>(2)</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per share - Diluted </w:t>
            </w:r>
            <w:r>
              <w:rPr>
                <w:rFonts w:ascii="Arial;sans-serif" w:hAnsi="Arial;sans-serif"/>
                <w:b w:val="false"/>
                <w:color w:val="000000"/>
                <w:sz w:val="12"/>
              </w:rPr>
              <w:t>(2)</w:t>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and six months ended June 30, 2026, 318,000 and 341,000 shares, respectively, were excluded from diluted shares outstanding. For the three months ended June 30, 2025, 133,000 shares were excluded from diluted shares outstanding. For the six months ended June 30, 2025 there were no shares excluded from diluted shares outstanding. </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    Source data for calculations in thousands.</w:t>
      </w:r>
    </w:p>
    <w:p>
      <w:pPr>
        <w:pStyle w:val="TextBody"/>
        <w:bidi w:val="0"/>
        <w:spacing w:lineRule="auto" w:line="288" w:before="120" w:after="120"/>
        <w:ind w:left="0" w:right="0" w:hanging="360"/>
        <w:jc w:val="left"/>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4. Fair Value Measurements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2025 Annual Report on Form 10-K, Note 5,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10</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June 30, 2026, were as follows:</w:t>
      </w:r>
    </w:p>
    <w:tbl>
      <w:tblPr>
        <w:tblW w:w="10205" w:type="dxa"/>
        <w:jc w:val="left"/>
        <w:tblInd w:w="0" w:type="dxa"/>
        <w:tblLayout w:type="fixed"/>
        <w:tblCellMar>
          <w:top w:w="28" w:type="dxa"/>
          <w:left w:w="28" w:type="dxa"/>
          <w:bottom w:w="28" w:type="dxa"/>
          <w:right w:w="28" w:type="dxa"/>
        </w:tblCellMar>
      </w:tblPr>
      <w:tblGrid>
        <w:gridCol w:w="850"/>
        <w:gridCol w:w="713"/>
        <w:gridCol w:w="690"/>
        <w:gridCol w:w="211"/>
        <w:gridCol w:w="616"/>
        <w:gridCol w:w="109"/>
        <w:gridCol w:w="109"/>
        <w:gridCol w:w="109"/>
        <w:gridCol w:w="109"/>
        <w:gridCol w:w="427"/>
        <w:gridCol w:w="823"/>
        <w:gridCol w:w="221"/>
        <w:gridCol w:w="109"/>
        <w:gridCol w:w="109"/>
        <w:gridCol w:w="109"/>
        <w:gridCol w:w="639"/>
        <w:gridCol w:w="1875"/>
        <w:gridCol w:w="333"/>
        <w:gridCol w:w="109"/>
        <w:gridCol w:w="109"/>
        <w:gridCol w:w="109"/>
        <w:gridCol w:w="467"/>
        <w:gridCol w:w="901"/>
        <w:gridCol w:w="349"/>
      </w:tblGrid>
      <w:tr>
        <w:trPr/>
        <w:tc>
          <w:tcPr>
            <w:tcW w:w="8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(Level 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instruments measured at fair value on a recurring basis at December 31, 2025, were as follows:</w:t>
      </w:r>
    </w:p>
    <w:tbl>
      <w:tblPr>
        <w:tblW w:w="10205" w:type="dxa"/>
        <w:jc w:val="left"/>
        <w:tblInd w:w="0" w:type="dxa"/>
        <w:tblLayout w:type="fixed"/>
        <w:tblCellMar>
          <w:top w:w="28" w:type="dxa"/>
          <w:left w:w="28" w:type="dxa"/>
          <w:bottom w:w="28" w:type="dxa"/>
          <w:right w:w="28" w:type="dxa"/>
        </w:tblCellMar>
      </w:tblPr>
      <w:tblGrid>
        <w:gridCol w:w="850"/>
        <w:gridCol w:w="713"/>
        <w:gridCol w:w="690"/>
        <w:gridCol w:w="211"/>
        <w:gridCol w:w="616"/>
        <w:gridCol w:w="109"/>
        <w:gridCol w:w="109"/>
        <w:gridCol w:w="109"/>
        <w:gridCol w:w="109"/>
        <w:gridCol w:w="427"/>
        <w:gridCol w:w="823"/>
        <w:gridCol w:w="221"/>
        <w:gridCol w:w="109"/>
        <w:gridCol w:w="109"/>
        <w:gridCol w:w="109"/>
        <w:gridCol w:w="639"/>
        <w:gridCol w:w="1875"/>
        <w:gridCol w:w="333"/>
        <w:gridCol w:w="109"/>
        <w:gridCol w:w="109"/>
        <w:gridCol w:w="109"/>
        <w:gridCol w:w="467"/>
        <w:gridCol w:w="901"/>
        <w:gridCol w:w="349"/>
      </w:tblGrid>
      <w:tr>
        <w:trPr/>
        <w:tc>
          <w:tcPr>
            <w:tcW w:w="8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Directly or Indirectly 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assets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Fair Value Measurements – Disclosure Only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tbl>
      <w:tblPr>
        <w:tblW w:w="6869" w:type="dxa"/>
        <w:jc w:val="left"/>
        <w:tblInd w:w="0" w:type="dxa"/>
        <w:tblLayout w:type="fixed"/>
        <w:tblCellMar>
          <w:top w:w="28" w:type="dxa"/>
          <w:left w:w="28" w:type="dxa"/>
          <w:bottom w:w="28" w:type="dxa"/>
          <w:right w:w="28" w:type="dxa"/>
        </w:tblCellMar>
      </w:tblPr>
      <w:tblGrid>
        <w:gridCol w:w="760"/>
        <w:gridCol w:w="668"/>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Fair Value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6.500%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2032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Notes due 2033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11</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5. Investments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Available-for-Sale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all of our investments classified as current assets to be available-for-sale. The following tables summarize our current investments as of the dates indicated:</w:t>
      </w:r>
    </w:p>
    <w:tbl>
      <w:tblPr>
        <w:tblW w:w="7847" w:type="dxa"/>
        <w:jc w:val="left"/>
        <w:tblInd w:w="0" w:type="dxa"/>
        <w:tblLayout w:type="fixed"/>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361"/>
        <w:gridCol w:w="109"/>
        <w:gridCol w:w="109"/>
        <w:gridCol w:w="109"/>
        <w:gridCol w:w="109"/>
        <w:gridCol w:w="211"/>
        <w:gridCol w:w="361"/>
        <w:gridCol w:w="109"/>
        <w:gridCol w:w="109"/>
        <w:gridCol w:w="109"/>
        <w:gridCol w:w="109"/>
        <w:gridCol w:w="380"/>
        <w:gridCol w:w="1112"/>
        <w:gridCol w:w="27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47" w:type="dxa"/>
        <w:jc w:val="left"/>
        <w:tblInd w:w="0" w:type="dxa"/>
        <w:tblLayout w:type="fixed"/>
        <w:tblCellMar>
          <w:top w:w="28" w:type="dxa"/>
          <w:left w:w="28" w:type="dxa"/>
          <w:bottom w:w="28" w:type="dxa"/>
          <w:right w:w="28" w:type="dxa"/>
        </w:tblCellMar>
      </w:tblPr>
      <w:tblGrid>
        <w:gridCol w:w="862"/>
        <w:gridCol w:w="759"/>
        <w:gridCol w:w="763"/>
        <w:gridCol w:w="304"/>
        <w:gridCol w:w="889"/>
        <w:gridCol w:w="157"/>
        <w:gridCol w:w="109"/>
        <w:gridCol w:w="109"/>
        <w:gridCol w:w="109"/>
        <w:gridCol w:w="211"/>
        <w:gridCol w:w="361"/>
        <w:gridCol w:w="109"/>
        <w:gridCol w:w="109"/>
        <w:gridCol w:w="109"/>
        <w:gridCol w:w="109"/>
        <w:gridCol w:w="211"/>
        <w:gridCol w:w="361"/>
        <w:gridCol w:w="109"/>
        <w:gridCol w:w="109"/>
        <w:gridCol w:w="109"/>
        <w:gridCol w:w="109"/>
        <w:gridCol w:w="380"/>
        <w:gridCol w:w="1112"/>
        <w:gridCol w:w="278"/>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Treasury notes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Expected maturities may differ from contractual maturities because borrowers may have the right to call or prepay obligations with or without call or prepayment penalties. The contractual maturities of our current investments as of June 30, 2026 are summarized below:</w:t>
      </w:r>
    </w:p>
    <w:tbl>
      <w:tblPr>
        <w:tblW w:w="5823" w:type="dxa"/>
        <w:jc w:val="left"/>
        <w:tblInd w:w="0" w:type="dxa"/>
        <w:tblLayout w:type="fixed"/>
        <w:tblCellMar>
          <w:top w:w="28" w:type="dxa"/>
          <w:left w:w="28" w:type="dxa"/>
          <w:bottom w:w="28" w:type="dxa"/>
          <w:right w:w="28" w:type="dxa"/>
        </w:tblCellMar>
      </w:tblPr>
      <w:tblGrid>
        <w:gridCol w:w="1145"/>
        <w:gridCol w:w="1007"/>
        <w:gridCol w:w="1013"/>
        <w:gridCol w:w="304"/>
        <w:gridCol w:w="889"/>
        <w:gridCol w:w="157"/>
        <w:gridCol w:w="109"/>
        <w:gridCol w:w="109"/>
        <w:gridCol w:w="109"/>
        <w:gridCol w:w="211"/>
        <w:gridCol w:w="61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in one year or less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one year through five years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five years through ten years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after ten years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xml:space="preserve">In the six months ended June 30, 2026, and 2025, maturities and redemptions of available-for-sale securities amounted to $646 million and $654 million, respectively, and sales amounted to $26 million and $63 million, respectively. Gross realized gains and losses from sales of available-for-sale securities are calculated under the specific identification method and are included in investment income. Gross realized investment gains and losses were insignificant for the six months ended June 30, 2026 and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determined that unrealized losses at June 30, 2026, and December 31, 2025, primarily resulted from fluctuating interest rates, rather than a deterioration of the creditworthiness of the issuers. Further, as of June 30, 2026, we do not intend to sell, and it is not likely that we will be required to sell these investments prior to the recovery of their amortized cost basis. Therefore, we determined that an allowance for credit losses was not necessary.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12</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June 30, 2026:</w:t>
      </w:r>
    </w:p>
    <w:tbl>
      <w:tblPr>
        <w:tblW w:w="10205" w:type="dxa"/>
        <w:jc w:val="left"/>
        <w:tblInd w:w="0" w:type="dxa"/>
        <w:tblLayout w:type="fixed"/>
        <w:tblCellMar>
          <w:top w:w="28" w:type="dxa"/>
          <w:left w:w="28" w:type="dxa"/>
          <w:bottom w:w="28" w:type="dxa"/>
          <w:right w:w="28" w:type="dxa"/>
        </w:tblCellMar>
      </w:tblPr>
      <w:tblGrid>
        <w:gridCol w:w="818"/>
        <w:gridCol w:w="596"/>
        <w:gridCol w:w="502"/>
        <w:gridCol w:w="211"/>
        <w:gridCol w:w="616"/>
        <w:gridCol w:w="109"/>
        <w:gridCol w:w="109"/>
        <w:gridCol w:w="109"/>
        <w:gridCol w:w="109"/>
        <w:gridCol w:w="293"/>
        <w:gridCol w:w="501"/>
        <w:gridCol w:w="152"/>
        <w:gridCol w:w="109"/>
        <w:gridCol w:w="109"/>
        <w:gridCol w:w="109"/>
        <w:gridCol w:w="477"/>
        <w:gridCol w:w="477"/>
        <w:gridCol w:w="479"/>
        <w:gridCol w:w="109"/>
        <w:gridCol w:w="109"/>
        <w:gridCol w:w="109"/>
        <w:gridCol w:w="241"/>
        <w:gridCol w:w="534"/>
        <w:gridCol w:w="126"/>
        <w:gridCol w:w="110"/>
        <w:gridCol w:w="110"/>
        <w:gridCol w:w="110"/>
        <w:gridCol w:w="293"/>
        <w:gridCol w:w="501"/>
        <w:gridCol w:w="152"/>
        <w:gridCol w:w="110"/>
        <w:gridCol w:w="110"/>
        <w:gridCol w:w="110"/>
        <w:gridCol w:w="433"/>
        <w:gridCol w:w="433"/>
        <w:gridCol w:w="620"/>
      </w:tblGrid>
      <w:tr>
        <w:trPr/>
        <w:tc>
          <w:tcPr>
            <w:tcW w:w="81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segregates those available-for-sale investments that have been in a continuous loss position for less than 12 months, and those that have been in a continuous loss position for 12 months or more as of December 31, 2025:</w:t>
      </w:r>
    </w:p>
    <w:tbl>
      <w:tblPr>
        <w:tblW w:w="10205" w:type="dxa"/>
        <w:jc w:val="left"/>
        <w:tblInd w:w="0" w:type="dxa"/>
        <w:tblLayout w:type="fixed"/>
        <w:tblCellMar>
          <w:top w:w="28" w:type="dxa"/>
          <w:left w:w="28" w:type="dxa"/>
          <w:bottom w:w="28" w:type="dxa"/>
          <w:right w:w="28" w:type="dxa"/>
        </w:tblCellMar>
      </w:tblPr>
      <w:tblGrid>
        <w:gridCol w:w="819"/>
        <w:gridCol w:w="597"/>
        <w:gridCol w:w="504"/>
        <w:gridCol w:w="241"/>
        <w:gridCol w:w="534"/>
        <w:gridCol w:w="126"/>
        <w:gridCol w:w="112"/>
        <w:gridCol w:w="112"/>
        <w:gridCol w:w="112"/>
        <w:gridCol w:w="346"/>
        <w:gridCol w:w="420"/>
        <w:gridCol w:w="180"/>
        <w:gridCol w:w="112"/>
        <w:gridCol w:w="112"/>
        <w:gridCol w:w="112"/>
        <w:gridCol w:w="479"/>
        <w:gridCol w:w="479"/>
        <w:gridCol w:w="481"/>
        <w:gridCol w:w="109"/>
        <w:gridCol w:w="109"/>
        <w:gridCol w:w="109"/>
        <w:gridCol w:w="241"/>
        <w:gridCol w:w="534"/>
        <w:gridCol w:w="126"/>
        <w:gridCol w:w="110"/>
        <w:gridCol w:w="110"/>
        <w:gridCol w:w="110"/>
        <w:gridCol w:w="293"/>
        <w:gridCol w:w="501"/>
        <w:gridCol w:w="152"/>
        <w:gridCol w:w="110"/>
        <w:gridCol w:w="110"/>
        <w:gridCol w:w="110"/>
        <w:gridCol w:w="435"/>
        <w:gridCol w:w="435"/>
        <w:gridCol w:w="623"/>
      </w:tblGrid>
      <w:tr>
        <w:trPr/>
        <w:tc>
          <w:tcPr>
            <w:tcW w:w="8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a Continuous Loss Position</w:t>
              <w:br/>
              <w:t>for 12 Months or More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Positions</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Asset-backed securities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securities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Restricted Investments Held-to-Maturity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the intent and ability to hold these restricted investments until maturity and, as a result, we expect to collect the contractual cash flows associated with these investments and do not recognize interim fluctuations in fair value. Accordingly, our held-to-maturity restricted investments are carried at amortized cost, which approximates fair value. Such investments amounted to $313 million at June 30, 2026, of which $216 million will mature in one year or less, $93 million will mature in one through five years, and $4 million will mature after five years.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rial;sans-serif" w:hAnsi="Arial;sans-serif"/>
          <w:b/>
          <w:color w:val="828282"/>
          <w:sz w:val="20"/>
        </w:rPr>
        <w:t>6. Medical Claims and Benefits Payable</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13</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1"/>
        <w:gridCol w:w="1308"/>
        <w:gridCol w:w="1314"/>
        <w:gridCol w:w="211"/>
        <w:gridCol w:w="616"/>
        <w:gridCol w:w="109"/>
        <w:gridCol w:w="109"/>
        <w:gridCol w:w="109"/>
        <w:gridCol w:w="109"/>
        <w:gridCol w:w="227"/>
        <w:gridCol w:w="502"/>
        <w:gridCol w:w="119"/>
        <w:gridCol w:w="109"/>
        <w:gridCol w:w="109"/>
        <w:gridCol w:w="109"/>
        <w:gridCol w:w="282"/>
        <w:gridCol w:w="623"/>
        <w:gridCol w:w="146"/>
        <w:gridCol w:w="109"/>
        <w:gridCol w:w="109"/>
        <w:gridCol w:w="109"/>
        <w:gridCol w:w="211"/>
        <w:gridCol w:w="361"/>
        <w:gridCol w:w="109"/>
        <w:gridCol w:w="109"/>
        <w:gridCol w:w="109"/>
        <w:gridCol w:w="109"/>
        <w:gridCol w:w="261"/>
        <w:gridCol w:w="763"/>
        <w:gridCol w:w="194"/>
      </w:tblGrid>
      <w:tr>
        <w:trPr/>
        <w:tc>
          <w:tcPr>
            <w:tcW w:w="154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2"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payables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7"/>
        <w:gridCol w:w="1292"/>
        <w:gridCol w:w="1297"/>
        <w:gridCol w:w="211"/>
        <w:gridCol w:w="616"/>
        <w:gridCol w:w="109"/>
        <w:gridCol w:w="109"/>
        <w:gridCol w:w="109"/>
        <w:gridCol w:w="109"/>
        <w:gridCol w:w="217"/>
        <w:gridCol w:w="480"/>
        <w:gridCol w:w="114"/>
        <w:gridCol w:w="109"/>
        <w:gridCol w:w="109"/>
        <w:gridCol w:w="109"/>
        <w:gridCol w:w="282"/>
        <w:gridCol w:w="623"/>
        <w:gridCol w:w="146"/>
        <w:gridCol w:w="109"/>
        <w:gridCol w:w="109"/>
        <w:gridCol w:w="109"/>
        <w:gridCol w:w="211"/>
        <w:gridCol w:w="406"/>
        <w:gridCol w:w="109"/>
        <w:gridCol w:w="109"/>
        <w:gridCol w:w="109"/>
        <w:gridCol w:w="109"/>
        <w:gridCol w:w="261"/>
        <w:gridCol w:w="763"/>
        <w:gridCol w:w="193"/>
      </w:tblGrid>
      <w:tr>
        <w:trPr/>
        <w:tc>
          <w:tcPr>
            <w:tcW w:w="156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9"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(In millions)</w:t>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medical care costs related to: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medical care costs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medical care costs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paid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balances, net of post-acquisition adjustments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non-risk and other payables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claims and benefits payable, ending balance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IBNP totaled $2,936 million as of June 30, 2026, and includes the costs of claims incurred as of the balance sheet date which have been reported to us, and our best estimate of the cost of claims incurred but not yet reported to us. Our estimates of medical claims and benefits payable recorded at December 31, 2025, and 2024 developed favorably by approximately $285 million and $201 million as of June 30, 2026, and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favorable prior year development recognized in the six months ended June 30, 2026 was primarily attributable to reserving under moderately adverse conditions, lower than expected utilization of medical services by our members and improved operating performance, mainly in the Medicaid and Medicare segments. Consequently, the ultimate costs recognized in 2026, as claims payments were processed, were lower than our estimates in 2025.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14</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7. Debt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outstanding debt obligations:</w:t>
      </w:r>
    </w:p>
    <w:tbl>
      <w:tblPr>
        <w:tblW w:w="5778" w:type="dxa"/>
        <w:jc w:val="left"/>
        <w:tblInd w:w="0" w:type="dxa"/>
        <w:tblLayout w:type="fixed"/>
        <w:tblCellMar>
          <w:top w:w="28" w:type="dxa"/>
          <w:left w:w="28" w:type="dxa"/>
          <w:bottom w:w="28" w:type="dxa"/>
          <w:right w:w="28" w:type="dxa"/>
        </w:tblCellMar>
      </w:tblPr>
      <w:tblGrid>
        <w:gridCol w:w="1196"/>
        <w:gridCol w:w="1050"/>
        <w:gridCol w:w="1053"/>
        <w:gridCol w:w="211"/>
        <w:gridCol w:w="616"/>
        <w:gridCol w:w="109"/>
        <w:gridCol w:w="109"/>
        <w:gridCol w:w="109"/>
        <w:gridCol w:w="109"/>
        <w:gridCol w:w="261"/>
        <w:gridCol w:w="763"/>
        <w:gridCol w:w="192"/>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long-term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4.375% Notes due June 15,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November 15, 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6.500% Notes due February 15, 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3.875% Notes due May 15, 2032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6.250% Notes due January 15, 2033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debt issuance costs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i/>
          <w:color w:val="000000"/>
          <w:sz w:val="20"/>
        </w:rPr>
        <w:t>Senior Notes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Each of these notes are senior unsecured obligations of the Parent corporation, Molina Healthcare, Inc., and rank equally in right of payment with all existing and future senior debt, and senior to all existing and future subordinated debt of Molina Healthcare, Inc. The senior note indentures contain customary non-financial covenants and change of control provisions. As of June 30, 2026, we were in compliance with all non-financial covenants in the indentures governing the senior notes.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indentures governing the senior notes contain cross-default provisions that are triggered upon default by us or any of our subsidiaries on any indebtedness in excess of the amount specified in the applicable indenture. As discussed below, no amounts were outstanding under the Credit Agreement as of June 30, 2026, so there is no risk of a cross-default under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Credit Agreement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party to a Credit Agreement (the “Credit Agreement”) which includes a revolving credit facility (“Credit Facility”) of $1.25 billion, a $15 million swingline sub-facility, a $100 million letter of credit sub-facility, as well as uncommitted capacity to incur incremental term loans to finance certain acquisitions up to $800 million.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 The Credit Agreement has a term of five years, and all amounts outstanding will be due and payable on November 20, 2030.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Credit Agreement contains customary non-financial and financial covenants, including maintenance of a minimum Interest Coverage Ratio threshold of 3.0 to 1.0, and a maximum Consolidated Total Debt to Capital Ratio of 60%, with a step-up to 65% for four fiscal quarters following a material acquisition or series of related acquisitions (i.e., $500 million or greater cash consideration). We executed an amendment to the Credit Agreement on February 4, 2026 that temporarily reduces the Interest Coverage Ratio threshold to (a) with respect to each fiscal quarter ending March 31, 2026 through and including December 31, 2026, 1.75:1.00, (b) with respect to fiscal quarter ending March 31, 2027, 2.00:1.00, (c) with respect to fiscal quarter ending June 30, 2027, 2.50:1.00 and (d) with respect to fiscal quarter ending September 30, 2027, 2.75:1.00. As of June 30, 2026, we were in compliance with all non-financial and financial covenants under the Credit Agreement.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no amount was outstanding under the Credit Agreement.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8. Segments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currently have four reportable segments consisting of: 1) Medicaid; 2) Medicare; 3) Marketplace; and 4) Other. Our reportable segments are consistent with how we currently manage the business and view the markets we 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15</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commercial portion of the business acquired in connection with the ConnectiCare transaction that closed effective February 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pStyle w:val="TextBody"/>
        <w:bidi w:val="0"/>
        <w:spacing w:before="120" w:after="120"/>
        <w:jc w:val="left"/>
        <w:rPr/>
      </w:pPr>
      <w:r>
        <w:rPr/>
      </w:r>
    </w:p>
    <w:tbl>
      <w:tblPr>
        <w:tblW w:w="8863" w:type="dxa"/>
        <w:jc w:val="left"/>
        <w:tblInd w:w="0" w:type="dxa"/>
        <w:tblLayout w:type="fixed"/>
        <w:tblCellMar>
          <w:top w:w="28" w:type="dxa"/>
          <w:left w:w="28" w:type="dxa"/>
          <w:bottom w:w="28" w:type="dxa"/>
          <w:right w:w="28" w:type="dxa"/>
        </w:tblCellMar>
      </w:tblPr>
      <w:tblGrid>
        <w:gridCol w:w="1075"/>
        <w:gridCol w:w="946"/>
        <w:gridCol w:w="949"/>
        <w:gridCol w:w="211"/>
        <w:gridCol w:w="616"/>
        <w:gridCol w:w="109"/>
        <w:gridCol w:w="109"/>
        <w:gridCol w:w="109"/>
        <w:gridCol w:w="109"/>
        <w:gridCol w:w="211"/>
        <w:gridCol w:w="616"/>
        <w:gridCol w:w="109"/>
        <w:gridCol w:w="109"/>
        <w:gridCol w:w="109"/>
        <w:gridCol w:w="109"/>
        <w:gridCol w:w="282"/>
        <w:gridCol w:w="623"/>
        <w:gridCol w:w="146"/>
        <w:gridCol w:w="109"/>
        <w:gridCol w:w="109"/>
        <w:gridCol w:w="109"/>
        <w:gridCol w:w="211"/>
        <w:gridCol w:w="25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16</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tbl>
      <w:tblPr>
        <w:tblW w:w="8968" w:type="dxa"/>
        <w:jc w:val="left"/>
        <w:tblInd w:w="0" w:type="dxa"/>
        <w:tblLayout w:type="fixed"/>
        <w:tblCellMar>
          <w:top w:w="28" w:type="dxa"/>
          <w:left w:w="28" w:type="dxa"/>
          <w:bottom w:w="28" w:type="dxa"/>
          <w:right w:w="28" w:type="dxa"/>
        </w:tblCellMar>
      </w:tblPr>
      <w:tblGrid>
        <w:gridCol w:w="1075"/>
        <w:gridCol w:w="946"/>
        <w:gridCol w:w="949"/>
        <w:gridCol w:w="211"/>
        <w:gridCol w:w="616"/>
        <w:gridCol w:w="109"/>
        <w:gridCol w:w="109"/>
        <w:gridCol w:w="109"/>
        <w:gridCol w:w="109"/>
        <w:gridCol w:w="211"/>
        <w:gridCol w:w="616"/>
        <w:gridCol w:w="109"/>
        <w:gridCol w:w="109"/>
        <w:gridCol w:w="109"/>
        <w:gridCol w:w="109"/>
        <w:gridCol w:w="236"/>
        <w:gridCol w:w="691"/>
        <w:gridCol w:w="124"/>
        <w:gridCol w:w="109"/>
        <w:gridCol w:w="109"/>
        <w:gridCol w:w="109"/>
        <w:gridCol w:w="211"/>
        <w:gridCol w:w="36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68" w:type="dxa"/>
        <w:jc w:val="left"/>
        <w:tblInd w:w="0" w:type="dxa"/>
        <w:tblLayout w:type="fixed"/>
        <w:tblCellMar>
          <w:top w:w="28" w:type="dxa"/>
          <w:left w:w="28" w:type="dxa"/>
          <w:bottom w:w="28" w:type="dxa"/>
          <w:right w:w="28" w:type="dxa"/>
        </w:tblCellMar>
      </w:tblPr>
      <w:tblGrid>
        <w:gridCol w:w="1075"/>
        <w:gridCol w:w="946"/>
        <w:gridCol w:w="949"/>
        <w:gridCol w:w="211"/>
        <w:gridCol w:w="721"/>
        <w:gridCol w:w="109"/>
        <w:gridCol w:w="109"/>
        <w:gridCol w:w="109"/>
        <w:gridCol w:w="109"/>
        <w:gridCol w:w="211"/>
        <w:gridCol w:w="616"/>
        <w:gridCol w:w="109"/>
        <w:gridCol w:w="109"/>
        <w:gridCol w:w="109"/>
        <w:gridCol w:w="109"/>
        <w:gridCol w:w="236"/>
        <w:gridCol w:w="691"/>
        <w:gridCol w:w="124"/>
        <w:gridCol w:w="109"/>
        <w:gridCol w:w="109"/>
        <w:gridCol w:w="109"/>
        <w:gridCol w:w="211"/>
        <w:gridCol w:w="25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17</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tbl>
      <w:tblPr>
        <w:tblW w:w="9073" w:type="dxa"/>
        <w:jc w:val="left"/>
        <w:tblInd w:w="0" w:type="dxa"/>
        <w:tblLayout w:type="fixed"/>
        <w:tblCellMar>
          <w:top w:w="28" w:type="dxa"/>
          <w:left w:w="28" w:type="dxa"/>
          <w:bottom w:w="28" w:type="dxa"/>
          <w:right w:w="28" w:type="dxa"/>
        </w:tblCellMar>
      </w:tblPr>
      <w:tblGrid>
        <w:gridCol w:w="1075"/>
        <w:gridCol w:w="946"/>
        <w:gridCol w:w="949"/>
        <w:gridCol w:w="211"/>
        <w:gridCol w:w="721"/>
        <w:gridCol w:w="109"/>
        <w:gridCol w:w="109"/>
        <w:gridCol w:w="109"/>
        <w:gridCol w:w="109"/>
        <w:gridCol w:w="211"/>
        <w:gridCol w:w="616"/>
        <w:gridCol w:w="109"/>
        <w:gridCol w:w="109"/>
        <w:gridCol w:w="109"/>
        <w:gridCol w:w="109"/>
        <w:gridCol w:w="236"/>
        <w:gridCol w:w="691"/>
        <w:gridCol w:w="124"/>
        <w:gridCol w:w="109"/>
        <w:gridCol w:w="109"/>
        <w:gridCol w:w="109"/>
        <w:gridCol w:w="211"/>
        <w:gridCol w:w="36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Medicare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revenues </w:t>
            </w:r>
            <w:r>
              <w:rPr>
                <w:rFonts w:ascii="Arial;sans-serif" w:hAnsi="Arial;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operating expenses </w:t>
            </w:r>
            <w:r>
              <w:rPr>
                <w:rFonts w:ascii="Arial;sans-serif" w:hAnsi="Arial;sans-serif"/>
                <w:b w:val="false"/>
                <w:color w:val="000000"/>
                <w:sz w:val="12"/>
              </w:rPr>
              <w:t>(2)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Margin: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(1)Other operating revenues include premium tax revenue, investment income, and certain other revenue.</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(2)Other operating expenses include general and administrative expenses, premium tax expenses, depreciation and amortization, impairment, and certain other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 xml:space="preserve">9. Commitments and Contingencies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October 3, 2025, a securities class action, captioned Hindlemann v. Molina Healthcare, Inc., et al., was filed in the United States District Court for the Central District of California (the “Securities Action”). The Securities Action was brought on behalf of a putative class who acquired Company securities between February 5, 2025 and July 23, 2025. On March 31, 2026, the lead plaintiff filed a consolidated complaint, and expanded the purported class period from October 23, 2024 to February 6, 2026. The Securities Action asserts violations of federal securities laws relating to the Company’s disclosures, including those involving earnings guidance. On June 5, 2026, the Company filed a motion to dismiss the consolidated complaint. The hearing on that motion is scheduled for September 2, 2026. On December 12, 2025, a shareholder derivative suit, captioned Taylor v. Wolf, et al., was filed in the United States District Court for the Central District of California against the Company’s directors and certain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18</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pPr>
      <w:r>
        <w:rPr>
          <w:rFonts w:ascii="Arial;sans-serif" w:hAnsi="Arial;sans-serif"/>
          <w:b w:val="false"/>
          <w:color w:val="000000"/>
          <w:sz w:val="20"/>
        </w:rPr>
        <w:t>(“Derivative Action”). The Derivative Action asserts claims for breach of fiduciary duty and violation of securities laws in connection with the same statements and events at issue in the Securities Action. On June 2, 2026, the Court stayed the Derivative Action pending resolution of the Securities Action. The Company intends to vigorously contest both matters, and cannot predict the outcome or provide a reasonable estimate of possible liability, if any.</w:t>
      </w:r>
      <w:r>
        <w:rPr>
          <w:color w:val="000000"/>
        </w:rPr>
        <w:t xml:space="preserv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19</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MANAGEMENT’S DISCUSSION AND ANALYSIS OF FINANCIAL CONDITION AND RESULTS OF OPERATIONS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FORWARD-LOOKING STATEMENTS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“assumes,”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legislative and regulatory developments and their potential impact, business strategy, strategic transactions and commercial arrangements, market and offering changes, membership, medical cost and market trends and our objectives for future operations. Readers are cautioned not to place undue reliance on any forward-looking statements, as the future is inherently unpredictable. Thus, forward-looking statements are not guarantees of future performance and the Company’s actual results may differ significantly due to numerous known and unknown risks and uncertainties.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Those known risks and uncertainties include, but are not limited to, the risk factors identified in the section titled “Risk Factors” in our 2025 Annual Report on Form 10-K, including without limitation risks related to the following matters: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Medicaid, Medicare, or Marketplace capitation rates that are insufficient to fully cover our medical care costs and/or the rates of utilization and the health acuity status of our members, including without limitation inpatient and outpatient costs, pharmacy costs, and behavioral health care costs, and insufficient rate increases that do not keep pace with or catch up to the medical care cost trend;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federal or state legislative or regulatory changes, including changes effected by, or negative public perceptions of the Medicaid program created by, the One Big Beautiful Bill Act, or changes effected through Executive Orders or HHS/CMS administrative agency rulemaking with regard to the Medicaid, Medicare, or Marketplace programs, including potential reductions in Medicaid funding, political pressures directed at the health insurance industry regarding managed care and prior authorization practices, advocacy for and potential implementation of aspects of the so-called Great Healthcare Plan, changes to the federal matching percentage paid to states, the implementation of Medicaid work requirements, block grants or per capita caps, the reduction or elimination of provider taxes, uncertainty regarding the status or effect of Marketplace subsidies, the implementation of new program integrity rules, insufficient Medicare Advantage rate adjustments, new rules pertaining to Medicare Risk Adjustment Data Validation, or amendments of the Affordable Care Act (“ACA”);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budget pressures on state governments, CMS’ withholding of FMAP payments to states based on allegations of fraud, and states’ efforts to reduce rates and limit rate increases to avoid budget deficits;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evolving Marketplace dynamics including issues impacting enrollment, special enrollment periods, member choice, premium subsidies, broker rates, risk adjustment estimates and results, Marketplace plan insolvencies or receiverships, and the potential for disproportionate enrollment of higher acuity members;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success of our efforts to retain existing or awarded government contracts, the success of our bid submissions in response to requests for proposal, our ability to identify merger and acquisition targets to support our continued growth over time at projected levels, and our ability to realize the full amount of our embedded earnings;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success of the scaling up of our operations in new states in connection with request for proposal wins, including our new Florida Kids program contract and operations, and the satisfaction of all readiness review requirements under the new Medicaid contracts;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integrate our acquisitions and realize expected benefits and limit our liabilities as projected;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subsequent adjustments to reported premium revenue based upon subsequent developments or new information, including retroactive Medicaid rate adjustments in a state or changes to estimated amounts payable or receivable related to Marketplace risk adjustment;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effective management of our medical costs, and the accurate estimation of incurred but not reported or paid medical costs across our health plans;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our ability to predict with a reasonable degree of accuracy utilization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20</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cyber-attacks, ransomware attacks, or other privacy or data security incidents involving either ourselves or our contracted vendors, that result in an inadvertent unauthorized disclosure of protected information or operational delays;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ability to manage our operations, including maintaining and creating adequate internal systems and controls relating to authorizations, approvals, provider payments, and the overall success of our care management initiatives;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operational improvements, efficiencies, and cost savings that are less than anticipated, or that result in unforeseen consequences, from our investments in artificial intelligence (“AI”) administrative tools and initiatives;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the impact of our working in a remote work environment;</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our receipt of rates adequate to support increasing pharmacy costs, including costs associated with specialty drugs and costs resulting from formulary changes that allow the option of higher-priced non-generic drugs;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interpretation, implementation, and estimates of amounts owed for federal or state medical cost expenditure floors, administrative cost and profit ceilings, premium stabilization programs, profit-sharing arrangements, and risk adjustment provisions and requirements;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interpretation and implementation of at-risk premium rules and state contract performance requirements regarding the achievement of certain quality measures, and our ability to recognize revenue amounts associated therewith;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CMS into state-administered Medicaid programs;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changes in our annual effective tax rate due to federal and/or state legislation, or changes in our mix of earnings and other factors;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efficient and effective operations of the vendors on whom our business relies;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complications, member confusion, or enrollment backlogs related to the renewal of Medicaid coverage;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fraud, waste and abuse matters, including the recent expressions of a federal crackdown on Medicaid fraud in certain of the states in which we operate, government audits, reviews, investigations, or comment letters, and any fine, sanction, enrollment freeze, debarment, corrective action plan, monitoring program, or premium recovery that may result therefrom;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success of our providers, including delegated providers, the adequacy of our provider networks, the successful maintenance of relations with our providers, the accuracy of our provider directories incidental to provider turnover and network changes, and potential medical or pharmaceutical supply shortfalls suffered by our providers incidental to the implementation of tariffs;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approval by state regulators of dividends and distributions by our health plan subsidiaries;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high dollar claims related to catastrophic illness;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favorable resolution of litigation, arbitration, or administrative proceedings consistent with our expectations;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greater scale and revenues of our health plans in California, New York, Texas, and Washington, and risks related to the concentration of our business in those states;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failure to comply with the financial or other covenants in the Credit Agreement (as defined below) or the indentures governing our outstanding senior notes;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availability of adequate financing on acceptable terms to fund and capitalize our expansion and growth, and to meet our general liquidity needs;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failure of a state in which we operate to renew its federal Medicaid waiver;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risks associated with vaccine hesitancy and the potential for a new epidemic or pandemic, including risks presented by the flu, measles, or other contagious diseases;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changes generally affecting the managed care industry, including any new federal or state legislation that impacts the business space in which we operate, or negative perceptions that may arise about managed care practices or government healthcare programs;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increases in government surcharges, taxes, and assessments;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impact of inflation on our medical costs and the cost of refinancing our outstanding indebtedness;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the unexpected loss of the leadership of one or more of our senior executives; and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increasing competition and consolidation in the Medicaid or general healthcare sector.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21</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22</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Molina Healthcare, Inc., a FORTUNE 500 company, provides managed healthcare services under the Medicaid and Medicare programs, and through the state insurance marketplaces (the “Marketplace”). We served approximately 4.9 million members as of June 30, 2026, located across 21 states.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SECOND QUARTER 2026 HIGHLIGHTS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reported net income of $60 million, or $1.19 per diluted share, for the second quarter of 2026, which reflected the following: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Membership of 4.9 million at June 30, 2026, which decreased 820,000, or 14%, compared with June 30, 2025, primarily due to general market contraction in Medicaid, the expiration of our Medicaid Virginia contract, and a decrease in Marketplace membership resulting from our product and pricing strategy;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Premium revenue of $10.2 billion, which decreased 6% compared with the second quarter of 2025, mainly reflects the impact of lower membership, partially offset by rate updates;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Consolidated medical care ratio (“MCR”) of 92.2% compared with 90.4% for the second quarter of 2025, as we continue to navigate a challenging medical cost environment;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General and administrative expense (“G&amp;A”) ratio of 6.7%, compared with 6.2% for the second quarter of 2025, reflecting the impact of lower premium revenues and continued operating discipline; and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Pre-tax margin of 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23</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60"/>
        <w:jc w:val="left"/>
        <w:rPr>
          <w:rFonts w:ascii="Arial;sans-serif" w:hAnsi="Arial;sans-serif"/>
          <w:b/>
          <w:color w:val="0F7C7F"/>
          <w:sz w:val="24"/>
        </w:rPr>
      </w:pPr>
      <w:r>
        <w:rPr>
          <w:rFonts w:ascii="Arial;sans-serif" w:hAnsi="Arial;sans-serif"/>
          <w:b/>
          <w:color w:val="0F7C7F"/>
          <w:sz w:val="24"/>
        </w:rPr>
        <w:t>CONSOLIDATED FINANCIAL SUMMARY</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our consolidated results of operations and other financial information for the periods indicated:</w:t>
      </w:r>
    </w:p>
    <w:tbl>
      <w:tblPr>
        <w:tblW w:w="9662" w:type="dxa"/>
        <w:jc w:val="left"/>
        <w:tblInd w:w="0" w:type="dxa"/>
        <w:tblLayout w:type="fixed"/>
        <w:tblCellMar>
          <w:top w:w="28" w:type="dxa"/>
          <w:left w:w="28" w:type="dxa"/>
          <w:bottom w:w="28" w:type="dxa"/>
          <w:right w:w="28" w:type="dxa"/>
        </w:tblCellMar>
      </w:tblPr>
      <w:tblGrid>
        <w:gridCol w:w="1385"/>
        <w:gridCol w:w="1215"/>
        <w:gridCol w:w="122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per-share amounts)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medical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 margin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 xml:space="preserve">MCR </w:t>
            </w:r>
            <w:r>
              <w:rPr>
                <w:rFonts w:ascii="Arial;sans-serif" w:hAnsi="Arial;sans-serif"/>
                <w:b w:val="false"/>
                <w:i/>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89.8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 xml:space="preserve">G&amp;A ratio </w:t>
            </w:r>
            <w:r>
              <w:rPr>
                <w:rFonts w:ascii="Arial;sans-serif" w:hAnsi="Arial;sans-serif"/>
                <w:b w:val="false"/>
                <w:i/>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tax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Key Statistics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Membership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Pre-tax margin </w:t>
            </w:r>
            <w:r>
              <w:rPr>
                <w:rFonts w:ascii="Arial;sans-serif" w:hAnsi="Arial;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    MCR represents medical care costs as a percentage of premium revenue.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(2)    G&amp;A ratio represents general and administrative expenses as a percentage of total revenue.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    Pre-tax margin represents income before income tax expense as a percentage of total revenue.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CONSOLIDATED RESULTS</w:t>
      </w:r>
    </w:p>
    <w:p>
      <w:pPr>
        <w:pStyle w:val="TextBody"/>
        <w:bidi w:val="0"/>
        <w:spacing w:lineRule="auto" w:line="288" w:before="120" w:after="120"/>
        <w:ind w:left="0" w:right="0" w:hanging="180"/>
        <w:jc w:val="left"/>
        <w:rPr>
          <w:rFonts w:ascii="Arial;sans-serif" w:hAnsi="Arial;sans-serif"/>
          <w:b/>
          <w:color w:val="828282"/>
          <w:sz w:val="20"/>
        </w:rPr>
      </w:pPr>
      <w:r>
        <w:rPr>
          <w:rFonts w:ascii="Arial;sans-serif" w:hAnsi="Arial;sans-serif"/>
          <w:b/>
          <w:color w:val="828282"/>
          <w:sz w:val="20"/>
        </w:rPr>
        <w:t>NET INCOME AND OPERATING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income in the second quarter of 2026 amounted to $60 million, or $1.19 per diluted share, compared with $255 million, or $4.75 per diluted share, in the second quarter of 2025. Net income in the six months ended June 30, 2026 amounted to $74 million, or $1.46 per diluted share, compared with $553 million, or $10.19 per diluted share, in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24</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decreased to $145 million in the second quarter of 2026, compared with $373 million in the second quarter of 2025. Operating income in the six months ended June 30, 2026 decreased to $228 million, compared with $806 million in the six months ended June 30,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change in operating income was mainly due to the impact of lower premium revenue, the increase in MCR, and the $93 million impairment charge related to our planned exit of the MAPD product in 2027 that was recorded in the first quarter of 2026.</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PREMIUM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Premium revenue decreased $624 million, or 6%, in the second quarter of 2026, when compared with the second quarter of 2025, and decreased $1.1 billion, or 5%, in the six months ended June 30, 2026, when compared with the six months ended June 30, 2025. The lower premium revenue in both periods reflects the impact of lower membership, partially offset by rate updates. See further discussion in “Reportable Segments—Segment Financial Performance,” below.</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MEDICAL CARE RATIO</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consolidated MCR in the second quarter of 2026 increased to 92.2%, compared with 90.4% in the second quarter of 2025, or 180 basis points, and the consolidated MCR in the six months ended June 30, 2026 increased to 91.6%, compared with 89.8% MCR for the six months ended June 30, 2025, or 180 basis points. The increase in both periods reflects a higher MCR in all of our segments, as we continue to navigate a challenging medical cost environment. See further discussion in “Reportable Segments—Segment Financial Performance,” below.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impact of prior year reserve development in the six months ended June 30, 2026 was mostly absorbed by minimum MLRs and medical cost corridors.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PREMIUM TAX REVENUE AND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premium tax ratio (premium tax expense as a percentage of premium revenue plus premium tax revenue) was 4.7% and 3.8% for the second quarter of 2026 and 2025, respectively, and 4.7% and 3.7% for the six months ended June 30, 2026 and 2025, respectively. The current year ratio changes were mainly due to state mix changes in our Medicaid segment.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INVESTMENT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Investment income decreased to $101 million in the second quarter of 2026, compared with $106 million in the second quarter of 2025, and decreased to $199 million in the six months ended June 30, 2026, compared with $214 million in the six months ended June 30, 2025. The decrease was mainly attributable to a decline in prevailing interest rates and investment yields.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OTHER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Other revenue amounted to $24 million in the second quarter of 2026, compared with $22 million in the second quarter of 2025, and totaled $46 million in the six months ended June 30, 2026, compared with $45 million in the six months ended June 30, 2025. Other revenue mainly includes service revenue associated with long-term services and supports consultative services we provide in Wisconsin.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G&amp;A EXPENSES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G&amp;A expense ratio was 6.7% in the second quarter of 2026, compared with 6.2% in the second quarter of 2025. The G&amp;A expense ratio was 6.9% in the six months ended June 30, 2026, compared with 6.6% in the six months ended June 30, 2025. The change in G&amp;A ratios reflect the impact of lower premium revenues and continued operating discipline.</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DEPRECIATION AND AMORTIZATION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Depreciation and amortization was $40 million in the second quarter of 2026, compared with $58 million in the second quarter of 2025, and was $79 million in the six months ended June 30, 2026, compared with $106 million in the six months ended June 30, 2025. The decrease is due to certain intangibles becoming fully amortized.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IMPAIRMENT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the first quarter of 2026, we recognized an impairment of $93 million on intangible assets due to our strategic shift to focus exclusively on dual-eligible members in Medicare and plan to exit MAPD for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25</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OTHER OPERATING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operating expenses decreased by $5 million in the second quarter of 2026, compared with the second quarter of 2025, and decreased by $2 million in the six months ended June 30, 2026, compared with the six months ended June 30, 2025. Other operating expenses primarily include service costs associated with long-term services and supports consultative services we provide in Wisconsin, as noted above.</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Interest expense was $54 million and $48 million in the second quarter of 2026 and 2025, respectively, and $108 million and $91 million for the six months ended June 30, 2026 and 2025, respectively. The increase is mainly attributable to the issuance of $850 million of notes in November 2025. </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amounted to $31 million in the second quarter of 2026, or 33.5% of pretax income, compared with income tax expense of $70 million, or 21.5% of pretax income, in the second quarter of 2025. Income tax expense amounted to $46 million in the six months ended June 30, 2026, or 38.1% of pretax income, compared with income tax expense of $162 million, or 22.7% of pretax income, in the six months ended June 30, 2025. The difference in the effective tax rate is due to the impact of nondeductible expenses and unfavorable discrete tax items as a percentage of lower pretax income in 2026, net of a decrease in state and local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TRENDS AND UNCERTAINTIES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LEGISLATIVE AND REGULATORY DEVELOPMENTS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One Big Beautiful Bill Act (“OBBBA”)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President signed the OBBBA into law in July 2025, which contains changes to the Medicaid and Marketplace programs. For Medicaid, the law requires states to establish work requirements, more frequent redeterminations, and cost sharing for the Expansion program over the period from 2027 to 2029, among other modifications. These changes are expected to reduce enrollment in state Medicaid programs, but the timing and magnitude of the reductions may vary by state depending on how quickly states implement the changes, as well as macroeconomic factors since some changes are subject to suspension in case of increases in local unemployment rates. We estimate the reduction in enrollment will emerge gradually and reduce premium 2% to 3% annually through 2029, primarily in Medicaid Expansion, and any acuity shift should be minor and gradual. An estimated two-thirds of our Expansion members already work in some capacity. The law also reduces revenues that states can raise through provider taxes to finance their share of Medicaid spending and limits payments to Medicaid providers to 100 percent of the mandated Medicare rate for Expansion states and 110 percent of the Medicare rate for non-Expansion states. These changes are scheduled to begin in 2028, and we expect they may take 5 to 10 years to be fully implemented. Their impact is uncertain at this time and will depend on how states may adapt their future tax and Medicaid funding policies in response.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law limits which legal aliens may be eligible for Marketplace premium tax credits (“PTCs”) and will require pre-enrollment eligibility verification for enrollees to receive PTCs. These changes are planned to be phased in over the period from 2026 to 2028 and are expected to reduce national Marketplace enrollment as well.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Marketplace Program Integrity and Affordability Rule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June 2025, the Department of Health and Human Services (“HHS”) finalized the Marketplace Program Integrity and Affordability Rule. The rule, among other changes, shortens the open enrollment period starting in 2027, eliminated the special enrollment period for people with incomes at or below 150% federal poverty level, and tightened eligibility verification requirements for all enrollees. Certain provisions of the Marketplace Program Integrity and Affordability Rule have been subject to legal challenges and stayed pending a final ruling. The Notice of Benefit and Payment Parameters (“NBPP”) Final Rule for the 2027 plan year reintroduces updated versions of certain of the stayed provisions, which could significantly impact the Marketplace. Certain of the provisions have been subject to legal challenge, and the outcome of these legal challenges and the long term impacts of the Marketplace Program Integrity and Affordability Rule and the NBPP Rule are uncertain. </w:t>
      </w:r>
    </w:p>
    <w:p>
      <w:pPr>
        <w:pStyle w:val="TextBody"/>
        <w:bidi w:val="0"/>
        <w:spacing w:lineRule="auto" w:line="288" w:before="0" w:after="0"/>
        <w:jc w:val="left"/>
        <w:rPr>
          <w:rFonts w:ascii="Arial;sans-serif" w:hAnsi="Arial;sans-serif"/>
          <w:b/>
          <w:color w:val="828282"/>
          <w:sz w:val="20"/>
        </w:rPr>
      </w:pPr>
      <w:r>
        <w:rPr>
          <w:rFonts w:ascii="Arial;sans-serif" w:hAnsi="Arial;sans-serif"/>
          <w:b/>
          <w:color w:val="828282"/>
          <w:sz w:val="20"/>
        </w:rPr>
        <w:t>OTHER RECENT DEVELOPMENTS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RFPs</w:t>
      </w:r>
    </w:p>
    <w:p>
      <w:pPr>
        <w:pStyle w:val="TextBody"/>
        <w:bidi w:val="0"/>
        <w:spacing w:lineRule="auto" w:line="288" w:before="120" w:after="120"/>
        <w:jc w:val="left"/>
        <w:rPr/>
      </w:pPr>
      <w:r>
        <w:rPr>
          <w:rFonts w:ascii="Arial;sans-serif" w:hAnsi="Arial;sans-serif"/>
          <w:b w:val="false"/>
          <w:i/>
          <w:color w:val="000000"/>
          <w:sz w:val="20"/>
        </w:rPr>
        <w:t>Wisconsin Procurement—Medicaid.</w:t>
      </w:r>
      <w:r>
        <w:rPr>
          <w:color w:val="000000"/>
        </w:rPr>
        <w:t xml:space="preserve"> </w:t>
      </w:r>
      <w:r>
        <w:rPr>
          <w:rFonts w:ascii="Arial;sans-serif" w:hAnsi="Arial;sans-serif"/>
          <w:b w:val="false"/>
          <w:color w:val="000000"/>
          <w:sz w:val="20"/>
        </w:rPr>
        <w:t xml:space="preserve">In July 2026, the Wisconsin Department of Health Services issued a notice of intent to award a contract to provide services under the Family Care and Family Care Partnership programs in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26</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Geographic Service Region 3 to our Wisconsin health plan. The new contract is expected to begin on January 1, 2027 with an expected duration of one year, with an option to renew for an additional seven, one-year renewals. </w:t>
      </w:r>
    </w:p>
    <w:p>
      <w:pPr>
        <w:pStyle w:val="TextBody"/>
        <w:bidi w:val="0"/>
        <w:spacing w:lineRule="auto" w:line="288" w:before="120" w:after="120"/>
        <w:jc w:val="left"/>
        <w:rPr/>
      </w:pPr>
      <w:r>
        <w:rPr>
          <w:rFonts w:ascii="Arial;sans-serif" w:hAnsi="Arial;sans-serif"/>
          <w:b w:val="false"/>
          <w:i/>
          <w:color w:val="000000"/>
          <w:sz w:val="20"/>
        </w:rPr>
        <w:t xml:space="preserve">Illinois Procurement—Medicaid. </w:t>
      </w:r>
      <w:r>
        <w:rPr>
          <w:rFonts w:ascii="Arial;sans-serif" w:hAnsi="Arial;sans-serif"/>
          <w:b w:val="false"/>
          <w:color w:val="000000"/>
          <w:sz w:val="20"/>
        </w:rPr>
        <w:t xml:space="preserve">In June 2026, the Illinois Department of Healthcare and Family Services awarded a HealthChoice Illinois Medicaid Managed Care program contract to our Illinois health plan. The go-live date for the new contract is expected to be January 1, 2027. The contract is expected to have a duration of four-and-a-half years, with the option to extend the contract up to an additional five-and-a-half years at the discretion of the state. </w:t>
      </w:r>
    </w:p>
    <w:p>
      <w:pPr>
        <w:pStyle w:val="TextBody"/>
        <w:bidi w:val="0"/>
        <w:spacing w:lineRule="auto" w:line="288" w:before="120" w:after="120"/>
        <w:jc w:val="left"/>
        <w:rPr/>
      </w:pPr>
      <w:r>
        <w:rPr>
          <w:rFonts w:ascii="Arial;sans-serif" w:hAnsi="Arial;sans-serif"/>
          <w:b w:val="false"/>
          <w:i/>
          <w:color w:val="000000"/>
          <w:sz w:val="20"/>
        </w:rPr>
        <w:t xml:space="preserve">Idaho Procurement—Medicaid and Medicare. </w:t>
      </w:r>
      <w:r>
        <w:rPr>
          <w:rFonts w:ascii="Arial;sans-serif" w:hAnsi="Arial;sans-serif"/>
          <w:b w:val="false"/>
          <w:color w:val="000000"/>
          <w:sz w:val="20"/>
        </w:rPr>
        <w:t xml:space="preserve">Our new contract commenced on January 1, 2026. </w:t>
      </w:r>
    </w:p>
    <w:p>
      <w:pPr>
        <w:pStyle w:val="TextBody"/>
        <w:bidi w:val="0"/>
        <w:spacing w:lineRule="auto" w:line="288" w:before="120" w:after="120"/>
        <w:jc w:val="left"/>
        <w:rPr/>
      </w:pPr>
      <w:r>
        <w:rPr>
          <w:rFonts w:ascii="Arial;sans-serif" w:hAnsi="Arial;sans-serif"/>
          <w:b w:val="false"/>
          <w:i/>
          <w:color w:val="000000"/>
          <w:sz w:val="20"/>
        </w:rPr>
        <w:t xml:space="preserve">Michigan Procurement—Medicare. </w:t>
      </w:r>
      <w:r>
        <w:rPr>
          <w:rFonts w:ascii="Arial;sans-serif" w:hAnsi="Arial;sans-serif"/>
          <w:b w:val="false"/>
          <w:color w:val="000000"/>
          <w:sz w:val="20"/>
        </w:rPr>
        <w:t>Our new contract commenced on January 1, 2026 in select regions.</w:t>
      </w:r>
    </w:p>
    <w:p>
      <w:pPr>
        <w:pStyle w:val="TextBody"/>
        <w:bidi w:val="0"/>
        <w:spacing w:lineRule="auto" w:line="288" w:before="120" w:after="120"/>
        <w:jc w:val="left"/>
        <w:rPr/>
      </w:pPr>
      <w:r>
        <w:rPr>
          <w:rFonts w:ascii="Arial;sans-serif" w:hAnsi="Arial;sans-serif"/>
          <w:b w:val="false"/>
          <w:i/>
          <w:color w:val="000000"/>
          <w:sz w:val="20"/>
        </w:rPr>
        <w:t>Massachusetts Procurement—Medicare.</w:t>
      </w:r>
      <w:r>
        <w:rPr>
          <w:color w:val="000000"/>
        </w:rPr>
        <w:t xml:space="preserve"> </w:t>
      </w:r>
      <w:r>
        <w:rPr>
          <w:rFonts w:ascii="Arial;sans-serif" w:hAnsi="Arial;sans-serif"/>
          <w:b w:val="false"/>
          <w:color w:val="000000"/>
          <w:sz w:val="20"/>
        </w:rPr>
        <w:t>Our new contract commenced on January 1, 2026.</w:t>
      </w:r>
    </w:p>
    <w:p>
      <w:pPr>
        <w:pStyle w:val="TextBody"/>
        <w:bidi w:val="0"/>
        <w:spacing w:lineRule="auto" w:line="288" w:before="120" w:after="120"/>
        <w:jc w:val="left"/>
        <w:rPr/>
      </w:pPr>
      <w:r>
        <w:rPr>
          <w:rFonts w:ascii="Arial;sans-serif" w:hAnsi="Arial;sans-serif"/>
          <w:b w:val="false"/>
          <w:i/>
          <w:color w:val="000000"/>
          <w:sz w:val="20"/>
        </w:rPr>
        <w:t xml:space="preserve">Ohio Procurement—Medicare. </w:t>
      </w:r>
      <w:r>
        <w:rPr>
          <w:rFonts w:ascii="Arial;sans-serif" w:hAnsi="Arial;sans-serif"/>
          <w:b w:val="false"/>
          <w:color w:val="000000"/>
          <w:sz w:val="20"/>
        </w:rPr>
        <w:t>Our new contract commenced on January 1, 2026.</w:t>
      </w:r>
    </w:p>
    <w:p>
      <w:pPr>
        <w:pStyle w:val="TextBody"/>
        <w:bidi w:val="0"/>
        <w:spacing w:lineRule="auto" w:line="288" w:before="120" w:after="120"/>
        <w:jc w:val="left"/>
        <w:rPr/>
      </w:pPr>
      <w:r>
        <w:rPr>
          <w:rFonts w:ascii="Arial;sans-serif" w:hAnsi="Arial;sans-serif"/>
          <w:b w:val="false"/>
          <w:i/>
          <w:color w:val="000000"/>
          <w:sz w:val="20"/>
        </w:rPr>
        <w:t xml:space="preserve">Florida Procurement—Medicaid. </w:t>
      </w:r>
      <w:r>
        <w:rPr>
          <w:rFonts w:ascii="Arial;sans-serif" w:hAnsi="Arial;sans-serif"/>
          <w:b w:val="false"/>
          <w:color w:val="000000"/>
          <w:sz w:val="20"/>
        </w:rPr>
        <w:t xml:space="preserve">In November 2025, the Florida Agency for Health Care Administration issued a Notice of Agency Decision that it intends to award a contract to provide Statewide Medicaid Managed services to enrollees of the Title XIX and Title XXI Children’s Medical Services Program (“Florida Kids”) to our Florida health plan. We are the sole plan selected and expect to serve approximately 120,000 enrollees. The contract is expected to commence on October 1, 2026, and is expected to run through January 2030. </w:t>
      </w:r>
    </w:p>
    <w:p>
      <w:pPr>
        <w:pStyle w:val="TextBody"/>
        <w:bidi w:val="0"/>
        <w:spacing w:lineRule="auto" w:line="288" w:before="120" w:after="120"/>
        <w:jc w:val="left"/>
        <w:rPr/>
      </w:pPr>
      <w:r>
        <w:rPr>
          <w:rFonts w:ascii="Arial;sans-serif" w:hAnsi="Arial;sans-serif"/>
          <w:b w:val="false"/>
          <w:i/>
          <w:color w:val="000000"/>
          <w:sz w:val="20"/>
        </w:rPr>
        <w:t xml:space="preserve">Wisconsin Procurement—Medicaid. </w:t>
      </w:r>
      <w:r>
        <w:rPr>
          <w:rFonts w:ascii="Arial;sans-serif" w:hAnsi="Arial;sans-serif"/>
          <w:b w:val="false"/>
          <w:color w:val="000000"/>
          <w:sz w:val="20"/>
        </w:rPr>
        <w:t xml:space="preserve">In August 2025, the Wisconsin Department of Health Services awarded a contract to provide services under the Family Care and Family Care Partnership programs in its Geographic Service Regions 2 and 7 to our Wisconsin health plan. The contract commenced on January 1, 2026 and is expected to have a duration of two years, with an option for three two-year extensions. </w:t>
      </w:r>
    </w:p>
    <w:p>
      <w:pPr>
        <w:pStyle w:val="TextBody"/>
        <w:bidi w:val="0"/>
        <w:spacing w:lineRule="auto" w:line="288" w:before="120" w:after="120"/>
        <w:jc w:val="left"/>
        <w:rPr/>
      </w:pPr>
      <w:r>
        <w:rPr>
          <w:rFonts w:ascii="Arial;sans-serif" w:hAnsi="Arial;sans-serif"/>
          <w:b w:val="false"/>
          <w:i/>
          <w:color w:val="000000"/>
          <w:sz w:val="20"/>
        </w:rPr>
        <w:t xml:space="preserve">Nevada Procurement—Medicaid. </w:t>
      </w:r>
      <w:r>
        <w:rPr>
          <w:rFonts w:ascii="Arial;sans-serif" w:hAnsi="Arial;sans-serif"/>
          <w:b w:val="false"/>
          <w:color w:val="000000"/>
          <w:sz w:val="20"/>
        </w:rPr>
        <w:t>In March 2025, the Nevada Department of Health and Human Services Division of Health Care Financing and Policy awarded a Medicaid and Children’s Health Insurance Program managed care contracts to our Nevada health plan. The new contract will cover Urban Clark and Urban Washoe. The new contract commenced on January 1, 2026 and will run through December 31, 2030, with one two-year extension.</w:t>
      </w:r>
    </w:p>
    <w:p>
      <w:pPr>
        <w:pStyle w:val="TextBody"/>
        <w:bidi w:val="0"/>
        <w:spacing w:lineRule="auto" w:line="288" w:before="120" w:after="120"/>
        <w:jc w:val="left"/>
        <w:rPr/>
      </w:pPr>
      <w:r>
        <w:rPr>
          <w:rFonts w:ascii="Arial;sans-serif" w:hAnsi="Arial;sans-serif"/>
          <w:b w:val="false"/>
          <w:i/>
          <w:color w:val="000000"/>
          <w:sz w:val="20"/>
        </w:rPr>
        <w:t xml:space="preserve">Illinois Procurement—Medicare. </w:t>
      </w:r>
      <w:r>
        <w:rPr>
          <w:rFonts w:ascii="Arial;sans-serif" w:hAnsi="Arial;sans-serif"/>
          <w:b w:val="false"/>
          <w:color w:val="000000"/>
          <w:sz w:val="20"/>
        </w:rPr>
        <w:t>In March 2025,</w:t>
      </w:r>
      <w:r>
        <w:rPr>
          <w:color w:val="000000"/>
        </w:rPr>
        <w:t xml:space="preserve"> </w:t>
      </w:r>
      <w:r>
        <w:rPr>
          <w:rFonts w:ascii="Arial;sans-serif" w:hAnsi="Arial;sans-serif"/>
          <w:b w:val="false"/>
          <w:color w:val="000000"/>
          <w:sz w:val="20"/>
        </w:rPr>
        <w:t>the Illinois Department of Healthcare and Family Services awarded a contract to provide a Fully Integrated Dual Eligible Special Needs Plan to our Illinois health plan. This contract will replace the state’s Medicare-Medicaid Alignment Initiative demonstration program. The new contract commenced on January 1, 2026. The contract is expected to have an initial term of four years, with the option to extend the contract from the initial term so long as the total contract term does not exceed ten years.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Business Trends</w:t>
      </w:r>
    </w:p>
    <w:p>
      <w:pPr>
        <w:pStyle w:val="TextBody"/>
        <w:bidi w:val="0"/>
        <w:spacing w:lineRule="auto" w:line="288" w:before="120" w:after="120"/>
        <w:jc w:val="left"/>
        <w:rPr/>
      </w:pPr>
      <w:r>
        <w:rPr>
          <w:rFonts w:ascii="Arial;sans-serif" w:hAnsi="Arial;sans-serif"/>
          <w:b w:val="false"/>
          <w:i/>
          <w:color w:val="000000"/>
          <w:sz w:val="20"/>
        </w:rPr>
        <w:t xml:space="preserve">Medicaid. </w:t>
      </w:r>
      <w:r>
        <w:rPr>
          <w:rFonts w:ascii="Arial;sans-serif" w:hAnsi="Arial;sans-serif"/>
          <w:b w:val="false"/>
          <w:color w:val="000000"/>
          <w:sz w:val="20"/>
        </w:rPr>
        <w:t xml:space="preserve">We expect our Medicaid enrollment to decrease in 2026, to a total of 4.5 million members by the end of the year, due to general market contraction. The associated revenue loss from the additional member attrition is expected to be offset by higher revenue in Marketplace, as discussed below. </w:t>
      </w:r>
    </w:p>
    <w:p>
      <w:pPr>
        <w:pStyle w:val="TextBody"/>
        <w:bidi w:val="0"/>
        <w:spacing w:lineRule="auto" w:line="288" w:before="120" w:after="120"/>
        <w:jc w:val="left"/>
        <w:rPr/>
      </w:pPr>
      <w:r>
        <w:rPr>
          <w:rFonts w:ascii="Arial;sans-serif" w:hAnsi="Arial;sans-serif"/>
          <w:b w:val="false"/>
          <w:i/>
          <w:color w:val="000000"/>
          <w:sz w:val="20"/>
        </w:rPr>
        <w:t xml:space="preserve">MMP Transition—Medicare. </w:t>
      </w:r>
      <w:r>
        <w:rPr>
          <w:rFonts w:ascii="Arial;sans-serif" w:hAnsi="Arial;sans-serif"/>
          <w:b w:val="false"/>
          <w:color w:val="000000"/>
          <w:sz w:val="20"/>
        </w:rPr>
        <w:t>On January 1, 2026, we successfully completed the transition of Medicare-Medicaid Plan (“MMP”) members in five states (Illinois, Michigan, Ohio, South Carolina, and Texas) to new integrated dual eligible special needs plans, which totaled approximately $1.9 billion in total premium revenue in 2025. Our duals business will be the long-term strategic focus for our Medicare segment. As previously mentioned, we will exit the MAPD product in 2027.</w:t>
      </w:r>
    </w:p>
    <w:p>
      <w:pPr>
        <w:pStyle w:val="TextBody"/>
        <w:bidi w:val="0"/>
        <w:spacing w:lineRule="auto" w:line="288" w:before="120" w:after="120"/>
        <w:jc w:val="left"/>
        <w:rPr/>
      </w:pPr>
      <w:r>
        <w:rPr>
          <w:rFonts w:ascii="Arial;sans-serif" w:hAnsi="Arial;sans-serif"/>
          <w:b w:val="false"/>
          <w:i/>
          <w:color w:val="000000"/>
          <w:sz w:val="20"/>
        </w:rPr>
        <w:t>Medicare.</w:t>
      </w:r>
      <w:r>
        <w:rPr>
          <w:color w:val="000000"/>
        </w:rPr>
        <w:t xml:space="preserve"> </w:t>
      </w:r>
      <w:r>
        <w:rPr>
          <w:rFonts w:ascii="Arial;sans-serif" w:hAnsi="Arial;sans-serif"/>
          <w:b w:val="false"/>
          <w:color w:val="000000"/>
          <w:sz w:val="20"/>
        </w:rPr>
        <w:t>We continue to expect our Medicare enrollment to decrease by approximately 12% in 2026, including further reductions in MAPD membership aimed at improving margins to a total of 230,000 members by the end of the year. In 2026, we are participating in Medicare in all our markets except Florida.</w:t>
      </w:r>
    </w:p>
    <w:p>
      <w:pPr>
        <w:pStyle w:val="TextBody"/>
        <w:bidi w:val="0"/>
        <w:spacing w:lineRule="auto" w:line="288" w:before="120" w:after="283"/>
        <w:jc w:val="left"/>
        <w:rPr/>
      </w:pPr>
      <w:r>
        <w:rPr>
          <w:rFonts w:ascii="Arial;sans-serif" w:hAnsi="Arial;sans-serif"/>
          <w:b w:val="false"/>
          <w:i/>
          <w:color w:val="000000"/>
          <w:sz w:val="20"/>
        </w:rPr>
        <w:t>Marketplace.</w:t>
      </w:r>
      <w:r>
        <w:rPr>
          <w:color w:val="000000"/>
        </w:rPr>
        <w:t xml:space="preserve"> </w:t>
      </w:r>
      <w:r>
        <w:rPr>
          <w:rFonts w:ascii="Arial;sans-serif" w:hAnsi="Arial;sans-serif"/>
          <w:b w:val="false"/>
          <w:color w:val="000000"/>
          <w:sz w:val="20"/>
        </w:rPr>
        <w:t xml:space="preserve">In 2026, we are participating in the Marketplace in all our markets except Arizona, Iowa, Massachusetts, Nebraska, and New York. We now expect our Marketplace enrollment to decrease to approximately 250,000 members by the end of the year, in line with our product and pricing strategy towards restoring our target margins. We expect to make further reductions in Marketplace enrollment for 2027 towards restoring our target margins, which we estimate to result in a $1 billion decrease in Marketplace premiums compared to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27</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F7C7F"/>
          <w:sz w:val="24"/>
        </w:rPr>
      </w:pPr>
      <w:r>
        <w:rPr>
          <w:rFonts w:ascii="Arial;sans-serif" w:hAnsi="Arial;sans-serif"/>
          <w:b/>
          <w:color w:val="0F7C7F"/>
          <w:sz w:val="24"/>
        </w:rPr>
        <w:t>REPORTABLE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June 30, 2026, we served approximately 4.9 million members eligible for Medicaid, Medicare, and other government-sponsored healthcare programs for low-income families and individuals, including Marketplace members, most of whom receive government premium subsidies.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currently have four reportable segments consisting of: 1) Medicaid; 2) Medicare; 3) Marketplace; and 4) Other.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HOW WE ASSESS PERFORMANCE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derive our revenues primarily from health insurance premiums. Our primary customers are state Medicaid agencies and the federal government.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Management’s discussion and analysis of the change in medical margin is discussed below under “Segment Financial Performance.” For more information, see Notes to Consolidated Financial Statements, Note 8, “Segments.”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SEGMENT MEMBERSHIP</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membership by segment as of the dates indicated:</w:t>
      </w:r>
    </w:p>
    <w:tbl>
      <w:tblPr>
        <w:tblW w:w="5692" w:type="dxa"/>
        <w:jc w:val="left"/>
        <w:tblInd w:w="0" w:type="dxa"/>
        <w:tblLayout w:type="fixed"/>
        <w:tblCellMar>
          <w:top w:w="28" w:type="dxa"/>
          <w:left w:w="28" w:type="dxa"/>
          <w:bottom w:w="28" w:type="dxa"/>
          <w:right w:w="28" w:type="dxa"/>
        </w:tblCellMar>
      </w:tblPr>
      <w:tblGrid>
        <w:gridCol w:w="406"/>
        <w:gridCol w:w="357"/>
        <w:gridCol w:w="363"/>
        <w:gridCol w:w="488"/>
        <w:gridCol w:w="488"/>
        <w:gridCol w:w="256"/>
        <w:gridCol w:w="109"/>
        <w:gridCol w:w="109"/>
        <w:gridCol w:w="109"/>
        <w:gridCol w:w="488"/>
        <w:gridCol w:w="488"/>
        <w:gridCol w:w="391"/>
        <w:gridCol w:w="109"/>
        <w:gridCol w:w="109"/>
        <w:gridCol w:w="109"/>
        <w:gridCol w:w="488"/>
        <w:gridCol w:w="488"/>
        <w:gridCol w:w="337"/>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4,774,000 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4,926,000 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5,491,000 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5,746,000 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28</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SEGMENT FINANCIAL PERFORMANCE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summarize premium revenue, medical margin, and MCR by segment for the periods indicated (dollars in millions):</w:t>
      </w:r>
    </w:p>
    <w:tbl>
      <w:tblPr>
        <w:tblW w:w="8174" w:type="dxa"/>
        <w:jc w:val="center"/>
        <w:tblInd w:w="0" w:type="dxa"/>
        <w:tblLayout w:type="fixed"/>
        <w:tblCellMar>
          <w:top w:w="28" w:type="dxa"/>
          <w:left w:w="28" w:type="dxa"/>
          <w:bottom w:w="28" w:type="dxa"/>
          <w:right w:w="28" w:type="dxa"/>
        </w:tblCellMar>
      </w:tblPr>
      <w:tblGrid>
        <w:gridCol w:w="406"/>
        <w:gridCol w:w="357"/>
        <w:gridCol w:w="363"/>
        <w:gridCol w:w="211"/>
        <w:gridCol w:w="721"/>
        <w:gridCol w:w="109"/>
        <w:gridCol w:w="109"/>
        <w:gridCol w:w="109"/>
        <w:gridCol w:w="109"/>
        <w:gridCol w:w="211"/>
        <w:gridCol w:w="466"/>
        <w:gridCol w:w="109"/>
        <w:gridCol w:w="109"/>
        <w:gridCol w:w="109"/>
        <w:gridCol w:w="109"/>
        <w:gridCol w:w="255"/>
        <w:gridCol w:w="256"/>
        <w:gridCol w:w="271"/>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color w:val="000000"/>
              </w:rPr>
              <w:t xml:space="preserve"> </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24" w:type="dxa"/>
        <w:jc w:val="center"/>
        <w:tblInd w:w="0" w:type="dxa"/>
        <w:tblLayout w:type="fixed"/>
        <w:tblCellMar>
          <w:top w:w="28" w:type="dxa"/>
          <w:left w:w="28" w:type="dxa"/>
          <w:bottom w:w="28" w:type="dxa"/>
          <w:right w:w="28" w:type="dxa"/>
        </w:tblCellMar>
      </w:tblPr>
      <w:tblGrid>
        <w:gridCol w:w="406"/>
        <w:gridCol w:w="357"/>
        <w:gridCol w:w="363"/>
        <w:gridCol w:w="211"/>
        <w:gridCol w:w="721"/>
        <w:gridCol w:w="109"/>
        <w:gridCol w:w="109"/>
        <w:gridCol w:w="109"/>
        <w:gridCol w:w="109"/>
        <w:gridCol w:w="211"/>
        <w:gridCol w:w="616"/>
        <w:gridCol w:w="109"/>
        <w:gridCol w:w="109"/>
        <w:gridCol w:w="109"/>
        <w:gridCol w:w="109"/>
        <w:gridCol w:w="255"/>
        <w:gridCol w:w="256"/>
        <w:gridCol w:w="271"/>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Premium</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Medical</w:t>
              <w:br/>
              <w:t>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color w:val="000000"/>
              </w:rPr>
              <w:t xml:space="preserve"> </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The Other MCRs are not meaningful. </w:t>
      </w:r>
    </w:p>
    <w:p>
      <w:pPr>
        <w:pStyle w:val="TextBody"/>
        <w:bidi w:val="0"/>
        <w:spacing w:lineRule="auto" w:line="288" w:before="140" w:after="120"/>
        <w:jc w:val="left"/>
        <w:rPr>
          <w:rFonts w:ascii="Arial;sans-serif" w:hAnsi="Arial;sans-serif"/>
          <w:b/>
          <w:i/>
          <w:color w:val="000000"/>
          <w:sz w:val="20"/>
        </w:rPr>
      </w:pPr>
      <w:r>
        <w:rPr>
          <w:rFonts w:ascii="Arial;sans-serif" w:hAnsi="Arial;sans-serif"/>
          <w:b/>
          <w:i/>
          <w:color w:val="000000"/>
          <w:sz w:val="20"/>
        </w:rPr>
        <w:t>Medicaid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Medicaid premium revenue increased $20 million, or 0.2%, in the second quarter of 2026, when compared with the second quarter of 2025, but decreased $183 million, or 1%, in the six months ended June 30, 2026, when compared with the six months ended June 30, 2025. The change in both periods reflects the impact of lower membership due to general Medicaid market contraction and the expiration of our Medicaid Virginia contract effective June 30, 2025, rate updates, program changes, and member mix changes.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medical margin in our Medicaid program decreased $112 million, or 16%, in the second quarter of 2026 when compared with the second quarter of 2025, and decreased $272 million, or 18%, in the six months ended June 30, 2026 when compared with the six months ended June 30, 2025. The changes for both periods were driven by the decreased premium revenues discussed above and the increase in the MCR, as described below.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Medicaid MCR increased 140 basis points to 92.7% in the second quarter of 2026, from 91.3% in the second quarter of 2025, and increased 160 basis points to 92.4% in the six months ended June 30, 2026, from 90.8% in the six months ended June 30, 2025. The increase in both periods reflects a challenging medical cost environment, program changes, and member mix changes, partially offset by rate updates that were in effect during the six months ended June 30, 2026. The MCR is in line with our expectations.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Medicare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Medicare premium revenue decreased $43 million, or 3%, in the second quarter of 2026 compared to the second quarter of 2025, and increased $6 million, or 0.2%, in the six months ended June 30, 2026 compared to the six months ended June 30, 2025. The decrease in the second quarter mainly reflects the impact of further reductions in our MAPD footprint due to our pricing strategy aimed at improving margins. The increase in the six months ended June 30, 2026 primarily reflects changes in product mix, as we transitioned MMP members into integrated duals products, and membership growth associated with the ConnectiCare acquisition that closed on February 1, 2025, partially offset by the impact of further reductions in our MAPD footprint due to our pricing strategy aimed at improving margins.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medical margin for Medicare decreased $15 million in the second quarter of 2026, and decreased $33 million in the six months ended June 30, 2026, when compared to the same periods in 2025. The decrease in both periods was mainly due to the increase in MCR discussed below, and the year-over-year changes in premium revenues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29</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Medicare MCR increased to 90.7% in the second quarter of 2026, or 70 basis points, compared to the second quarter of 2025, and increased to 90.3% in the six months ended June 30, 2026, or 110 basis points, compared to the six months ended June 30, 2025. The increase in both periods was mainly attributable to the product mix changes resulting from transitioning MMP members into integrated duals products discussed above, partially offset by product pricing and benefit adjustments implemented for 2026. The second quarter MCR is favorable to our expectations, mainly due to lower than expected medical cost trend in our new integrated duals products.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Marketplace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Marketplace premium revenue decreased $572 million in the second quarter of 2026 compared to the second quarter of 2025, and decreased $852 million in the six months ended June 30, 2026 compared to the six months ended June 30, 2025, due to an expected decrease in membership in line with our product and pricing strategy towards restoring our target margins and the impact of changes in estimate for prior year risk adjustment. Our Marketplace membership as of June 30, 2026, amounted to 283,000 members, representing a decrease of 407,000 members compared to June 30,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Marketplace medical margin decreased $106 million in the second quarter of 2026 when compared with the second quarter of 2025, and decreased $173 million in the six months ended June 30, 2026 when compared with the six months ended June 30, 2025. The changes in each period were primarily due to the decline in premium revenue discussed above and the MCR changes discussed below.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Marketplace MCR increased to 88.9% in the second quarter of 2026, or 350 basis points, compared to 85.4% in the second quarter of 2025, and increased to 86.3% in the six months ended June 30, 2026, or 260 basis points, compared to 83.7% in the six months ended June 30, 2025. The increase in MCR for both periods mainly reflects the impact of changes in estimate for prior year risk adjustment, continued CMS program integrity initiatives resulting in unfavorable prior year premium adjustments and unfavorable current year member acuity mix. The second quarter MCR was higher than our expectations.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for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LIQUIDITY, FINANCIAL CONDITION AND CAPITAL RESOURCES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LIQUIDITY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maintain liquidity at two levels: 1) the regulated health plan subsidiaries; and 2) the parent company.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and six months ended June 30, 2026, the parent company received $109 million and $144 million, respectively, in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30</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and return of capital from the regulated health plan subsidiaries. See further discussion of dividends below in “Future Sources and Uses of Liquidity—Future Sources.” </w:t>
      </w:r>
    </w:p>
    <w:p>
      <w:pPr>
        <w:pStyle w:val="TextBody"/>
        <w:bidi w:val="0"/>
        <w:spacing w:lineRule="auto" w:line="288" w:before="120" w:after="120"/>
        <w:jc w:val="left"/>
        <w:rPr/>
      </w:pPr>
      <w:r>
        <w:rPr>
          <w:rFonts w:ascii="Arial;sans-serif" w:hAnsi="Arial;sans-serif"/>
          <w:b w:val="false"/>
          <w:color w:val="000000"/>
          <w:sz w:val="20"/>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and six months ended June 30, 2026, the parent company contributed capital in the aggregate amount of</w:t>
      </w:r>
      <w:r>
        <w:rPr>
          <w:color w:val="000000"/>
          <w:shd w:fill="FFFFFF" w:val="clear"/>
        </w:rPr>
        <w:t xml:space="preserve"> </w:t>
      </w:r>
      <w:r>
        <w:rPr>
          <w:rFonts w:ascii="Arial;sans-serif" w:hAnsi="Arial;sans-serif"/>
          <w:b w:val="false"/>
          <w:color w:val="000000"/>
          <w:sz w:val="20"/>
          <w:shd w:fill="FFFFFF" w:val="clear"/>
        </w:rPr>
        <w:t xml:space="preserve">$15 million and $30 million, respectively, </w:t>
      </w:r>
      <w:r>
        <w:rPr>
          <w:rFonts w:ascii="Arial;sans-serif" w:hAnsi="Arial;sans-serif"/>
          <w:b w:val="false"/>
          <w:color w:val="000000"/>
          <w:sz w:val="20"/>
        </w:rPr>
        <w:t>to our regulated health plan subsidiary in New Mexico to satisfy statutory capital and surplus requirements.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cash equivalents and investments at the parent company amounted to approximately $290 million and $223 million as of June 30, 2026, and December 31, 2025, respectively. The change for the six months ended June 30, 2026 was primarily due to timing of certain corporate payments, partially offset by the impact of dividends received from, and contributions made to, our regulated health plan subsidiaries.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restricted investments are invested principally in cash, cash equivalents, U.S. Treasury securities, and corporate debt securities, and we have the ability to hold such restricted investments until maturity. All of our unrestricted investments are classified as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Cash Flow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cash flows are summarized as follows:</w:t>
      </w:r>
    </w:p>
    <w:tbl>
      <w:tblPr>
        <w:tblW w:w="10205" w:type="dxa"/>
        <w:jc w:val="center"/>
        <w:tblInd w:w="0" w:type="dxa"/>
        <w:tblLayout w:type="fixed"/>
        <w:tblCellMar>
          <w:top w:w="28" w:type="dxa"/>
          <w:left w:w="28" w:type="dxa"/>
          <w:bottom w:w="28" w:type="dxa"/>
          <w:right w:w="28" w:type="dxa"/>
        </w:tblCellMar>
      </w:tblPr>
      <w:tblGrid>
        <w:gridCol w:w="2573"/>
        <w:gridCol w:w="2248"/>
        <w:gridCol w:w="2256"/>
        <w:gridCol w:w="211"/>
        <w:gridCol w:w="466"/>
        <w:gridCol w:w="109"/>
        <w:gridCol w:w="109"/>
        <w:gridCol w:w="109"/>
        <w:gridCol w:w="109"/>
        <w:gridCol w:w="211"/>
        <w:gridCol w:w="536"/>
        <w:gridCol w:w="109"/>
        <w:gridCol w:w="109"/>
        <w:gridCol w:w="109"/>
        <w:gridCol w:w="109"/>
        <w:gridCol w:w="211"/>
        <w:gridCol w:w="466"/>
        <w:gridCol w:w="155"/>
      </w:tblGrid>
      <w:tr>
        <w:trPr/>
        <w:tc>
          <w:tcPr>
            <w:tcW w:w="257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7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u w:val="single"/>
        </w:rPr>
      </w:pPr>
      <w:r>
        <w:rPr>
          <w:rFonts w:ascii="Arial;sans-serif" w:hAnsi="Arial;sans-serif"/>
          <w:b w:val="false"/>
          <w:color w:val="000000"/>
          <w:sz w:val="20"/>
          <w:u w:val="single"/>
        </w:rPr>
        <w:t>Operating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31</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provided by operations for the six months ended June 30, 2026 was $788 million, compared with $112 million used in the six months ended June 30, 2025. The increase in cash flow mainly results from timing differences in settlement of government agency receivables and payables, including Medicaid minimum MLR and medical cost corridors, Marketplace risk adjustment and other Amounts Due to Government Agencies, partially offset by the impact of lower net income in the six months ended June 30, 2026. </w:t>
      </w:r>
    </w:p>
    <w:p>
      <w:pPr>
        <w:pStyle w:val="TextBody"/>
        <w:bidi w:val="0"/>
        <w:spacing w:lineRule="auto" w:line="288" w:before="120" w:after="120"/>
        <w:jc w:val="left"/>
        <w:rPr/>
      </w:pPr>
      <w:r>
        <w:rPr>
          <w:rFonts w:ascii="Arial;sans-serif" w:hAnsi="Arial;sans-serif"/>
          <w:b w:val="false"/>
          <w:color w:val="000000"/>
          <w:sz w:val="20"/>
          <w:u w:val="single"/>
        </w:rPr>
        <w:t>Investing Activities</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was $19 million in the six months ended June 30, 2026, compared with $5 million provided by the six months ended June 30, 2025, a decrease in cash flow of $24 million. This change in cash flow reflects the net impact of proceeds and purchases of investments, which amounted to net proceeds of $46 million in the six months ended June 30, 2026 and $296 million in the six months ended June 30, 2025. Net cash paid in business combinations amounted to $245 million in the six months ended June 30, 2025, related to the ConnectiCare acquisition. </w:t>
      </w:r>
    </w:p>
    <w:p>
      <w:pPr>
        <w:pStyle w:val="TextBody"/>
        <w:bidi w:val="0"/>
        <w:spacing w:lineRule="auto" w:line="288" w:before="120" w:after="120"/>
        <w:jc w:val="left"/>
        <w:rPr>
          <w:rFonts w:ascii="Arial;sans-serif" w:hAnsi="Arial;sans-serif"/>
          <w:b w:val="false"/>
          <w:color w:val="000000"/>
          <w:sz w:val="20"/>
          <w:u w:val="single"/>
        </w:rPr>
      </w:pPr>
      <w:r>
        <w:rPr>
          <w:rFonts w:ascii="Arial;sans-serif" w:hAnsi="Arial;sans-serif"/>
          <w:b w:val="false"/>
          <w:color w:val="000000"/>
          <w:sz w:val="20"/>
          <w:u w:val="single"/>
        </w:rPr>
        <w:t>Financing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was $24 million in the six months ended June 30, 2026, compared with $42 million in the six months ended June 30, 2025, an increase in cash flow of $18 million. In the six months ended June 30, 2025, financing activity included common stock purchases of $500 million and $650 million in combined borrowings under our prior credit facility, partially offset by $200 million in repayment under the prior credit facility. In addition, in the six months ended June 30, 2026 and 2025, financing cash outflows included $14 million and $36 million, respectively, for common stock withheld to settle employee tax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FINANCIAL CONDITION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working capital on a consolidated basis was $5.2 billion at June 30, 2026, compared with $5.1 billion at December 31, 2025. At June 30, 2026, our cash and investments amounted to $9.2 billion, compared with $8.6 billion at December 31, 2025.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amounted to $21 million at June 30, 2026 compared to net unrealized gains of $20 million at December 31, 2025. We have determined that the unrealized losses primarily resulted from fluctuating interest rates, rather than a deterioration of the creditworthiness of the issuers.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Regulatory Capital and Dividend Restrictions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$3.0 billion at June 30, 2026 and $3.1 billion at December 31, 2025. The aggregate capital and surplus of our wholly owned subsidiaries was in excess of these minimum capital requirements as of both dates.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Under applicable regulatory requirements, the amount of dividends that may be paid by our wholly owned subsidiaries without prior approval by regulatory authorities as of June 30, 2026, was approximately $170 million in the aggregate. The subsidiaries may pay dividends over this amount, but only after approval is granted by the regulatory authorities.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Based on our cash and investments balances as of June 30, 2026,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 including new state contract wins and growth in existing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32</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Debt Ratings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April 2026, Standard &amp; Poor’s (“S&amp;P”) lowered the rating of our senior notes to “BB-” from “BB”. Our senior notes are currently rated “Ba2” by Moody’s Investor Service, Inc. The S&amp;P downgrade could adversely affect our borrowing capacity and increase our borrowing costs.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Financial Covenants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Credit Agreement contains customary non-financial and financial covenants, including a minimum Interest Coverage Ratio and a maximum Consolidated Total Debt to Capital Ratio. Such ratios are computed as defined by the terms of the Credit Agreement.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the indentures governing each of our outstanding senior notes contain cross-default provisions that are triggered upon default by us or any of our subsidiaries on any indebtedness in excess of the amount specified in the applicable indenture. As of June 30, 2026, we were in compliance with all financial and non-financial covenants under the Credit Agreement and other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FUTURE SOURCES AND USES OF LIQUIDITY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Future 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pStyle w:val="TextBody"/>
        <w:bidi w:val="0"/>
        <w:spacing w:lineRule="auto" w:line="288" w:before="120" w:after="120"/>
        <w:jc w:val="left"/>
        <w:rPr/>
      </w:pPr>
      <w:r>
        <w:rPr>
          <w:rFonts w:ascii="Arial;sans-serif" w:hAnsi="Arial;sans-serif"/>
          <w:b w:val="false"/>
          <w:i/>
          <w:color w:val="000000"/>
          <w:sz w:val="20"/>
        </w:rPr>
        <w:t>Dividends from Subsidiaries.</w:t>
      </w:r>
      <w:r>
        <w:rPr>
          <w:color w:val="000000"/>
        </w:rPr>
        <w:t xml:space="preserve"> </w:t>
      </w:r>
      <w:r>
        <w:rPr>
          <w:rFonts w:ascii="Arial;sans-serif" w:hAnsi="Arial;sans-serif"/>
          <w:b w:val="false"/>
          <w:color w:val="000000"/>
          <w:sz w:val="20"/>
        </w:rPr>
        <w:t xml:space="preserve">When available and as permitted by applicable regulations, cash in excess of the capital needs of our regulated health plans is generally paid in the form of dividends to our unregulated parent company to be used for general corporate purposes. </w:t>
      </w:r>
    </w:p>
    <w:p>
      <w:pPr>
        <w:pStyle w:val="TextBody"/>
        <w:bidi w:val="0"/>
        <w:spacing w:lineRule="auto" w:line="288" w:before="120" w:after="120"/>
        <w:jc w:val="left"/>
        <w:rPr/>
      </w:pPr>
      <w:r>
        <w:rPr>
          <w:rFonts w:ascii="Arial;sans-serif" w:hAnsi="Arial;sans-serif"/>
          <w:b w:val="false"/>
          <w:i/>
          <w:color w:val="000000"/>
          <w:sz w:val="20"/>
        </w:rPr>
        <w:t xml:space="preserve">Credit Agreement Borrowing Capacity. </w:t>
      </w:r>
      <w:r>
        <w:rPr>
          <w:rFonts w:ascii="Arial;sans-serif" w:hAnsi="Arial;sans-serif"/>
          <w:b w:val="false"/>
          <w:color w:val="000000"/>
          <w:sz w:val="20"/>
        </w:rPr>
        <w:t>We are party to a credit agreement (the “Credit Agreement”), which provides for a revolving credit facility (“Credit Facility”) of $1.25 billion, with a lending commitment termination date of November 20, 2030. The Credit Agreement also provides for a $15 million swingline sub-facility and a $100 million letter of credit sub-facility, as well as incremental term loans available to finance certain acquisitions up to $800 million. As of June 30, 2026, we had available borrowing capacity of $1.25 billion under the Credit Facility. See further discussion in the Notes to Consolidated Financial Statements, Note 7, “Debt.”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Future Uses</w:t>
      </w:r>
    </w:p>
    <w:p>
      <w:pPr>
        <w:pStyle w:val="TextBody"/>
        <w:bidi w:val="0"/>
        <w:spacing w:lineRule="auto" w:line="288" w:before="120" w:after="120"/>
        <w:jc w:val="left"/>
        <w:rPr/>
      </w:pPr>
      <w:r>
        <w:rPr>
          <w:rFonts w:ascii="Arial;sans-serif" w:hAnsi="Arial;sans-serif"/>
          <w:b w:val="false"/>
          <w:i/>
          <w:color w:val="000000"/>
          <w:sz w:val="20"/>
        </w:rPr>
        <w:t xml:space="preserve">Common Stock Purchases. </w:t>
      </w:r>
      <w:r>
        <w:rPr>
          <w:rFonts w:ascii="Arial;sans-serif" w:hAnsi="Arial;sans-serif"/>
          <w:b w:val="false"/>
          <w:color w:val="000000"/>
          <w:sz w:val="20"/>
        </w:rPr>
        <w:t>In April 2025, our board of directors authorized the purchase of up to an additional $1 billion of our common stock. This new program extends through December 31, 2026.The exact timing and amount of any share repurchases shall be determined by management, in consultation with the Finance Committee of the Board, based on market conditions and share price, in addition to other factors, and repurchases generally will be made in accordance with the volume, price, and timing parameters under Rule 10b-18 of the Securities Exchange Act. As of July 17, 2026, $500 million remained available to purchase our common stock under this program through December 31, 2026.</w:t>
      </w:r>
    </w:p>
    <w:p>
      <w:pPr>
        <w:pStyle w:val="TextBody"/>
        <w:bidi w:val="0"/>
        <w:spacing w:lineRule="auto" w:line="288" w:before="120" w:after="120"/>
        <w:jc w:val="left"/>
        <w:rPr/>
      </w:pPr>
      <w:r>
        <w:rPr>
          <w:rFonts w:ascii="Arial;sans-serif" w:hAnsi="Arial;sans-serif"/>
          <w:b w:val="false"/>
          <w:i/>
          <w:color w:val="000000"/>
          <w:sz w:val="20"/>
        </w:rPr>
        <w:t xml:space="preserve">Acquisitions. </w:t>
      </w:r>
      <w:r>
        <w:rPr>
          <w:rFonts w:ascii="Arial;sans-serif" w:hAnsi="Arial;sans-serif"/>
          <w:b w:val="false"/>
          <w:color w:val="000000"/>
          <w:sz w:val="20"/>
        </w:rPr>
        <w:t xml:space="preserve">We have a disciplined and steady approach to growth. Organic growth, which includes leveraging our existing health plan portfolio and winning new territories, is our highest priority. In addition to organic growth, we will consider targeted acquisitions that are a strategic fit that we believe will leverage operational synergies, and lead to incremental earnings accretion. </w:t>
      </w:r>
    </w:p>
    <w:p>
      <w:pPr>
        <w:pStyle w:val="TextBody"/>
        <w:bidi w:val="0"/>
        <w:spacing w:lineRule="auto" w:line="288" w:before="120" w:after="120"/>
        <w:jc w:val="left"/>
        <w:rPr/>
      </w:pPr>
      <w:r>
        <w:rPr>
          <w:rFonts w:ascii="Arial;sans-serif" w:hAnsi="Arial;sans-serif"/>
          <w:b w:val="false"/>
          <w:i/>
          <w:color w:val="000000"/>
          <w:sz w:val="20"/>
        </w:rPr>
        <w:t>Regulatory Capital Requirements and Dividend Restrictions.</w:t>
      </w:r>
      <w:r>
        <w:rPr>
          <w:color w:val="000000"/>
        </w:rPr>
        <w:t xml:space="preserve"> </w:t>
      </w:r>
      <w:r>
        <w:rPr>
          <w:rFonts w:ascii="Arial;sans-serif" w:hAnsi="Arial;sans-serif"/>
          <w:b w:val="false"/>
          <w:color w:val="000000"/>
          <w:sz w:val="20"/>
        </w:rPr>
        <w:t xml:space="preserve">We have the ability, and have committed, to provide additional capital to each of our health plans as necessary to ensure compliance with minimum statutory capital requirements, including new state contract wins and growth in existing states.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CONTRACTUAL OBLIGATIONS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summary of future obligations under our various contractual obligations and commitments as of December 31, 2025 was disclosed in our 2025 Annual Report on Form 10-K.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There were no significant changes to our contractual obligations and commitments not otherwise disclosed or outside the ordinary course of business during the six months ended 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33</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CRITICAL ACCOUNTING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Medical costs, claims and benefits payable</w:t>
      </w:r>
      <w:r>
        <w:rPr>
          <w:rFonts w:ascii="Arial;sans-serif" w:hAnsi="Arial;sans-serif"/>
          <w:b w:val="false"/>
          <w:color w:val="000000"/>
          <w:sz w:val="20"/>
        </w:rPr>
        <w:t>. Refer to Notes to Consolidated Financial Statements, Note 6, “Medical 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2026 there were no significant changes to our disclosure reported in “Critical Accounting Estimates” in our 2025 Annual Report on Form 10-K.</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Premium Revenue Recognition and Amounts Due Government Agencies: Risk Adjustment</w:t>
      </w:r>
      <w:r>
        <w:rPr>
          <w:rFonts w:ascii="Arial;sans-serif" w:hAnsi="Arial;sans-serif"/>
          <w:b w:val="false"/>
          <w:color w:val="000000"/>
          <w:sz w:val="20"/>
        </w:rPr>
        <w:t xml:space="preserve">. For a discussion of this topic, including amounts recorded in our consolidated financial statements, refer to Notes to Consolidated Financial Statements, Note 2, “Significant Accounting Policies.”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Business Combinations, and Goodwill and intangible assets, net.</w:t>
      </w:r>
      <w:r>
        <w:rPr>
          <w:color w:val="000000"/>
        </w:rPr>
        <w:t xml:space="preserve"> </w:t>
      </w:r>
      <w:r>
        <w:rPr>
          <w:rFonts w:ascii="Arial;sans-serif" w:hAnsi="Arial;sans-serif"/>
          <w:b w:val="false"/>
          <w:color w:val="000000"/>
          <w:sz w:val="20"/>
        </w:rPr>
        <w:t xml:space="preserve">In the six months ended June 30, 2026, there were no significant changes to our disclosure reported in “Critical Accounting Estimates” in our 2025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F7C7F"/>
          <w:sz w:val="24"/>
        </w:rPr>
      </w:pPr>
      <w:r>
        <w:rPr>
          <w:rFonts w:ascii="Arial;sans-serif" w:hAnsi="Arial;sans-serif"/>
          <w:b/>
          <w:color w:val="0F7C7F"/>
          <w:sz w:val="24"/>
        </w:rPr>
        <w:t>QUANTITATIVE AND QUALITATIVE DISCLOSURES ABOUT MARKET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earnings and financial position are exposed to financial market risk relating to changes in interest rates, and the resulting impact on investment income and 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Substantially all of our investments and restricted investments are subject to interest rate risk and will decrease in value if market interest rates increase. Assuming a hypothetical and immediate 1% increase in market interest rates at June 30, 2026, the fair value of our fixed income investments would decrease by approximately $120 million. Declines in interest rates over time will reduce our investment income.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further information on fair value measurements and our investment portfolio, please refer to Notes to Consolidated Financial Statements, Note 4, “Fair Value Measurements,” and Note 5, “Investments.”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Borrowings under the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CONTROLS AND PROCEDURES</w:t>
      </w:r>
    </w:p>
    <w:p>
      <w:pPr>
        <w:pStyle w:val="TextBody"/>
        <w:bidi w:val="0"/>
        <w:spacing w:lineRule="auto" w:line="288" w:before="120" w:after="120"/>
        <w:jc w:val="left"/>
        <w:rPr/>
      </w:pPr>
      <w:r>
        <w:rPr>
          <w:rFonts w:ascii="Arial;sans-serif" w:hAnsi="Arial;sans-serif"/>
          <w:b w:val="false"/>
          <w:i/>
          <w:color w:val="000000"/>
          <w:sz w:val="20"/>
        </w:rPr>
        <w:t>Evaluation of Disclosure Controls and Procedures.</w:t>
      </w:r>
      <w:r>
        <w:rPr>
          <w:color w:val="000000"/>
        </w:rPr>
        <w:t xml:space="preserve"> </w:t>
      </w:r>
      <w:r>
        <w:rPr>
          <w:rFonts w:ascii="Arial;sans-serif" w:hAnsi="Arial;sans-serif"/>
          <w:b w:val="false"/>
          <w:color w:val="000000"/>
          <w:sz w:val="20"/>
        </w:rPr>
        <w:t>Our management, with the participation of our chief executive officer and our chief 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June 30, 2026, our disclosure controls and procedures were effective at the reasonable assurance level.</w:t>
      </w:r>
    </w:p>
    <w:p>
      <w:pPr>
        <w:pStyle w:val="TextBody"/>
        <w:bidi w:val="0"/>
        <w:spacing w:lineRule="auto" w:line="288" w:before="120" w:after="120"/>
        <w:jc w:val="left"/>
        <w:rPr/>
      </w:pPr>
      <w:r>
        <w:rPr>
          <w:rFonts w:ascii="Arial;sans-serif" w:hAnsi="Arial;sans-serif"/>
          <w:b w:val="false"/>
          <w:i/>
          <w:color w:val="000000"/>
          <w:sz w:val="20"/>
        </w:rPr>
        <w:t>Changes in Internal Control Over Financial Reporting.</w:t>
      </w:r>
      <w:r>
        <w:rPr>
          <w:color w:val="000000"/>
        </w:rPr>
        <w:t xml:space="preserve"> </w:t>
      </w:r>
      <w:r>
        <w:rPr>
          <w:rFonts w:ascii="Arial;sans-serif" w:hAnsi="Arial;sans-serif"/>
          <w:b w:val="false"/>
          <w:color w:val="000000"/>
          <w:sz w:val="20"/>
        </w:rPr>
        <w:t xml:space="preserve">There were no changes in our internal control over financial reporting during the quarter ended June 30, 2026, that materially affected, or are reasonably likely to materially affect, our internal controls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II—OTHER INFORMATION</w:t>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information regarding legal proceedings, see Notes to Consolidated Financial Statements, Note 9, “Commitments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34</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RISK FACTORS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2025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UNREGISTERED SALES OF EQUITY SECURITIES AND USE OF PROCEEDS</w:t>
      </w:r>
    </w:p>
    <w:p>
      <w:pPr>
        <w:pStyle w:val="TextBody"/>
        <w:bidi w:val="0"/>
        <w:spacing w:lineRule="auto" w:line="288" w:before="120" w:after="120"/>
        <w:jc w:val="left"/>
        <w:rPr>
          <w:rFonts w:ascii="Arial;sans-serif" w:hAnsi="Arial;sans-serif"/>
          <w:b/>
          <w:color w:val="828282"/>
          <w:sz w:val="20"/>
        </w:rPr>
      </w:pPr>
      <w:r>
        <w:rPr>
          <w:rFonts w:ascii="Arial;sans-serif" w:hAnsi="Arial;sans-serif"/>
          <w:b/>
          <w:color w:val="828282"/>
          <w:sz w:val="20"/>
        </w:rPr>
        <w:t>ISSUER PURCHASES OF EQUITY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Purchases of common stock made by us, or on our behalf, during the second quarter of 2026, including shares withheld by us to satisfy our employees’ income tax obligations, are set forth below:</w:t>
      </w:r>
    </w:p>
    <w:tbl>
      <w:tblPr>
        <w:tblW w:w="10205" w:type="dxa"/>
        <w:jc w:val="left"/>
        <w:tblInd w:w="0" w:type="dxa"/>
        <w:tblLayout w:type="fixed"/>
        <w:tblCellMar>
          <w:top w:w="28" w:type="dxa"/>
          <w:left w:w="28" w:type="dxa"/>
          <w:bottom w:w="28" w:type="dxa"/>
          <w:right w:w="28" w:type="dxa"/>
        </w:tblCellMar>
      </w:tblPr>
      <w:tblGrid>
        <w:gridCol w:w="305"/>
        <w:gridCol w:w="247"/>
        <w:gridCol w:w="250"/>
        <w:gridCol w:w="420"/>
        <w:gridCol w:w="420"/>
        <w:gridCol w:w="421"/>
        <w:gridCol w:w="109"/>
        <w:gridCol w:w="109"/>
        <w:gridCol w:w="109"/>
        <w:gridCol w:w="390"/>
        <w:gridCol w:w="1339"/>
        <w:gridCol w:w="203"/>
        <w:gridCol w:w="109"/>
        <w:gridCol w:w="109"/>
        <w:gridCol w:w="109"/>
        <w:gridCol w:w="710"/>
        <w:gridCol w:w="710"/>
        <w:gridCol w:w="711"/>
        <w:gridCol w:w="109"/>
        <w:gridCol w:w="109"/>
        <w:gridCol w:w="109"/>
        <w:gridCol w:w="420"/>
        <w:gridCol w:w="2366"/>
        <w:gridCol w:w="312"/>
      </w:tblGrid>
      <w:tr>
        <w:trPr/>
        <w:tc>
          <w:tcPr>
            <w:tcW w:w="3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Number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of Shares</w:t>
            </w:r>
          </w:p>
          <w:p>
            <w:pPr>
              <w:pStyle w:val="TableContents"/>
              <w:bidi w:val="0"/>
              <w:spacing w:lineRule="auto" w:line="240" w:before="0" w:after="0"/>
              <w:jc w:val="center"/>
              <w:rPr/>
            </w:pPr>
            <w:r>
              <w:rPr>
                <w:rFonts w:ascii="Arial;sans-serif" w:hAnsi="Arial;sans-serif"/>
                <w:b/>
                <w:color w:val="000000"/>
                <w:sz w:val="18"/>
              </w:rPr>
              <w:t>Purchased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w:t>
              <w:br/>
              <w:t>Purchased as Part of</w:t>
              <w:br/>
              <w:t>Publicly </w:t>
              <w:br/>
              <w:t>Announced </w:t>
              <w:br/>
              <w:t xml:space="preserve">Plans or </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Approximate Dollar Value</w:t>
            </w:r>
          </w:p>
          <w:p>
            <w:pPr>
              <w:pStyle w:val="TableContents"/>
              <w:bidi w:val="0"/>
              <w:spacing w:lineRule="auto" w:line="240" w:before="0" w:after="0"/>
              <w:jc w:val="center"/>
              <w:rPr/>
            </w:pPr>
            <w:r>
              <w:rPr>
                <w:rFonts w:ascii="Arial;sans-serif" w:hAnsi="Arial;sans-serif"/>
                <w:b/>
                <w:color w:val="000000"/>
                <w:sz w:val="18"/>
              </w:rPr>
              <w:t xml:space="preserve">of Shares that May Yet Be Purchased Under the Plans or Programs </w:t>
            </w:r>
            <w:r>
              <w:rPr>
                <w:rFonts w:ascii="Arial;sans-serif" w:hAnsi="Arial;sans-serif"/>
                <w:b/>
                <w:color w:val="000000"/>
                <w:sz w:val="12"/>
              </w:rPr>
              <w:t>(2)</w:t>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 April 30</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 May 31</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 June 30</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500,000,000 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_______________________</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(1)During the second quarter of 2026, we withheld approximately 1,000 shares of common stock to settle employee income tax obligations for releases of awards granted under the Molina Healthcare, Inc. 2019 Equity Incentive Plan and 2025 Equity Incentive Plan.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(2)For further information on our stock repurchase programs, refer to our 2025 Annual Report on Form 10-K, Note 13,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7C7F"/>
          <w:sz w:val="24"/>
        </w:rPr>
      </w:pPr>
      <w:r>
        <w:rPr>
          <w:rFonts w:ascii="Arial;sans-serif" w:hAnsi="Arial;sans-serif"/>
          <w:b/>
          <w:color w:val="0F7C7F"/>
          <w:sz w:val="24"/>
        </w:rPr>
        <w:t>OTHER INFORMATION</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    None.    </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(c)    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June 30,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35</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F7C7F"/>
          <w:sz w:val="24"/>
        </w:rPr>
        <w:t>INDEX TO 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121"/>
        <w:gridCol w:w="1963"/>
        <w:gridCol w:w="1981"/>
        <w:gridCol w:w="109"/>
        <w:gridCol w:w="109"/>
        <w:gridCol w:w="109"/>
        <w:gridCol w:w="808"/>
        <w:gridCol w:w="734"/>
        <w:gridCol w:w="95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Method of Filing</w:t>
            </w:r>
          </w:p>
        </w:tc>
      </w:tr>
      <w:tr>
        <w:trPr/>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F7C7F"/>
                  <w:sz w:val="18"/>
                  <w:u w:val="single"/>
                </w:rPr>
                <w:t>Certificate of Amendment to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as Exhibit 3.1 to registrant’s Form 8-K filed May 11, 2026</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F7C7F"/>
                  <w:sz w:val="18"/>
                  <w:u w:val="single"/>
                </w:rPr>
                <w:t xml:space="preserve">Amended and Restated Bylaws of Molina Healthcare,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as Exhibit 3.2 to registrant’s Form 8-K filed May 11, 2026</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F7C7F"/>
                  <w:sz w:val="18"/>
                  <w:u w:val="single"/>
                </w:rPr>
                <w:t>Amendment Number One to the Molina Healthcare, Inc. 2025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as Exhibit 10.1 to registrant’s Form 8-K filed May 11, 2026</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2q26_ex311.htm">
              <w:r>
                <w:rPr>
                  <w:rStyle w:val="InternetLink"/>
                  <w:rFonts w:ascii="Arial;sans-serif" w:hAnsi="Arial;sans-serif"/>
                  <w:b w:val="false"/>
                  <w:color w:val="0F7C7F"/>
                  <w:sz w:val="18"/>
                  <w:u w:val="single"/>
                </w:rPr>
                <w:t>Section 302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2q26_ex312.htm">
              <w:r>
                <w:rPr>
                  <w:rStyle w:val="InternetLink"/>
                  <w:rFonts w:ascii="Arial;sans-serif" w:hAnsi="Arial;sans-serif"/>
                  <w:b w:val="false"/>
                  <w:color w:val="0F7C7F"/>
                  <w:sz w:val="18"/>
                  <w:u w:val="single"/>
                </w:rPr>
                <w:t>Section 302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2q26_ex321.htm">
              <w:r>
                <w:rPr>
                  <w:rStyle w:val="InternetLink"/>
                  <w:rFonts w:ascii="Arial;sans-serif" w:hAnsi="Arial;sans-serif"/>
                  <w:b w:val="false"/>
                  <w:color w:val="0F7C7F"/>
                  <w:sz w:val="18"/>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Furnished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oh2q26_ex322.htm">
              <w:r>
                <w:rPr>
                  <w:rStyle w:val="InternetLink"/>
                  <w:rFonts w:ascii="Arial;sans-serif" w:hAnsi="Arial;sans-serif"/>
                  <w:b w:val="false"/>
                  <w:color w:val="0F7C7F"/>
                  <w:sz w:val="18"/>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Furnished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Filed herewith.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embedded within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bl>
    <w:p>
      <w:pPr>
        <w:pStyle w:val="TextBody"/>
        <w:bidi w:val="0"/>
        <w:spacing w:before="1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Molina Healthcare, Inc. June 30, 2026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Molina Healthcare, Inc. June 30, 2026 Form 10-Q | 36</w:t>
                      </w:r>
                    </w:p>
                  </w:txbxContent>
                </v:textbox>
                <w10:wrap type="none"/>
              </v:rect>
            </w:pict>
          </mc:Fallback>
        </mc:AlternateContent>
      </w:r>
    </w:p>
    <w:p>
      <w:pPr>
        <w:pStyle w:val="TextBody"/>
        <w:bidi w:val="0"/>
        <w:spacing w:lineRule="auto" w:line="288" w:before="0" w:after="0"/>
        <w:jc w:val="left"/>
        <w:rPr/>
      </w:pPr>
      <w:hyperlink w:anchor="i6577e8c786574a0eb707104b5267f387_7">
        <w:r>
          <w:rPr>
            <w:rStyle w:val="InternetLink"/>
            <w:rFonts w:ascii="Arial;sans-serif" w:hAnsi="Arial;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rial;sans-serif" w:hAnsi="Arial;sans-serif"/>
          <w:b/>
          <w:color w:val="0F7C7F"/>
          <w:sz w:val="24"/>
        </w:rPr>
      </w:pPr>
      <w:r>
        <w:rPr>
          <w:rFonts w:ascii="Arial;sans-serif" w:hAnsi="Arial;sans-serif"/>
          <w:b/>
          <w:color w:val="0F7C7F"/>
          <w:sz w:val="24"/>
        </w:rPr>
        <w:t>SIGNATURES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531" w:type="dxa"/>
        <w:jc w:val="left"/>
        <w:tblInd w:w="0" w:type="dxa"/>
        <w:tblLayout w:type="fixed"/>
        <w:tblCellMar>
          <w:top w:w="28" w:type="dxa"/>
          <w:left w:w="28" w:type="dxa"/>
          <w:bottom w:w="28" w:type="dxa"/>
          <w:right w:w="28" w:type="dxa"/>
        </w:tblCellMar>
      </w:tblPr>
      <w:tblGrid>
        <w:gridCol w:w="255"/>
        <w:gridCol w:w="224"/>
        <w:gridCol w:w="225"/>
        <w:gridCol w:w="399"/>
        <w:gridCol w:w="399"/>
        <w:gridCol w:w="402"/>
        <w:gridCol w:w="109"/>
        <w:gridCol w:w="109"/>
        <w:gridCol w:w="109"/>
        <w:gridCol w:w="965"/>
        <w:gridCol w:w="965"/>
        <w:gridCol w:w="137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MOLINA HEALTHCARE, INC.</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M. ZUBRETSKY</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Joseph M. Zubretsky</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Dated: </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MARK L. KEIM</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Mark L. Keim</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Financial Officer and Treasurer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Molina Healthcare, Inc. June 30, 2026 Form 10-Q | 37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before="360" w:after="283"/>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Joseph M. Zubretsky, certify that: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period ended June 30, 2026 of Molina Healthcare, Inc.;</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6716" w:type="dxa"/>
        <w:jc w:val="center"/>
        <w:tblInd w:w="0" w:type="dxa"/>
        <w:tblLayout w:type="fixed"/>
        <w:tblCellMar>
          <w:top w:w="28" w:type="dxa"/>
          <w:left w:w="28" w:type="dxa"/>
          <w:bottom w:w="28" w:type="dxa"/>
          <w:right w:w="28" w:type="dxa"/>
        </w:tblCellMar>
      </w:tblPr>
      <w:tblGrid>
        <w:gridCol w:w="695"/>
        <w:gridCol w:w="611"/>
        <w:gridCol w:w="614"/>
        <w:gridCol w:w="109"/>
        <w:gridCol w:w="109"/>
        <w:gridCol w:w="109"/>
        <w:gridCol w:w="1308"/>
        <w:gridCol w:w="1308"/>
        <w:gridCol w:w="185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before="360" w:after="283"/>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Mark L. Keim, certify that: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period ended June 30, 2026 of Molina Healthcare, Inc.;</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5816" w:type="dxa"/>
        <w:jc w:val="center"/>
        <w:tblInd w:w="0" w:type="dxa"/>
        <w:tblLayout w:type="fixed"/>
        <w:tblCellMar>
          <w:top w:w="28" w:type="dxa"/>
          <w:left w:w="28" w:type="dxa"/>
          <w:bottom w:w="28" w:type="dxa"/>
          <w:right w:w="28" w:type="dxa"/>
        </w:tblCellMar>
      </w:tblPr>
      <w:tblGrid>
        <w:gridCol w:w="695"/>
        <w:gridCol w:w="611"/>
        <w:gridCol w:w="614"/>
        <w:gridCol w:w="109"/>
        <w:gridCol w:w="109"/>
        <w:gridCol w:w="109"/>
        <w:gridCol w:w="1045"/>
        <w:gridCol w:w="1045"/>
        <w:gridCol w:w="147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Molina Healthcare, Inc. (the “Company”) on Form 10-Q for the period ended June 30, 2026 (the “Report”), I, Joseph M. Zubretsky, Chief Executive Officer of the Company, certify, pursuant to 18 U.S.C. Section 1350, as adopted pursuant to Section 906 of the Sarbanes-Oxley Act of 2002, that:</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6716" w:type="dxa"/>
        <w:jc w:val="right"/>
        <w:tblInd w:w="0" w:type="dxa"/>
        <w:tblLayout w:type="fixed"/>
        <w:tblCellMar>
          <w:top w:w="28" w:type="dxa"/>
          <w:left w:w="28" w:type="dxa"/>
          <w:bottom w:w="28" w:type="dxa"/>
          <w:right w:w="28" w:type="dxa"/>
        </w:tblCellMar>
      </w:tblPr>
      <w:tblGrid>
        <w:gridCol w:w="695"/>
        <w:gridCol w:w="611"/>
        <w:gridCol w:w="614"/>
        <w:gridCol w:w="109"/>
        <w:gridCol w:w="109"/>
        <w:gridCol w:w="109"/>
        <w:gridCol w:w="1308"/>
        <w:gridCol w:w="1308"/>
        <w:gridCol w:w="185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M. Zubretsky</w:t>
            </w:r>
          </w:p>
        </w:tc>
      </w:tr>
      <w:tr>
        <w:trPr/>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Joseph M. Zubretsky</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President and Director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connection with the Quarterly Report of Molina Healthcare, Inc. (the “Company”) on Form 10-Q for the period ended June 30, 2026 (the “Report”), I, Mark L. Keim, Chief Financial Officer of the Company, certify, pursuant to 18 U.S.C. Section 1350, as adopted pursuant to Section 906 of the Sarbanes-Oxley Act of 2002, that:</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lineRule="auto" w:line="288" w:before="120" w:after="283"/>
        <w:ind w:left="0" w:right="0" w:firstLine="99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5816" w:type="dxa"/>
        <w:jc w:val="center"/>
        <w:tblInd w:w="0" w:type="dxa"/>
        <w:tblLayout w:type="fixed"/>
        <w:tblCellMar>
          <w:top w:w="28" w:type="dxa"/>
          <w:left w:w="28" w:type="dxa"/>
          <w:bottom w:w="28" w:type="dxa"/>
          <w:right w:w="28" w:type="dxa"/>
        </w:tblCellMar>
      </w:tblPr>
      <w:tblGrid>
        <w:gridCol w:w="695"/>
        <w:gridCol w:w="611"/>
        <w:gridCol w:w="614"/>
        <w:gridCol w:w="109"/>
        <w:gridCol w:w="109"/>
        <w:gridCol w:w="109"/>
        <w:gridCol w:w="1045"/>
        <w:gridCol w:w="1045"/>
        <w:gridCol w:w="147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L. Keim</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 L. Keim</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Financial Officer and Treasurer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9929/000117992926000026/exhibit31_certificateofame.htm" TargetMode="External"/><Relationship Id="rId4" Type="http://schemas.openxmlformats.org/officeDocument/2006/relationships/hyperlink" Target="https://www.sec.gov/Archives/edgar/data/1179929/000117992926000026/exhibit32amendedandresta.htm" TargetMode="External"/><Relationship Id="rId5" Type="http://schemas.openxmlformats.org/officeDocument/2006/relationships/hyperlink" Target="https://www.sec.gov/Archives/edgar/data/1179929/000117992926000026/exhibit101_amendmentnumber.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17994</Words>
  <Characters>98431</Characters>
  <CharactersWithSpaces>115385</CharactersWithSpaces>
  <Paragraphs>2496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